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bookmarkStart w:id="0" w:name="_GoBack"/>
    <w:bookmarkEnd w:id="0"/>
    <w:p w:rsidR="00EF3069" w:rsidRPr="00245A3B" w:rsidRDefault="00220789" w:rsidP="00245A3B">
      <w:pPr>
        <w:pStyle w:val="NormalWeb"/>
        <w:rPr>
          <w:rFonts w:ascii="Arial" w:hAnsi="Arial" w:cstheme="minorBidi"/>
          <w:noProof/>
          <w:szCs w:val="22"/>
          <w:lang w:val="en-NZ" w:eastAsia="en-NZ"/>
        </w:rPr>
      </w:pPr>
      <w:r w:rsidRPr="00245A3B">
        <w:rPr>
          <w:rFonts w:ascii="Arial" w:hAnsi="Arial" w:cstheme="minorBidi"/>
          <w:noProof/>
          <w:szCs w:val="22"/>
          <w:lang w:eastAsia="en-AU"/>
        </w:rPr>
        <mc:AlternateContent>
          <mc:Choice Requires="wps">
            <w:drawing>
              <wp:anchor distT="0" distB="0" distL="114300" distR="114300" simplePos="0" relativeHeight="251658246" behindDoc="0" locked="1" layoutInCell="1" allowOverlap="1" wp14:anchorId="5A4F2817" wp14:editId="29C1F0D2">
                <wp:simplePos x="0" y="0"/>
                <wp:positionH relativeFrom="page">
                  <wp:posOffset>783590</wp:posOffset>
                </wp:positionH>
                <wp:positionV relativeFrom="page">
                  <wp:posOffset>1630680</wp:posOffset>
                </wp:positionV>
                <wp:extent cx="3993515" cy="3352800"/>
                <wp:effectExtent l="0" t="0" r="698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3515"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CFE" w:rsidRPr="00651CCD" w:rsidRDefault="00145CFE" w:rsidP="00EF3069">
                            <w:pPr>
                              <w:pStyle w:val="EYCoverDate"/>
                              <w:rPr>
                                <w:sz w:val="56"/>
                                <w:szCs w:val="56"/>
                              </w:rPr>
                            </w:pPr>
                            <w:r w:rsidRPr="00651CCD">
                              <w:rPr>
                                <w:sz w:val="56"/>
                                <w:szCs w:val="56"/>
                              </w:rPr>
                              <w:t xml:space="preserve">Accessible Adult Change Facilities </w:t>
                            </w:r>
                            <w:r>
                              <w:rPr>
                                <w:sz w:val="56"/>
                                <w:szCs w:val="56"/>
                              </w:rPr>
                              <w:br/>
                            </w:r>
                            <w:r w:rsidRPr="00651CCD">
                              <w:rPr>
                                <w:sz w:val="56"/>
                                <w:szCs w:val="56"/>
                              </w:rPr>
                              <w:t>in Public Buildings</w:t>
                            </w:r>
                          </w:p>
                          <w:p w:rsidR="00145CFE" w:rsidRPr="00EF3069" w:rsidRDefault="00145CFE" w:rsidP="00EF3069">
                            <w:pPr>
                              <w:pStyle w:val="EYCoverDate"/>
                              <w:rPr>
                                <w:sz w:val="40"/>
                                <w:szCs w:val="48"/>
                              </w:rPr>
                            </w:pPr>
                          </w:p>
                          <w:p w:rsidR="00145CFE" w:rsidRPr="00651CCD" w:rsidRDefault="00145CFE" w:rsidP="00EF3069">
                            <w:pPr>
                              <w:pStyle w:val="EYCoverDate"/>
                              <w:rPr>
                                <w:sz w:val="36"/>
                                <w:szCs w:val="36"/>
                              </w:rPr>
                            </w:pPr>
                            <w:r>
                              <w:rPr>
                                <w:sz w:val="36"/>
                                <w:szCs w:val="36"/>
                              </w:rPr>
                              <w:t>Final</w:t>
                            </w:r>
                            <w:r w:rsidRPr="00651CCD">
                              <w:rPr>
                                <w:sz w:val="36"/>
                                <w:szCs w:val="36"/>
                              </w:rPr>
                              <w:t xml:space="preserve"> Regulation </w:t>
                            </w:r>
                            <w:r>
                              <w:rPr>
                                <w:sz w:val="36"/>
                                <w:szCs w:val="36"/>
                              </w:rPr>
                              <w:br/>
                            </w:r>
                            <w:r w:rsidRPr="00651CCD">
                              <w:rPr>
                                <w:sz w:val="36"/>
                                <w:szCs w:val="36"/>
                              </w:rPr>
                              <w:t>Impact Statement</w:t>
                            </w:r>
                          </w:p>
                          <w:p w:rsidR="00145CFE" w:rsidRPr="00EF3069" w:rsidRDefault="00145CFE" w:rsidP="00EF3069">
                            <w:pPr>
                              <w:pStyle w:val="EYCoverDate"/>
                              <w:rPr>
                                <w:sz w:val="32"/>
                                <w:szCs w:val="32"/>
                              </w:rPr>
                            </w:pPr>
                          </w:p>
                          <w:p w:rsidR="00145CFE" w:rsidRPr="00651CCD" w:rsidRDefault="00145CFE" w:rsidP="00EF3069">
                            <w:pPr>
                              <w:pStyle w:val="EYCoverDate"/>
                            </w:pPr>
                            <w:r>
                              <w:t>September</w:t>
                            </w:r>
                            <w:r w:rsidRPr="00651CCD">
                              <w:t xml:space="preserve"> 2018</w:t>
                            </w:r>
                          </w:p>
                          <w:p w:rsidR="00145CFE" w:rsidRPr="00EF3069" w:rsidRDefault="00145CFE" w:rsidP="00EF3069">
                            <w:pPr>
                              <w:pStyle w:val="EYCoverDate"/>
                              <w:rPr>
                                <w:b w:val="0"/>
                                <w:sz w:val="32"/>
                                <w:szCs w:val="3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4F2817" id="_x0000_t202" coordsize="21600,21600" o:spt="202" path="m,l,21600r21600,l21600,xe">
                <v:stroke joinstyle="miter"/>
                <v:path gradientshapeok="t" o:connecttype="rect"/>
              </v:shapetype>
              <v:shape id="Text Box 2" o:spid="_x0000_s1026" type="#_x0000_t202" style="position:absolute;left:0;text-align:left;margin-left:61.7pt;margin-top:128.4pt;width:314.45pt;height:26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" filled="f" stroked="f">
                <v:textbox inset="0,0,0,0">
                  <w:txbxContent>
                    <w:p w:rsidR="00145CFE" w:rsidRPr="00651CCD" w:rsidRDefault="00145CFE" w:rsidP="00EF3069">
                      <w:pPr>
                        <w:pStyle w:val="EYCoverDate"/>
                        <w:rPr>
                          <w:sz w:val="56"/>
                          <w:szCs w:val="56"/>
                        </w:rPr>
                      </w:pPr>
                      <w:r w:rsidRPr="00651CCD">
                        <w:rPr>
                          <w:sz w:val="56"/>
                          <w:szCs w:val="56"/>
                        </w:rPr>
                        <w:t xml:space="preserve">Accessible Adult Change Facilities </w:t>
                      </w:r>
                      <w:r>
                        <w:rPr>
                          <w:sz w:val="56"/>
                          <w:szCs w:val="56"/>
                        </w:rPr>
                        <w:br/>
                      </w:r>
                      <w:r w:rsidRPr="00651CCD">
                        <w:rPr>
                          <w:sz w:val="56"/>
                          <w:szCs w:val="56"/>
                        </w:rPr>
                        <w:t>in Public Buildings</w:t>
                      </w:r>
                    </w:p>
                    <w:p w:rsidR="00145CFE" w:rsidRPr="00EF3069" w:rsidRDefault="00145CFE" w:rsidP="00EF3069">
                      <w:pPr>
                        <w:pStyle w:val="EYCoverDate"/>
                        <w:rPr>
                          <w:sz w:val="40"/>
                          <w:szCs w:val="48"/>
                        </w:rPr>
                      </w:pPr>
                    </w:p>
                    <w:p w:rsidR="00145CFE" w:rsidRPr="00651CCD" w:rsidRDefault="00145CFE" w:rsidP="00EF3069">
                      <w:pPr>
                        <w:pStyle w:val="EYCoverDate"/>
                        <w:rPr>
                          <w:sz w:val="36"/>
                          <w:szCs w:val="36"/>
                        </w:rPr>
                      </w:pPr>
                      <w:r>
                        <w:rPr>
                          <w:sz w:val="36"/>
                          <w:szCs w:val="36"/>
                        </w:rPr>
                        <w:t>Final</w:t>
                      </w:r>
                      <w:r w:rsidRPr="00651CCD">
                        <w:rPr>
                          <w:sz w:val="36"/>
                          <w:szCs w:val="36"/>
                        </w:rPr>
                        <w:t xml:space="preserve"> Regulation </w:t>
                      </w:r>
                      <w:r>
                        <w:rPr>
                          <w:sz w:val="36"/>
                          <w:szCs w:val="36"/>
                        </w:rPr>
                        <w:br/>
                      </w:r>
                      <w:r w:rsidRPr="00651CCD">
                        <w:rPr>
                          <w:sz w:val="36"/>
                          <w:szCs w:val="36"/>
                        </w:rPr>
                        <w:t>Impact Statement</w:t>
                      </w:r>
                    </w:p>
                    <w:p w:rsidR="00145CFE" w:rsidRPr="00EF3069" w:rsidRDefault="00145CFE" w:rsidP="00EF3069">
                      <w:pPr>
                        <w:pStyle w:val="EYCoverDate"/>
                        <w:rPr>
                          <w:sz w:val="32"/>
                          <w:szCs w:val="32"/>
                        </w:rPr>
                      </w:pPr>
                    </w:p>
                    <w:p w:rsidR="00145CFE" w:rsidRPr="00651CCD" w:rsidRDefault="00145CFE" w:rsidP="00EF3069">
                      <w:pPr>
                        <w:pStyle w:val="EYCoverDate"/>
                      </w:pPr>
                      <w:r>
                        <w:t>September</w:t>
                      </w:r>
                      <w:r w:rsidRPr="00651CCD">
                        <w:t xml:space="preserve"> 2018</w:t>
                      </w:r>
                    </w:p>
                    <w:p w:rsidR="00145CFE" w:rsidRPr="00EF3069" w:rsidRDefault="00145CFE" w:rsidP="00EF3069">
                      <w:pPr>
                        <w:pStyle w:val="EYCoverDate"/>
                        <w:rPr>
                          <w:b w:val="0"/>
                          <w:sz w:val="32"/>
                          <w:szCs w:val="32"/>
                        </w:rPr>
                      </w:pPr>
                    </w:p>
                  </w:txbxContent>
                </v:textbox>
                <w10:wrap anchorx="page" anchory="page"/>
                <w10:anchorlock/>
              </v:shape>
            </w:pict>
          </mc:Fallback>
        </mc:AlternateContent>
      </w:r>
    </w:p>
    <w:p w:rsidR="00EF3069" w:rsidRPr="00EF3069" w:rsidRDefault="00EF3069" w:rsidP="00EF3069"/>
    <w:p w:rsidR="00EF3069" w:rsidRPr="00EF3069" w:rsidRDefault="00EF3069" w:rsidP="00EF3069"/>
    <w:p w:rsidR="00EF3069" w:rsidRPr="00EF3069" w:rsidRDefault="00EF3069" w:rsidP="00EF3069"/>
    <w:p w:rsidR="00EF3069" w:rsidRPr="00EF3069" w:rsidRDefault="00EF3069" w:rsidP="00EF3069"/>
    <w:p w:rsidR="00EF3069" w:rsidRPr="00EF3069" w:rsidRDefault="00EF3069" w:rsidP="00EF3069"/>
    <w:p w:rsidR="00EF3069" w:rsidRPr="00EF3069" w:rsidRDefault="00EF3069" w:rsidP="00EF3069"/>
    <w:p w:rsidR="00EF3069" w:rsidRPr="00EF3069" w:rsidRDefault="00EF3069" w:rsidP="00EF3069"/>
    <w:p w:rsidR="00EF3069" w:rsidRPr="00EF3069" w:rsidRDefault="00EF3069" w:rsidP="00EF3069"/>
    <w:p w:rsidR="00EF3069" w:rsidRPr="00EF3069" w:rsidRDefault="00EF3069" w:rsidP="00EF3069"/>
    <w:p w:rsidR="00220789" w:rsidRPr="00EF3069" w:rsidRDefault="00220789" w:rsidP="00EF3069">
      <w:pPr>
        <w:sectPr w:rsidR="00220789" w:rsidRPr="00EF3069" w:rsidSect="00EF3069">
          <w:headerReference w:type="default" r:id="rId8"/>
          <w:pgSz w:w="11906" w:h="16838" w:code="9"/>
          <w:pgMar w:top="2268" w:right="851" w:bottom="851" w:left="1418" w:header="709" w:footer="567" w:gutter="0"/>
          <w:cols w:space="720"/>
          <w:docGrid w:linePitch="360"/>
        </w:sectPr>
      </w:pPr>
    </w:p>
    <w:bookmarkStart w:id="1" w:name="_Toc368646149"/>
    <w:bookmarkStart w:id="2" w:name="_Toc380073987"/>
    <w:p w:rsidR="00F815B7" w:rsidRDefault="00EA0CBE">
      <w:pPr>
        <w:jc w:val="left"/>
        <w:rPr>
          <w:rFonts w:cstheme="minorHAnsi"/>
          <w:b/>
        </w:rPr>
      </w:pPr>
      <w:r>
        <w:rPr>
          <w:noProof/>
          <w:lang w:eastAsia="en-AU"/>
        </w:rPr>
        <w:lastRenderedPageBreak/>
        <mc:AlternateContent>
          <mc:Choice Requires="wps">
            <w:drawing>
              <wp:anchor distT="0" distB="0" distL="114300" distR="114300" simplePos="0" relativeHeight="251665417" behindDoc="1" locked="1" layoutInCell="1" allowOverlap="1" wp14:anchorId="10406270" wp14:editId="039D6DB8">
                <wp:simplePos x="0" y="0"/>
                <wp:positionH relativeFrom="column">
                  <wp:posOffset>8255</wp:posOffset>
                </wp:positionH>
                <wp:positionV relativeFrom="page">
                  <wp:posOffset>10234295</wp:posOffset>
                </wp:positionV>
                <wp:extent cx="4064000" cy="359410"/>
                <wp:effectExtent l="0" t="0" r="12700" b="254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CFE" w:rsidRPr="00606180" w:rsidRDefault="00145CFE" w:rsidP="00EA0CBE">
                            <w:pPr>
                              <w:pStyle w:val="EYFooterinfo"/>
                              <w:rPr>
                                <w:szCs w:val="11"/>
                              </w:rPr>
                            </w:pPr>
                            <w:r w:rsidRPr="0043460B">
                              <w:t>A member firm of Ernst &amp; Young Global Limited</w:t>
                            </w:r>
                            <w:r w:rsidRPr="0043460B">
                              <w:br/>
                              <w:t>Liability limited by a scheme approved under Professional Standards Legislation</w:t>
                            </w:r>
                            <w:r w:rsidRPr="0043460B">
                              <w:br/>
                              <w:t>ACN 004 860 860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06270" id="Text Box 14" o:spid="_x0000_s1027" type="#_x0000_t202" style="position:absolute;margin-left:.65pt;margin-top:805.85pt;width:320pt;height:28.3pt;z-index:-25165106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" filled="f" stroked="f">
                <v:textbox inset="0,0,0,0">
                  <w:txbxContent>
                    <w:p w:rsidR="00145CFE" w:rsidRPr="00606180" w:rsidRDefault="00145CFE" w:rsidP="00EA0CBE">
                      <w:pPr>
                        <w:pStyle w:val="EYFooterinfo"/>
                        <w:rPr>
                          <w:szCs w:val="11"/>
                        </w:rPr>
                      </w:pPr>
                      <w:r w:rsidRPr="0043460B">
                        <w:t>A member firm of Ernst &amp; Young Global Limited</w:t>
                      </w:r>
                      <w:r w:rsidRPr="0043460B">
                        <w:br/>
                        <w:t>Liability limited by a scheme approved under Professional Standards Legislation</w:t>
                      </w:r>
                      <w:r w:rsidRPr="0043460B">
                        <w:br/>
                        <w:t>ACN 004 860 860</w:t>
                      </w:r>
                    </w:p>
                  </w:txbxContent>
                </v:textbox>
                <w10:wrap anchory="page"/>
                <w10:anchorlock/>
              </v:shape>
            </w:pict>
          </mc:Fallback>
        </mc:AlternateContent>
      </w:r>
    </w:p>
    <w:p w:rsidR="003A3F63" w:rsidRDefault="003A3F63" w:rsidP="003A3F63">
      <w:pPr>
        <w:jc w:val="center"/>
        <w:rPr>
          <w:rFonts w:cstheme="minorHAnsi"/>
          <w:b/>
        </w:rPr>
      </w:pPr>
      <w:r w:rsidRPr="00415DE4">
        <w:rPr>
          <w:rFonts w:cstheme="minorHAnsi"/>
          <w:b/>
        </w:rPr>
        <w:t>NOTICE</w:t>
      </w:r>
    </w:p>
    <w:p w:rsidR="003A3F63" w:rsidRDefault="003A3F63" w:rsidP="003A3F63">
      <w:pPr>
        <w:jc w:val="center"/>
        <w:rPr>
          <w:rFonts w:cstheme="minorHAnsi"/>
          <w:b/>
        </w:rPr>
      </w:pPr>
    </w:p>
    <w:p w:rsidR="003A3F63" w:rsidRPr="00491724" w:rsidRDefault="003A3F63" w:rsidP="00A15416">
      <w:pPr>
        <w:pStyle w:val="ListParagraph"/>
        <w:numPr>
          <w:ilvl w:val="0"/>
          <w:numId w:val="12"/>
        </w:numPr>
        <w:spacing w:before="60" w:after="60" w:line="240" w:lineRule="auto"/>
        <w:jc w:val="left"/>
        <w:rPr>
          <w:rFonts w:cs="Arial"/>
          <w:sz w:val="22"/>
        </w:rPr>
      </w:pPr>
      <w:r w:rsidRPr="00491724">
        <w:rPr>
          <w:rFonts w:cs="Arial"/>
          <w:sz w:val="22"/>
        </w:rPr>
        <w:t xml:space="preserve">Ernst &amp; Young was engaged on the instructions of the Commonwealth of Australia as represented by the Department of Industry, Innovation and Science (“the Department”) to develop a Consultation </w:t>
      </w:r>
      <w:r w:rsidR="003B4886" w:rsidRPr="00491724">
        <w:rPr>
          <w:rFonts w:cs="Arial"/>
          <w:sz w:val="22"/>
        </w:rPr>
        <w:t>RIS (</w:t>
      </w:r>
      <w:r w:rsidR="00393695">
        <w:rPr>
          <w:rFonts w:cs="Arial"/>
          <w:sz w:val="22"/>
        </w:rPr>
        <w:t>“</w:t>
      </w:r>
      <w:r w:rsidRPr="00491724">
        <w:rPr>
          <w:rFonts w:cs="Arial"/>
          <w:sz w:val="22"/>
        </w:rPr>
        <w:t>Regulation Impact Statement</w:t>
      </w:r>
      <w:r w:rsidR="00393695">
        <w:rPr>
          <w:rFonts w:cs="Arial"/>
          <w:sz w:val="22"/>
        </w:rPr>
        <w:t>”</w:t>
      </w:r>
      <w:r w:rsidR="003B4886" w:rsidRPr="00491724">
        <w:rPr>
          <w:rFonts w:cs="Arial"/>
          <w:sz w:val="22"/>
        </w:rPr>
        <w:t xml:space="preserve">) </w:t>
      </w:r>
      <w:r w:rsidRPr="00491724">
        <w:rPr>
          <w:rFonts w:cs="Arial"/>
          <w:sz w:val="22"/>
        </w:rPr>
        <w:t xml:space="preserve">on a proposal to include requirements in the National Construction Code for </w:t>
      </w:r>
      <w:r w:rsidR="008564F8">
        <w:rPr>
          <w:rFonts w:cs="Arial"/>
          <w:sz w:val="22"/>
        </w:rPr>
        <w:t>a</w:t>
      </w:r>
      <w:r w:rsidR="002D7A82" w:rsidRPr="00491724">
        <w:rPr>
          <w:rFonts w:cs="Arial"/>
          <w:sz w:val="22"/>
        </w:rPr>
        <w:t xml:space="preserve">ccessible </w:t>
      </w:r>
      <w:r w:rsidR="008564F8">
        <w:rPr>
          <w:rFonts w:cs="Arial"/>
          <w:sz w:val="22"/>
        </w:rPr>
        <w:t>a</w:t>
      </w:r>
      <w:r w:rsidR="002D7A82" w:rsidRPr="00491724">
        <w:rPr>
          <w:rFonts w:cs="Arial"/>
          <w:sz w:val="22"/>
        </w:rPr>
        <w:t xml:space="preserve">dult </w:t>
      </w:r>
      <w:r w:rsidR="008564F8">
        <w:rPr>
          <w:rFonts w:cs="Arial"/>
          <w:sz w:val="22"/>
        </w:rPr>
        <w:t>c</w:t>
      </w:r>
      <w:r w:rsidR="002D7A82" w:rsidRPr="00491724">
        <w:rPr>
          <w:rFonts w:cs="Arial"/>
          <w:sz w:val="22"/>
        </w:rPr>
        <w:t xml:space="preserve">hange </w:t>
      </w:r>
      <w:r w:rsidR="008564F8">
        <w:rPr>
          <w:rFonts w:cs="Arial"/>
          <w:sz w:val="22"/>
        </w:rPr>
        <w:t>f</w:t>
      </w:r>
      <w:r w:rsidRPr="00491724">
        <w:rPr>
          <w:rFonts w:cs="Arial"/>
          <w:sz w:val="22"/>
        </w:rPr>
        <w:t xml:space="preserve">acilities to be provided in Class 6 shopping centres and </w:t>
      </w:r>
      <w:r w:rsidR="006B28B8" w:rsidRPr="00491724">
        <w:rPr>
          <w:rFonts w:cs="Arial"/>
          <w:sz w:val="22"/>
        </w:rPr>
        <w:t>Class 9b</w:t>
      </w:r>
      <w:r w:rsidRPr="00491724">
        <w:rPr>
          <w:rFonts w:cs="Arial"/>
          <w:sz w:val="22"/>
        </w:rPr>
        <w:t xml:space="preserve"> assembly buildings, in accordance with the engagement agreement dated 26 October 2017.</w:t>
      </w:r>
      <w:r w:rsidR="003B4886" w:rsidRPr="00491724">
        <w:rPr>
          <w:rFonts w:cs="Arial"/>
          <w:sz w:val="22"/>
        </w:rPr>
        <w:t xml:space="preserve"> Following the development of the Consultation RIS, Ernst &amp; Young was engaged to prepare a Final RIS, in accordance with the </w:t>
      </w:r>
      <w:r w:rsidR="00393695" w:rsidRPr="00491724">
        <w:rPr>
          <w:rFonts w:cs="Arial"/>
          <w:sz w:val="22"/>
        </w:rPr>
        <w:t>Deed of Variation dated 23 M</w:t>
      </w:r>
      <w:r w:rsidR="003B4886" w:rsidRPr="00491724">
        <w:rPr>
          <w:rFonts w:cs="Arial"/>
          <w:sz w:val="22"/>
        </w:rPr>
        <w:t>ay 2018.</w:t>
      </w:r>
    </w:p>
    <w:p w:rsidR="003A3F63" w:rsidRPr="00491724" w:rsidRDefault="003A3F63" w:rsidP="00A15416">
      <w:pPr>
        <w:pStyle w:val="ListParagraph"/>
        <w:numPr>
          <w:ilvl w:val="0"/>
          <w:numId w:val="12"/>
        </w:numPr>
        <w:spacing w:before="60" w:after="60" w:line="240" w:lineRule="auto"/>
        <w:rPr>
          <w:rFonts w:cs="Arial"/>
          <w:sz w:val="22"/>
        </w:rPr>
      </w:pPr>
    </w:p>
    <w:p w:rsidR="00F815B7" w:rsidRPr="00491724" w:rsidRDefault="003A3F63" w:rsidP="00A15416">
      <w:pPr>
        <w:pStyle w:val="EYBodytextwithparaspace"/>
        <w:numPr>
          <w:ilvl w:val="4"/>
          <w:numId w:val="12"/>
        </w:numPr>
        <w:autoSpaceDE/>
        <w:autoSpaceDN/>
        <w:adjustRightInd/>
        <w:rPr>
          <w:sz w:val="22"/>
          <w:szCs w:val="22"/>
        </w:rPr>
      </w:pPr>
      <w:r w:rsidRPr="00491724">
        <w:rPr>
          <w:sz w:val="22"/>
          <w:szCs w:val="22"/>
        </w:rPr>
        <w:t xml:space="preserve">The results of Ernst &amp; Young’s work, including the assumptions and qualifications made in preparing the report, are set out in Ernst &amp; Young's report dated </w:t>
      </w:r>
      <w:r w:rsidR="00FF17D5">
        <w:rPr>
          <w:sz w:val="22"/>
          <w:szCs w:val="22"/>
        </w:rPr>
        <w:t>September</w:t>
      </w:r>
      <w:r w:rsidR="00652602">
        <w:rPr>
          <w:sz w:val="22"/>
          <w:szCs w:val="22"/>
        </w:rPr>
        <w:t xml:space="preserve"> 2018 ("Report"). </w:t>
      </w:r>
      <w:r w:rsidRPr="00491724">
        <w:rPr>
          <w:sz w:val="22"/>
          <w:szCs w:val="22"/>
        </w:rPr>
        <w:t>The Report should be read in its entirety including the applicable scope of</w:t>
      </w:r>
      <w:r w:rsidR="00652602">
        <w:rPr>
          <w:sz w:val="22"/>
          <w:szCs w:val="22"/>
        </w:rPr>
        <w:t xml:space="preserve"> the work and any limitations. </w:t>
      </w:r>
      <w:r w:rsidRPr="00491724">
        <w:rPr>
          <w:sz w:val="22"/>
          <w:szCs w:val="22"/>
        </w:rPr>
        <w:t>A reference to the Report includes any part of the R</w:t>
      </w:r>
      <w:r w:rsidR="00BD70D5" w:rsidRPr="00491724">
        <w:rPr>
          <w:sz w:val="22"/>
          <w:szCs w:val="22"/>
        </w:rPr>
        <w:t xml:space="preserve">eport.  Our work commenced on </w:t>
      </w:r>
      <w:r w:rsidR="00393695" w:rsidRPr="00491724">
        <w:rPr>
          <w:sz w:val="22"/>
          <w:szCs w:val="22"/>
        </w:rPr>
        <w:t>23</w:t>
      </w:r>
      <w:r w:rsidRPr="00491724">
        <w:rPr>
          <w:sz w:val="22"/>
          <w:szCs w:val="22"/>
        </w:rPr>
        <w:t xml:space="preserve"> </w:t>
      </w:r>
      <w:r w:rsidR="00393695" w:rsidRPr="00491724">
        <w:rPr>
          <w:sz w:val="22"/>
          <w:szCs w:val="22"/>
        </w:rPr>
        <w:t>May</w:t>
      </w:r>
      <w:r w:rsidRPr="00491724">
        <w:rPr>
          <w:sz w:val="22"/>
          <w:szCs w:val="22"/>
        </w:rPr>
        <w:t xml:space="preserve"> 201</w:t>
      </w:r>
      <w:r w:rsidR="00393695" w:rsidRPr="00491724">
        <w:rPr>
          <w:sz w:val="22"/>
          <w:szCs w:val="22"/>
        </w:rPr>
        <w:t>8</w:t>
      </w:r>
      <w:r w:rsidRPr="00491724">
        <w:rPr>
          <w:sz w:val="22"/>
          <w:szCs w:val="22"/>
        </w:rPr>
        <w:t xml:space="preserve"> and was completed on </w:t>
      </w:r>
      <w:r w:rsidR="00325105" w:rsidRPr="00325105">
        <w:rPr>
          <w:sz w:val="22"/>
          <w:szCs w:val="22"/>
        </w:rPr>
        <w:t>5</w:t>
      </w:r>
      <w:r w:rsidR="009A2AAD" w:rsidRPr="00491724">
        <w:rPr>
          <w:sz w:val="22"/>
          <w:szCs w:val="22"/>
        </w:rPr>
        <w:t xml:space="preserve"> </w:t>
      </w:r>
      <w:r w:rsidR="00325105">
        <w:rPr>
          <w:sz w:val="22"/>
          <w:szCs w:val="22"/>
        </w:rPr>
        <w:t>September</w:t>
      </w:r>
      <w:r w:rsidRPr="00491724">
        <w:rPr>
          <w:sz w:val="22"/>
          <w:szCs w:val="22"/>
        </w:rPr>
        <w:t xml:space="preserve"> 2018. Therefore, our Report does not take account of events or circumstances arising after </w:t>
      </w:r>
      <w:r w:rsidR="00325105" w:rsidRPr="00325105">
        <w:rPr>
          <w:sz w:val="22"/>
          <w:szCs w:val="22"/>
        </w:rPr>
        <w:t>5</w:t>
      </w:r>
      <w:r w:rsidR="009A2AAD" w:rsidRPr="00491724">
        <w:rPr>
          <w:sz w:val="22"/>
          <w:szCs w:val="22"/>
        </w:rPr>
        <w:t xml:space="preserve"> </w:t>
      </w:r>
      <w:r w:rsidR="00325105">
        <w:rPr>
          <w:sz w:val="22"/>
          <w:szCs w:val="22"/>
        </w:rPr>
        <w:t>September</w:t>
      </w:r>
      <w:r w:rsidRPr="00491724">
        <w:rPr>
          <w:sz w:val="22"/>
          <w:szCs w:val="22"/>
        </w:rPr>
        <w:t xml:space="preserve"> 2018 and we have no responsibility to update the Report for such events or circumstances.</w:t>
      </w:r>
    </w:p>
    <w:p w:rsidR="003A3F63" w:rsidRPr="00491724" w:rsidRDefault="003A3F63" w:rsidP="00A15416">
      <w:pPr>
        <w:pStyle w:val="EYBodytextwithparaspace"/>
        <w:numPr>
          <w:ilvl w:val="4"/>
          <w:numId w:val="12"/>
        </w:numPr>
        <w:autoSpaceDE/>
        <w:autoSpaceDN/>
        <w:adjustRightInd/>
        <w:rPr>
          <w:sz w:val="22"/>
          <w:szCs w:val="22"/>
        </w:rPr>
      </w:pPr>
      <w:r w:rsidRPr="00491724">
        <w:rPr>
          <w:sz w:val="22"/>
          <w:szCs w:val="22"/>
        </w:rPr>
        <w:t xml:space="preserve">The Report will be used for the purpose of </w:t>
      </w:r>
      <w:r w:rsidR="00921F89">
        <w:rPr>
          <w:sz w:val="22"/>
          <w:szCs w:val="22"/>
        </w:rPr>
        <w:t xml:space="preserve">assessing the need </w:t>
      </w:r>
      <w:r w:rsidR="008564F8">
        <w:rPr>
          <w:sz w:val="22"/>
          <w:szCs w:val="22"/>
        </w:rPr>
        <w:t xml:space="preserve">for accessible </w:t>
      </w:r>
      <w:r w:rsidR="00921F89">
        <w:rPr>
          <w:sz w:val="22"/>
          <w:szCs w:val="22"/>
        </w:rPr>
        <w:t xml:space="preserve">adult change facilities in public buildings </w:t>
      </w:r>
      <w:r w:rsidRPr="00491724">
        <w:rPr>
          <w:sz w:val="22"/>
          <w:szCs w:val="22"/>
        </w:rPr>
        <w:t>as described above (the “Purpose”).</w:t>
      </w:r>
    </w:p>
    <w:p w:rsidR="003A3F63" w:rsidRPr="003A3F63" w:rsidRDefault="003A3F63" w:rsidP="00A15416">
      <w:pPr>
        <w:pStyle w:val="EYBodytextwithparaspace"/>
        <w:numPr>
          <w:ilvl w:val="4"/>
          <w:numId w:val="12"/>
        </w:numPr>
        <w:autoSpaceDE/>
        <w:autoSpaceDN/>
        <w:adjustRightInd/>
        <w:rPr>
          <w:sz w:val="22"/>
          <w:szCs w:val="22"/>
        </w:rPr>
      </w:pPr>
      <w:r w:rsidRPr="003A3F63">
        <w:rPr>
          <w:sz w:val="22"/>
          <w:szCs w:val="22"/>
        </w:rPr>
        <w:t>Ernst &amp; Young has prepared the Report</w:t>
      </w:r>
      <w:r w:rsidRPr="00803194">
        <w:rPr>
          <w:sz w:val="22"/>
          <w:szCs w:val="22"/>
        </w:rPr>
        <w:t xml:space="preserve"> </w:t>
      </w:r>
      <w:r w:rsidRPr="003A3F63">
        <w:rPr>
          <w:sz w:val="22"/>
          <w:szCs w:val="22"/>
        </w:rPr>
        <w:t>for the benefit of the Department and has considered only the interests of the Depart</w:t>
      </w:r>
      <w:r w:rsidR="00652602">
        <w:rPr>
          <w:sz w:val="22"/>
          <w:szCs w:val="22"/>
        </w:rPr>
        <w:t xml:space="preserve">ment. </w:t>
      </w:r>
      <w:r w:rsidRPr="003A3F63">
        <w:rPr>
          <w:sz w:val="22"/>
          <w:szCs w:val="22"/>
        </w:rPr>
        <w:t xml:space="preserve">Ernst &amp; Young has not been engaged to act, and has not acted, as advisor to any other party.  Accordingly, Ernst &amp; Young makes no representations as to the appropriateness, accuracy or completeness of the Report for any other party's purposes. </w:t>
      </w:r>
    </w:p>
    <w:p w:rsidR="003A3F63" w:rsidRPr="009F494B" w:rsidRDefault="003A3F63" w:rsidP="009F494B">
      <w:pPr>
        <w:pStyle w:val="EYBodytextwithparaspace"/>
        <w:numPr>
          <w:ilvl w:val="4"/>
          <w:numId w:val="12"/>
        </w:numPr>
        <w:autoSpaceDE/>
        <w:autoSpaceDN/>
        <w:adjustRightInd/>
        <w:rPr>
          <w:sz w:val="22"/>
          <w:szCs w:val="22"/>
        </w:rPr>
      </w:pPr>
      <w:r w:rsidRPr="00803194">
        <w:rPr>
          <w:sz w:val="22"/>
          <w:szCs w:val="22"/>
        </w:rPr>
        <w:t>This Report was prepared on the specific instructions of the Department solely for the Purpose and should not be used or relied upon for any other purpose or by anyone else for any purpose</w:t>
      </w:r>
      <w:r w:rsidR="009F494B">
        <w:rPr>
          <w:sz w:val="22"/>
          <w:szCs w:val="22"/>
        </w:rPr>
        <w:t>.</w:t>
      </w:r>
    </w:p>
    <w:p w:rsidR="003A3F63" w:rsidRPr="003A3F63" w:rsidRDefault="003A3F63" w:rsidP="00A15416">
      <w:pPr>
        <w:pStyle w:val="EYBodytextwithparaspace"/>
        <w:numPr>
          <w:ilvl w:val="4"/>
          <w:numId w:val="12"/>
        </w:numPr>
        <w:autoSpaceDE/>
        <w:autoSpaceDN/>
        <w:adjustRightInd/>
        <w:rPr>
          <w:sz w:val="22"/>
          <w:szCs w:val="22"/>
        </w:rPr>
      </w:pPr>
      <w:r w:rsidRPr="003A3F63">
        <w:rPr>
          <w:sz w:val="22"/>
          <w:szCs w:val="22"/>
        </w:rPr>
        <w:t>No reliance may be placed upon the Report or any of its contents by any party other than the Department (“Third Parties”). Any Third Party receiving a copy of the Report must make and rely on their own enquiries in relation to the issues to which the Report relates, the contents of the Report and all matters arising from or relating to or in any way connected with the Report or its contents.</w:t>
      </w:r>
    </w:p>
    <w:p w:rsidR="003A3F63" w:rsidRPr="003A3F63" w:rsidRDefault="003A3F63" w:rsidP="00A15416">
      <w:pPr>
        <w:pStyle w:val="EYBodytextwithparaspace"/>
        <w:numPr>
          <w:ilvl w:val="4"/>
          <w:numId w:val="12"/>
        </w:numPr>
        <w:autoSpaceDE/>
        <w:autoSpaceDN/>
        <w:adjustRightInd/>
        <w:rPr>
          <w:sz w:val="22"/>
          <w:szCs w:val="22"/>
        </w:rPr>
      </w:pPr>
      <w:r w:rsidRPr="003A3F63">
        <w:rPr>
          <w:sz w:val="22"/>
          <w:szCs w:val="22"/>
        </w:rPr>
        <w:t>Ernst &amp; Young disclaims all responsibility to any Third Party for any loss or liability that the Third Party may suffer or incur arising from or relating to or in any way connected with the contents of the Report, the provision of the Report to the Third Party or the reliance upon the Report by the Third Party. </w:t>
      </w:r>
      <w:r w:rsidR="00292257">
        <w:rPr>
          <w:sz w:val="22"/>
          <w:szCs w:val="22"/>
        </w:rPr>
        <w:t xml:space="preserve">Accordingly, if any Third Party </w:t>
      </w:r>
      <w:r w:rsidR="00292257" w:rsidRPr="009F494B">
        <w:rPr>
          <w:sz w:val="22"/>
          <w:szCs w:val="22"/>
        </w:rPr>
        <w:t>choose</w:t>
      </w:r>
      <w:r w:rsidR="00292257">
        <w:rPr>
          <w:sz w:val="22"/>
          <w:szCs w:val="22"/>
        </w:rPr>
        <w:t>s</w:t>
      </w:r>
      <w:r w:rsidR="00292257" w:rsidRPr="009F494B">
        <w:rPr>
          <w:sz w:val="22"/>
          <w:szCs w:val="22"/>
        </w:rPr>
        <w:t xml:space="preserve"> to rely upon any of the contents of this Report they do so at their own risk</w:t>
      </w:r>
      <w:r w:rsidR="007C69BF">
        <w:rPr>
          <w:sz w:val="22"/>
          <w:szCs w:val="22"/>
        </w:rPr>
        <w:t>.</w:t>
      </w:r>
    </w:p>
    <w:p w:rsidR="003A3F63" w:rsidRPr="003A3F63" w:rsidRDefault="003A3F63" w:rsidP="00A15416">
      <w:pPr>
        <w:pStyle w:val="EYNormal"/>
        <w:keepLines/>
        <w:numPr>
          <w:ilvl w:val="0"/>
          <w:numId w:val="12"/>
        </w:numPr>
        <w:autoSpaceDE/>
        <w:autoSpaceDN/>
        <w:adjustRightInd/>
        <w:spacing w:after="240"/>
        <w:rPr>
          <w:sz w:val="22"/>
          <w:szCs w:val="22"/>
        </w:rPr>
      </w:pPr>
      <w:r w:rsidRPr="003A3F63">
        <w:rPr>
          <w:sz w:val="22"/>
          <w:szCs w:val="22"/>
        </w:rPr>
        <w:lastRenderedPageBreak/>
        <w:t xml:space="preserve">No claim or demand or any actions or proceedings may be brought against Ernst &amp; Young arising from or connected with the contents of the Report or the provision of the Report to the Third Party. Ernst &amp; Young will be released and forever discharged from any such claims, demands, actions or proceedings. Throughout the report we have quantified (where possible) </w:t>
      </w:r>
      <w:r w:rsidR="00CC6F6D" w:rsidRPr="003A3F63">
        <w:rPr>
          <w:sz w:val="22"/>
          <w:szCs w:val="22"/>
        </w:rPr>
        <w:t>whole</w:t>
      </w:r>
      <w:r w:rsidR="00CC6F6D">
        <w:rPr>
          <w:sz w:val="22"/>
          <w:szCs w:val="22"/>
        </w:rPr>
        <w:t>-</w:t>
      </w:r>
      <w:r w:rsidR="00CC6F6D" w:rsidRPr="003A3F63">
        <w:rPr>
          <w:sz w:val="22"/>
          <w:szCs w:val="22"/>
        </w:rPr>
        <w:t>of</w:t>
      </w:r>
      <w:r w:rsidR="00CC6F6D">
        <w:rPr>
          <w:sz w:val="22"/>
          <w:szCs w:val="22"/>
        </w:rPr>
        <w:t>-</w:t>
      </w:r>
      <w:r w:rsidRPr="003A3F63">
        <w:rPr>
          <w:sz w:val="22"/>
          <w:szCs w:val="22"/>
        </w:rPr>
        <w:t xml:space="preserve">economy impacts of the addition of </w:t>
      </w:r>
      <w:r w:rsidR="008564F8">
        <w:rPr>
          <w:sz w:val="22"/>
          <w:szCs w:val="22"/>
        </w:rPr>
        <w:t>a</w:t>
      </w:r>
      <w:r w:rsidRPr="003A3F63">
        <w:rPr>
          <w:sz w:val="22"/>
          <w:szCs w:val="22"/>
        </w:rPr>
        <w:t xml:space="preserve">ccessible </w:t>
      </w:r>
      <w:r w:rsidR="008564F8">
        <w:rPr>
          <w:sz w:val="22"/>
          <w:szCs w:val="22"/>
        </w:rPr>
        <w:t>a</w:t>
      </w:r>
      <w:r w:rsidRPr="003A3F63">
        <w:rPr>
          <w:sz w:val="22"/>
          <w:szCs w:val="22"/>
        </w:rPr>
        <w:t xml:space="preserve">dult </w:t>
      </w:r>
      <w:r w:rsidR="008564F8">
        <w:rPr>
          <w:sz w:val="22"/>
          <w:szCs w:val="22"/>
        </w:rPr>
        <w:t>c</w:t>
      </w:r>
      <w:r w:rsidRPr="003A3F63">
        <w:rPr>
          <w:sz w:val="22"/>
          <w:szCs w:val="22"/>
        </w:rPr>
        <w:t xml:space="preserve">hange </w:t>
      </w:r>
      <w:r w:rsidR="008564F8">
        <w:rPr>
          <w:sz w:val="22"/>
          <w:szCs w:val="22"/>
        </w:rPr>
        <w:t>f</w:t>
      </w:r>
      <w:r w:rsidRPr="003A3F63">
        <w:rPr>
          <w:sz w:val="22"/>
          <w:szCs w:val="22"/>
        </w:rPr>
        <w:t xml:space="preserve">acilities based on a range of hypothetical assumptions and parameters. The outcome could be different, had a different set of assumptions and parameters been used. </w:t>
      </w:r>
      <w:r w:rsidRPr="003A3F63">
        <w:rPr>
          <w:color w:val="000000" w:themeColor="text1"/>
          <w:sz w:val="22"/>
          <w:szCs w:val="22"/>
        </w:rPr>
        <w:t>As future events and circumstances frequently do not occur as expected, the differences may be material. We take no responsibility that the projected outcomes will be achieved, if any.</w:t>
      </w:r>
    </w:p>
    <w:p w:rsidR="003A3F63" w:rsidRPr="003A3F63" w:rsidRDefault="003A3F63" w:rsidP="00A15416">
      <w:pPr>
        <w:pStyle w:val="EYBodytextwithparaspace"/>
        <w:numPr>
          <w:ilvl w:val="4"/>
          <w:numId w:val="12"/>
        </w:numPr>
        <w:autoSpaceDE/>
        <w:autoSpaceDN/>
        <w:adjustRightInd/>
        <w:rPr>
          <w:sz w:val="22"/>
          <w:szCs w:val="22"/>
        </w:rPr>
      </w:pPr>
      <w:r w:rsidRPr="003A3F63">
        <w:rPr>
          <w:sz w:val="22"/>
          <w:szCs w:val="22"/>
        </w:rPr>
        <w:t xml:space="preserve">Our Report is based, in part, </w:t>
      </w:r>
      <w:r w:rsidRPr="003A3F63">
        <w:rPr>
          <w:color w:val="000000" w:themeColor="text1"/>
          <w:sz w:val="22"/>
          <w:szCs w:val="22"/>
        </w:rPr>
        <w:t xml:space="preserve">on the assumptions stated and </w:t>
      </w:r>
      <w:r w:rsidRPr="003A3F63">
        <w:rPr>
          <w:sz w:val="22"/>
          <w:szCs w:val="22"/>
        </w:rPr>
        <w:t>on the information provided to us by the Department,</w:t>
      </w:r>
      <w:r w:rsidRPr="003A3F63">
        <w:rPr>
          <w:color w:val="000000" w:themeColor="text1"/>
          <w:sz w:val="22"/>
          <w:szCs w:val="22"/>
        </w:rPr>
        <w:t xml:space="preserve"> including information provided by the Department on 27 October 2017, as well as information </w:t>
      </w:r>
      <w:r w:rsidRPr="003A3F63">
        <w:rPr>
          <w:sz w:val="22"/>
          <w:szCs w:val="22"/>
        </w:rPr>
        <w:t>obtained from a range of sources believed after due enquiry to be reliable and accurate. We do not imply, and it should not be construed that we have performed audit or due diligence procedures on any of the information provided to us. We have not independently verified, or accept any responsibility or liability for independently verifying, any such information nor do we make any representation as to the accuracy or completeness of the information. We accept no responsibility or liability for any loss or damage, which may result from your reliance on any research, analyses or information so supplied.</w:t>
      </w:r>
    </w:p>
    <w:p w:rsidR="003A3F63" w:rsidRPr="003A3F63" w:rsidRDefault="003A3F63" w:rsidP="00A15416">
      <w:pPr>
        <w:pStyle w:val="EYBodytextwithparaspace"/>
        <w:numPr>
          <w:ilvl w:val="4"/>
          <w:numId w:val="12"/>
        </w:numPr>
        <w:autoSpaceDE/>
        <w:autoSpaceDN/>
        <w:adjustRightInd/>
        <w:rPr>
          <w:sz w:val="22"/>
          <w:szCs w:val="22"/>
        </w:rPr>
      </w:pPr>
      <w:r w:rsidRPr="000E3479">
        <w:rPr>
          <w:sz w:val="22"/>
          <w:szCs w:val="22"/>
        </w:rPr>
        <w:t>Ernst &amp; Young ha</w:t>
      </w:r>
      <w:r w:rsidR="00B4053E" w:rsidRPr="000E3479">
        <w:rPr>
          <w:sz w:val="22"/>
          <w:szCs w:val="22"/>
        </w:rPr>
        <w:t>s</w:t>
      </w:r>
      <w:r w:rsidRPr="000E3479">
        <w:rPr>
          <w:sz w:val="22"/>
          <w:szCs w:val="22"/>
        </w:rPr>
        <w:t xml:space="preserve"> consented to the Report being published electronically on the websites of the ABCB, Office of Best Practice Regulation, industry.gov.au, and the Attorney General’s Department (AGD) website for informational purposes only. Ernst &amp; Young have not consented to distribution or disclosure beyond this.</w:t>
      </w:r>
      <w:r w:rsidRPr="003A3F63">
        <w:rPr>
          <w:sz w:val="22"/>
          <w:szCs w:val="22"/>
        </w:rPr>
        <w:t xml:space="preserve"> The material contained in the Report, including the Ernst &amp; Young logo, is copyright and copyright in the Report itself vests in the Department. The Report, including the Ernst &amp; Young logo, cannot be altered without prior written permission from Ernst &amp; Young.</w:t>
      </w:r>
    </w:p>
    <w:p w:rsidR="003A3F63" w:rsidRPr="003A3F63" w:rsidRDefault="003A3F63" w:rsidP="00A15416">
      <w:pPr>
        <w:pStyle w:val="EYBodytextwithparaspace"/>
        <w:numPr>
          <w:ilvl w:val="4"/>
          <w:numId w:val="12"/>
        </w:numPr>
        <w:autoSpaceDE/>
        <w:autoSpaceDN/>
        <w:adjustRightInd/>
        <w:rPr>
          <w:sz w:val="22"/>
          <w:szCs w:val="22"/>
        </w:rPr>
      </w:pPr>
      <w:r w:rsidRPr="003A3F63">
        <w:rPr>
          <w:sz w:val="22"/>
          <w:szCs w:val="22"/>
        </w:rPr>
        <w:t>Ernst &amp; Young’s liability is limited by a scheme approved under Professional Standards Legislation.</w:t>
      </w:r>
    </w:p>
    <w:p w:rsidR="003A3F63" w:rsidRPr="00AA0299" w:rsidRDefault="003A3F63" w:rsidP="00A15416">
      <w:pPr>
        <w:pStyle w:val="EYBodytextwithparaspace"/>
        <w:numPr>
          <w:ilvl w:val="3"/>
          <w:numId w:val="12"/>
        </w:numPr>
        <w:autoSpaceDE/>
        <w:autoSpaceDN/>
        <w:adjustRightInd/>
        <w:rPr>
          <w:rFonts w:asciiTheme="minorHAnsi" w:hAnsiTheme="minorHAnsi" w:cstheme="minorHAnsi"/>
          <w:b/>
          <w:szCs w:val="22"/>
          <w:highlight w:val="yellow"/>
        </w:rPr>
      </w:pPr>
    </w:p>
    <w:p w:rsidR="003A3F63" w:rsidRDefault="003A3F63">
      <w:pPr>
        <w:jc w:val="left"/>
        <w:rPr>
          <w:rFonts w:eastAsiaTheme="majorEastAsia" w:cs="Arial"/>
          <w:b/>
          <w:color w:val="808080"/>
          <w:sz w:val="28"/>
          <w:szCs w:val="24"/>
        </w:rPr>
      </w:pPr>
      <w:r>
        <w:rPr>
          <w:rFonts w:eastAsiaTheme="majorEastAsia"/>
        </w:rPr>
        <w:br w:type="page"/>
      </w:r>
    </w:p>
    <w:p w:rsidR="00EF3069" w:rsidRDefault="00EF3069" w:rsidP="00AB0998">
      <w:pPr>
        <w:pStyle w:val="EYContents"/>
        <w:rPr>
          <w:rFonts w:eastAsiaTheme="majorEastAsia"/>
        </w:rPr>
      </w:pPr>
      <w:r>
        <w:rPr>
          <w:rFonts w:eastAsiaTheme="majorEastAsia"/>
        </w:rPr>
        <w:lastRenderedPageBreak/>
        <w:t>Table of contents</w:t>
      </w:r>
    </w:p>
    <w:p w:rsidR="001B1279" w:rsidRDefault="00AB0998">
      <w:pPr>
        <w:pStyle w:val="TOC1"/>
        <w:tabs>
          <w:tab w:val="right" w:leader="dot" w:pos="9627"/>
        </w:tabs>
        <w:rPr>
          <w:rFonts w:asciiTheme="minorHAnsi" w:eastAsiaTheme="minorEastAsia" w:hAnsiTheme="minorHAnsi"/>
          <w:noProof/>
          <w:sz w:val="22"/>
          <w:lang w:eastAsia="en-AU"/>
        </w:rPr>
      </w:pPr>
      <w:r>
        <w:rPr>
          <w:rFonts w:eastAsiaTheme="majorEastAsia"/>
        </w:rPr>
        <w:fldChar w:fldCharType="begin"/>
      </w:r>
      <w:r>
        <w:rPr>
          <w:rFonts w:eastAsiaTheme="majorEastAsia"/>
        </w:rPr>
        <w:instrText xml:space="preserve"> TOC \o "1-2" \h \z </w:instrText>
      </w:r>
      <w:r>
        <w:rPr>
          <w:rFonts w:eastAsiaTheme="majorEastAsia"/>
        </w:rPr>
        <w:fldChar w:fldCharType="separate"/>
      </w:r>
      <w:hyperlink w:anchor="_Toc525897775" w:history="1">
        <w:r w:rsidR="001B1279" w:rsidRPr="00621F00">
          <w:rPr>
            <w:rStyle w:val="Hyperlink"/>
            <w:noProof/>
          </w:rPr>
          <w:t>Executive summary</w:t>
        </w:r>
        <w:r w:rsidR="001B1279">
          <w:rPr>
            <w:noProof/>
            <w:webHidden/>
          </w:rPr>
          <w:tab/>
        </w:r>
        <w:r w:rsidR="001B1279">
          <w:rPr>
            <w:noProof/>
            <w:webHidden/>
          </w:rPr>
          <w:fldChar w:fldCharType="begin"/>
        </w:r>
        <w:r w:rsidR="001B1279">
          <w:rPr>
            <w:noProof/>
            <w:webHidden/>
          </w:rPr>
          <w:instrText xml:space="preserve"> PAGEREF _Toc525897775 \h </w:instrText>
        </w:r>
        <w:r w:rsidR="001B1279">
          <w:rPr>
            <w:noProof/>
            <w:webHidden/>
          </w:rPr>
        </w:r>
        <w:r w:rsidR="001B1279">
          <w:rPr>
            <w:noProof/>
            <w:webHidden/>
          </w:rPr>
          <w:fldChar w:fldCharType="separate"/>
        </w:r>
        <w:r w:rsidR="00D209F6">
          <w:rPr>
            <w:noProof/>
            <w:webHidden/>
          </w:rPr>
          <w:t>1</w:t>
        </w:r>
        <w:r w:rsidR="001B1279">
          <w:rPr>
            <w:noProof/>
            <w:webHidden/>
          </w:rPr>
          <w:fldChar w:fldCharType="end"/>
        </w:r>
      </w:hyperlink>
    </w:p>
    <w:p w:rsidR="001B1279" w:rsidRDefault="0004036A">
      <w:pPr>
        <w:pStyle w:val="TOC1"/>
        <w:tabs>
          <w:tab w:val="right" w:leader="dot" w:pos="9627"/>
        </w:tabs>
        <w:rPr>
          <w:rFonts w:asciiTheme="minorHAnsi" w:eastAsiaTheme="minorEastAsia" w:hAnsiTheme="minorHAnsi"/>
          <w:noProof/>
          <w:sz w:val="22"/>
          <w:lang w:eastAsia="en-AU"/>
        </w:rPr>
      </w:pPr>
      <w:hyperlink w:anchor="_Toc525897776" w:history="1">
        <w:r w:rsidR="001B1279" w:rsidRPr="00621F00">
          <w:rPr>
            <w:rStyle w:val="Hyperlink"/>
            <w:noProof/>
          </w:rPr>
          <w:t>Summary of consultation responses</w:t>
        </w:r>
        <w:r w:rsidR="001B1279">
          <w:rPr>
            <w:noProof/>
            <w:webHidden/>
          </w:rPr>
          <w:tab/>
        </w:r>
        <w:r w:rsidR="001B1279">
          <w:rPr>
            <w:noProof/>
            <w:webHidden/>
          </w:rPr>
          <w:fldChar w:fldCharType="begin"/>
        </w:r>
        <w:r w:rsidR="001B1279">
          <w:rPr>
            <w:noProof/>
            <w:webHidden/>
          </w:rPr>
          <w:instrText xml:space="preserve"> PAGEREF _Toc525897776 \h </w:instrText>
        </w:r>
        <w:r w:rsidR="001B1279">
          <w:rPr>
            <w:noProof/>
            <w:webHidden/>
          </w:rPr>
        </w:r>
        <w:r w:rsidR="001B1279">
          <w:rPr>
            <w:noProof/>
            <w:webHidden/>
          </w:rPr>
          <w:fldChar w:fldCharType="separate"/>
        </w:r>
        <w:r w:rsidR="00D209F6">
          <w:rPr>
            <w:noProof/>
            <w:webHidden/>
          </w:rPr>
          <w:t>7</w:t>
        </w:r>
        <w:r w:rsidR="001B1279">
          <w:rPr>
            <w:noProof/>
            <w:webHidden/>
          </w:rPr>
          <w:fldChar w:fldCharType="end"/>
        </w:r>
      </w:hyperlink>
    </w:p>
    <w:p w:rsidR="001B1279" w:rsidRDefault="0004036A">
      <w:pPr>
        <w:pStyle w:val="TOC1"/>
        <w:tabs>
          <w:tab w:val="left" w:pos="440"/>
          <w:tab w:val="right" w:leader="dot" w:pos="9627"/>
        </w:tabs>
        <w:rPr>
          <w:rFonts w:asciiTheme="minorHAnsi" w:eastAsiaTheme="minorEastAsia" w:hAnsiTheme="minorHAnsi"/>
          <w:noProof/>
          <w:sz w:val="22"/>
          <w:lang w:eastAsia="en-AU"/>
        </w:rPr>
      </w:pPr>
      <w:hyperlink w:anchor="_Toc525897777" w:history="1">
        <w:r w:rsidR="001B1279" w:rsidRPr="00621F00">
          <w:rPr>
            <w:rStyle w:val="Hyperlink"/>
            <w:noProof/>
          </w:rPr>
          <w:t>1.</w:t>
        </w:r>
        <w:r w:rsidR="001B1279">
          <w:rPr>
            <w:rFonts w:asciiTheme="minorHAnsi" w:eastAsiaTheme="minorEastAsia" w:hAnsiTheme="minorHAnsi"/>
            <w:noProof/>
            <w:sz w:val="22"/>
            <w:lang w:eastAsia="en-AU"/>
          </w:rPr>
          <w:tab/>
        </w:r>
        <w:r w:rsidR="001B1279" w:rsidRPr="00621F00">
          <w:rPr>
            <w:rStyle w:val="Hyperlink"/>
            <w:noProof/>
          </w:rPr>
          <w:t>Introduction</w:t>
        </w:r>
        <w:r w:rsidR="001B1279">
          <w:rPr>
            <w:noProof/>
            <w:webHidden/>
          </w:rPr>
          <w:tab/>
        </w:r>
        <w:r w:rsidR="001B1279">
          <w:rPr>
            <w:noProof/>
            <w:webHidden/>
          </w:rPr>
          <w:fldChar w:fldCharType="begin"/>
        </w:r>
        <w:r w:rsidR="001B1279">
          <w:rPr>
            <w:noProof/>
            <w:webHidden/>
          </w:rPr>
          <w:instrText xml:space="preserve"> PAGEREF _Toc525897777 \h </w:instrText>
        </w:r>
        <w:r w:rsidR="001B1279">
          <w:rPr>
            <w:noProof/>
            <w:webHidden/>
          </w:rPr>
        </w:r>
        <w:r w:rsidR="001B1279">
          <w:rPr>
            <w:noProof/>
            <w:webHidden/>
          </w:rPr>
          <w:fldChar w:fldCharType="separate"/>
        </w:r>
        <w:r w:rsidR="00D209F6">
          <w:rPr>
            <w:noProof/>
            <w:webHidden/>
          </w:rPr>
          <w:t>9</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78" w:history="1">
        <w:r w:rsidR="001B1279" w:rsidRPr="00621F00">
          <w:rPr>
            <w:rStyle w:val="Hyperlink"/>
            <w:noProof/>
          </w:rPr>
          <w:t>1.1</w:t>
        </w:r>
        <w:r w:rsidR="001B1279">
          <w:rPr>
            <w:rFonts w:asciiTheme="minorHAnsi" w:eastAsiaTheme="minorEastAsia" w:hAnsiTheme="minorHAnsi"/>
            <w:noProof/>
            <w:sz w:val="22"/>
            <w:lang w:eastAsia="en-AU"/>
          </w:rPr>
          <w:tab/>
        </w:r>
        <w:r w:rsidR="001B1279" w:rsidRPr="00621F00">
          <w:rPr>
            <w:rStyle w:val="Hyperlink"/>
            <w:noProof/>
          </w:rPr>
          <w:t>Current NCC Requirements</w:t>
        </w:r>
        <w:r w:rsidR="001B1279">
          <w:rPr>
            <w:noProof/>
            <w:webHidden/>
          </w:rPr>
          <w:tab/>
        </w:r>
        <w:r w:rsidR="001B1279">
          <w:rPr>
            <w:noProof/>
            <w:webHidden/>
          </w:rPr>
          <w:fldChar w:fldCharType="begin"/>
        </w:r>
        <w:r w:rsidR="001B1279">
          <w:rPr>
            <w:noProof/>
            <w:webHidden/>
          </w:rPr>
          <w:instrText xml:space="preserve"> PAGEREF _Toc525897778 \h </w:instrText>
        </w:r>
        <w:r w:rsidR="001B1279">
          <w:rPr>
            <w:noProof/>
            <w:webHidden/>
          </w:rPr>
        </w:r>
        <w:r w:rsidR="001B1279">
          <w:rPr>
            <w:noProof/>
            <w:webHidden/>
          </w:rPr>
          <w:fldChar w:fldCharType="separate"/>
        </w:r>
        <w:r w:rsidR="00D209F6">
          <w:rPr>
            <w:noProof/>
            <w:webHidden/>
          </w:rPr>
          <w:t>9</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79" w:history="1">
        <w:r w:rsidR="001B1279" w:rsidRPr="00621F00">
          <w:rPr>
            <w:rStyle w:val="Hyperlink"/>
            <w:noProof/>
          </w:rPr>
          <w:t>1.2</w:t>
        </w:r>
        <w:r w:rsidR="001B1279">
          <w:rPr>
            <w:rFonts w:asciiTheme="minorHAnsi" w:eastAsiaTheme="minorEastAsia" w:hAnsiTheme="minorHAnsi"/>
            <w:noProof/>
            <w:sz w:val="22"/>
            <w:lang w:eastAsia="en-AU"/>
          </w:rPr>
          <w:tab/>
        </w:r>
        <w:r w:rsidR="001B1279" w:rsidRPr="00621F00">
          <w:rPr>
            <w:rStyle w:val="Hyperlink"/>
            <w:noProof/>
          </w:rPr>
          <w:t>Defining the purpose of the analysis</w:t>
        </w:r>
        <w:r w:rsidR="001B1279">
          <w:rPr>
            <w:noProof/>
            <w:webHidden/>
          </w:rPr>
          <w:tab/>
        </w:r>
        <w:r w:rsidR="001B1279">
          <w:rPr>
            <w:noProof/>
            <w:webHidden/>
          </w:rPr>
          <w:fldChar w:fldCharType="begin"/>
        </w:r>
        <w:r w:rsidR="001B1279">
          <w:rPr>
            <w:noProof/>
            <w:webHidden/>
          </w:rPr>
          <w:instrText xml:space="preserve"> PAGEREF _Toc525897779 \h </w:instrText>
        </w:r>
        <w:r w:rsidR="001B1279">
          <w:rPr>
            <w:noProof/>
            <w:webHidden/>
          </w:rPr>
        </w:r>
        <w:r w:rsidR="001B1279">
          <w:rPr>
            <w:noProof/>
            <w:webHidden/>
          </w:rPr>
          <w:fldChar w:fldCharType="separate"/>
        </w:r>
        <w:r w:rsidR="00D209F6">
          <w:rPr>
            <w:noProof/>
            <w:webHidden/>
          </w:rPr>
          <w:t>10</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80" w:history="1">
        <w:r w:rsidR="001B1279" w:rsidRPr="00621F00">
          <w:rPr>
            <w:rStyle w:val="Hyperlink"/>
            <w:noProof/>
          </w:rPr>
          <w:t>1.3</w:t>
        </w:r>
        <w:r w:rsidR="001B1279">
          <w:rPr>
            <w:rFonts w:asciiTheme="minorHAnsi" w:eastAsiaTheme="minorEastAsia" w:hAnsiTheme="minorHAnsi"/>
            <w:noProof/>
            <w:sz w:val="22"/>
            <w:lang w:eastAsia="en-AU"/>
          </w:rPr>
          <w:tab/>
        </w:r>
        <w:r w:rsidR="001B1279" w:rsidRPr="00621F00">
          <w:rPr>
            <w:rStyle w:val="Hyperlink"/>
            <w:noProof/>
          </w:rPr>
          <w:t>Structure of this report</w:t>
        </w:r>
        <w:r w:rsidR="001B1279">
          <w:rPr>
            <w:noProof/>
            <w:webHidden/>
          </w:rPr>
          <w:tab/>
        </w:r>
        <w:r w:rsidR="001B1279">
          <w:rPr>
            <w:noProof/>
            <w:webHidden/>
          </w:rPr>
          <w:fldChar w:fldCharType="begin"/>
        </w:r>
        <w:r w:rsidR="001B1279">
          <w:rPr>
            <w:noProof/>
            <w:webHidden/>
          </w:rPr>
          <w:instrText xml:space="preserve"> PAGEREF _Toc525897780 \h </w:instrText>
        </w:r>
        <w:r w:rsidR="001B1279">
          <w:rPr>
            <w:noProof/>
            <w:webHidden/>
          </w:rPr>
        </w:r>
        <w:r w:rsidR="001B1279">
          <w:rPr>
            <w:noProof/>
            <w:webHidden/>
          </w:rPr>
          <w:fldChar w:fldCharType="separate"/>
        </w:r>
        <w:r w:rsidR="00D209F6">
          <w:rPr>
            <w:noProof/>
            <w:webHidden/>
          </w:rPr>
          <w:t>11</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81" w:history="1">
        <w:r w:rsidR="001B1279" w:rsidRPr="00621F00">
          <w:rPr>
            <w:rStyle w:val="Hyperlink"/>
            <w:noProof/>
          </w:rPr>
          <w:t>1.4</w:t>
        </w:r>
        <w:r w:rsidR="001B1279">
          <w:rPr>
            <w:rFonts w:asciiTheme="minorHAnsi" w:eastAsiaTheme="minorEastAsia" w:hAnsiTheme="minorHAnsi"/>
            <w:noProof/>
            <w:sz w:val="22"/>
            <w:lang w:eastAsia="en-AU"/>
          </w:rPr>
          <w:tab/>
        </w:r>
        <w:r w:rsidR="001B1279" w:rsidRPr="00621F00">
          <w:rPr>
            <w:rStyle w:val="Hyperlink"/>
            <w:noProof/>
          </w:rPr>
          <w:t>What are accessible adult change facilities?</w:t>
        </w:r>
        <w:r w:rsidR="001B1279">
          <w:rPr>
            <w:noProof/>
            <w:webHidden/>
          </w:rPr>
          <w:tab/>
        </w:r>
        <w:r w:rsidR="001B1279">
          <w:rPr>
            <w:noProof/>
            <w:webHidden/>
          </w:rPr>
          <w:fldChar w:fldCharType="begin"/>
        </w:r>
        <w:r w:rsidR="001B1279">
          <w:rPr>
            <w:noProof/>
            <w:webHidden/>
          </w:rPr>
          <w:instrText xml:space="preserve"> PAGEREF _Toc525897781 \h </w:instrText>
        </w:r>
        <w:r w:rsidR="001B1279">
          <w:rPr>
            <w:noProof/>
            <w:webHidden/>
          </w:rPr>
        </w:r>
        <w:r w:rsidR="001B1279">
          <w:rPr>
            <w:noProof/>
            <w:webHidden/>
          </w:rPr>
          <w:fldChar w:fldCharType="separate"/>
        </w:r>
        <w:r w:rsidR="00D209F6">
          <w:rPr>
            <w:noProof/>
            <w:webHidden/>
          </w:rPr>
          <w:t>11</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82" w:history="1">
        <w:r w:rsidR="001B1279" w:rsidRPr="00621F00">
          <w:rPr>
            <w:rStyle w:val="Hyperlink"/>
            <w:noProof/>
          </w:rPr>
          <w:t>1.5</w:t>
        </w:r>
        <w:r w:rsidR="001B1279">
          <w:rPr>
            <w:rFonts w:asciiTheme="minorHAnsi" w:eastAsiaTheme="minorEastAsia" w:hAnsiTheme="minorHAnsi"/>
            <w:noProof/>
            <w:sz w:val="22"/>
            <w:lang w:eastAsia="en-AU"/>
          </w:rPr>
          <w:tab/>
        </w:r>
        <w:r w:rsidR="001B1279" w:rsidRPr="00621F00">
          <w:rPr>
            <w:rStyle w:val="Hyperlink"/>
            <w:noProof/>
          </w:rPr>
          <w:t>Overview of approach</w:t>
        </w:r>
        <w:r w:rsidR="001B1279">
          <w:rPr>
            <w:noProof/>
            <w:webHidden/>
          </w:rPr>
          <w:tab/>
        </w:r>
        <w:r w:rsidR="001B1279">
          <w:rPr>
            <w:noProof/>
            <w:webHidden/>
          </w:rPr>
          <w:fldChar w:fldCharType="begin"/>
        </w:r>
        <w:r w:rsidR="001B1279">
          <w:rPr>
            <w:noProof/>
            <w:webHidden/>
          </w:rPr>
          <w:instrText xml:space="preserve"> PAGEREF _Toc525897782 \h </w:instrText>
        </w:r>
        <w:r w:rsidR="001B1279">
          <w:rPr>
            <w:noProof/>
            <w:webHidden/>
          </w:rPr>
        </w:r>
        <w:r w:rsidR="001B1279">
          <w:rPr>
            <w:noProof/>
            <w:webHidden/>
          </w:rPr>
          <w:fldChar w:fldCharType="separate"/>
        </w:r>
        <w:r w:rsidR="00D209F6">
          <w:rPr>
            <w:noProof/>
            <w:webHidden/>
          </w:rPr>
          <w:t>12</w:t>
        </w:r>
        <w:r w:rsidR="001B1279">
          <w:rPr>
            <w:noProof/>
            <w:webHidden/>
          </w:rPr>
          <w:fldChar w:fldCharType="end"/>
        </w:r>
      </w:hyperlink>
    </w:p>
    <w:p w:rsidR="001B1279" w:rsidRDefault="0004036A">
      <w:pPr>
        <w:pStyle w:val="TOC1"/>
        <w:tabs>
          <w:tab w:val="left" w:pos="440"/>
          <w:tab w:val="right" w:leader="dot" w:pos="9627"/>
        </w:tabs>
        <w:rPr>
          <w:rFonts w:asciiTheme="minorHAnsi" w:eastAsiaTheme="minorEastAsia" w:hAnsiTheme="minorHAnsi"/>
          <w:noProof/>
          <w:sz w:val="22"/>
          <w:lang w:eastAsia="en-AU"/>
        </w:rPr>
      </w:pPr>
      <w:hyperlink w:anchor="_Toc525897783" w:history="1">
        <w:r w:rsidR="001B1279" w:rsidRPr="00621F00">
          <w:rPr>
            <w:rStyle w:val="Hyperlink"/>
            <w:noProof/>
          </w:rPr>
          <w:t>2.</w:t>
        </w:r>
        <w:r w:rsidR="001B1279">
          <w:rPr>
            <w:rFonts w:asciiTheme="minorHAnsi" w:eastAsiaTheme="minorEastAsia" w:hAnsiTheme="minorHAnsi"/>
            <w:noProof/>
            <w:sz w:val="22"/>
            <w:lang w:eastAsia="en-AU"/>
          </w:rPr>
          <w:tab/>
        </w:r>
        <w:r w:rsidR="001B1279" w:rsidRPr="00621F00">
          <w:rPr>
            <w:rStyle w:val="Hyperlink"/>
            <w:noProof/>
          </w:rPr>
          <w:t>What is the problem?</w:t>
        </w:r>
        <w:r w:rsidR="001B1279">
          <w:rPr>
            <w:noProof/>
            <w:webHidden/>
          </w:rPr>
          <w:tab/>
        </w:r>
        <w:r w:rsidR="001B1279">
          <w:rPr>
            <w:noProof/>
            <w:webHidden/>
          </w:rPr>
          <w:fldChar w:fldCharType="begin"/>
        </w:r>
        <w:r w:rsidR="001B1279">
          <w:rPr>
            <w:noProof/>
            <w:webHidden/>
          </w:rPr>
          <w:instrText xml:space="preserve"> PAGEREF _Toc525897783 \h </w:instrText>
        </w:r>
        <w:r w:rsidR="001B1279">
          <w:rPr>
            <w:noProof/>
            <w:webHidden/>
          </w:rPr>
        </w:r>
        <w:r w:rsidR="001B1279">
          <w:rPr>
            <w:noProof/>
            <w:webHidden/>
          </w:rPr>
          <w:fldChar w:fldCharType="separate"/>
        </w:r>
        <w:r w:rsidR="00D209F6">
          <w:rPr>
            <w:noProof/>
            <w:webHidden/>
          </w:rPr>
          <w:t>21</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84" w:history="1">
        <w:r w:rsidR="001B1279" w:rsidRPr="00621F00">
          <w:rPr>
            <w:rStyle w:val="Hyperlink"/>
            <w:noProof/>
          </w:rPr>
          <w:t>2.1</w:t>
        </w:r>
        <w:r w:rsidR="001B1279">
          <w:rPr>
            <w:rFonts w:asciiTheme="minorHAnsi" w:eastAsiaTheme="minorEastAsia" w:hAnsiTheme="minorHAnsi"/>
            <w:noProof/>
            <w:sz w:val="22"/>
            <w:lang w:eastAsia="en-AU"/>
          </w:rPr>
          <w:tab/>
        </w:r>
        <w:r w:rsidR="001B1279" w:rsidRPr="00621F00">
          <w:rPr>
            <w:rStyle w:val="Hyperlink"/>
            <w:noProof/>
          </w:rPr>
          <w:t>The current provision of accessible adult change facilities</w:t>
        </w:r>
        <w:r w:rsidR="001B1279">
          <w:rPr>
            <w:noProof/>
            <w:webHidden/>
          </w:rPr>
          <w:tab/>
        </w:r>
        <w:r w:rsidR="001B1279">
          <w:rPr>
            <w:noProof/>
            <w:webHidden/>
          </w:rPr>
          <w:fldChar w:fldCharType="begin"/>
        </w:r>
        <w:r w:rsidR="001B1279">
          <w:rPr>
            <w:noProof/>
            <w:webHidden/>
          </w:rPr>
          <w:instrText xml:space="preserve"> PAGEREF _Toc525897784 \h </w:instrText>
        </w:r>
        <w:r w:rsidR="001B1279">
          <w:rPr>
            <w:noProof/>
            <w:webHidden/>
          </w:rPr>
        </w:r>
        <w:r w:rsidR="001B1279">
          <w:rPr>
            <w:noProof/>
            <w:webHidden/>
          </w:rPr>
          <w:fldChar w:fldCharType="separate"/>
        </w:r>
        <w:r w:rsidR="00D209F6">
          <w:rPr>
            <w:noProof/>
            <w:webHidden/>
          </w:rPr>
          <w:t>21</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85" w:history="1">
        <w:r w:rsidR="001B1279" w:rsidRPr="00621F00">
          <w:rPr>
            <w:rStyle w:val="Hyperlink"/>
            <w:noProof/>
          </w:rPr>
          <w:t>2.2</w:t>
        </w:r>
        <w:r w:rsidR="001B1279">
          <w:rPr>
            <w:rFonts w:asciiTheme="minorHAnsi" w:eastAsiaTheme="minorEastAsia" w:hAnsiTheme="minorHAnsi"/>
            <w:noProof/>
            <w:sz w:val="22"/>
            <w:lang w:eastAsia="en-AU"/>
          </w:rPr>
          <w:tab/>
        </w:r>
        <w:r w:rsidR="001B1279" w:rsidRPr="00621F00">
          <w:rPr>
            <w:rStyle w:val="Hyperlink"/>
            <w:noProof/>
          </w:rPr>
          <w:t>Obligations under national and international legal frameworks</w:t>
        </w:r>
        <w:r w:rsidR="001B1279">
          <w:rPr>
            <w:noProof/>
            <w:webHidden/>
          </w:rPr>
          <w:tab/>
        </w:r>
        <w:r w:rsidR="001B1279">
          <w:rPr>
            <w:noProof/>
            <w:webHidden/>
          </w:rPr>
          <w:fldChar w:fldCharType="begin"/>
        </w:r>
        <w:r w:rsidR="001B1279">
          <w:rPr>
            <w:noProof/>
            <w:webHidden/>
          </w:rPr>
          <w:instrText xml:space="preserve"> PAGEREF _Toc525897785 \h </w:instrText>
        </w:r>
        <w:r w:rsidR="001B1279">
          <w:rPr>
            <w:noProof/>
            <w:webHidden/>
          </w:rPr>
        </w:r>
        <w:r w:rsidR="001B1279">
          <w:rPr>
            <w:noProof/>
            <w:webHidden/>
          </w:rPr>
          <w:fldChar w:fldCharType="separate"/>
        </w:r>
        <w:r w:rsidR="00D209F6">
          <w:rPr>
            <w:noProof/>
            <w:webHidden/>
          </w:rPr>
          <w:t>24</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86" w:history="1">
        <w:r w:rsidR="001B1279" w:rsidRPr="00621F00">
          <w:rPr>
            <w:rStyle w:val="Hyperlink"/>
            <w:noProof/>
          </w:rPr>
          <w:t>2.3</w:t>
        </w:r>
        <w:r w:rsidR="001B1279">
          <w:rPr>
            <w:rFonts w:asciiTheme="minorHAnsi" w:eastAsiaTheme="minorEastAsia" w:hAnsiTheme="minorHAnsi"/>
            <w:noProof/>
            <w:sz w:val="22"/>
            <w:lang w:eastAsia="en-AU"/>
          </w:rPr>
          <w:tab/>
        </w:r>
        <w:r w:rsidR="001B1279" w:rsidRPr="00621F00">
          <w:rPr>
            <w:rStyle w:val="Hyperlink"/>
            <w:noProof/>
          </w:rPr>
          <w:t>The lack of accessible adult change facilities has a range of negative consequences</w:t>
        </w:r>
        <w:r w:rsidR="001B1279">
          <w:rPr>
            <w:noProof/>
            <w:webHidden/>
          </w:rPr>
          <w:tab/>
        </w:r>
        <w:r w:rsidR="001B1279">
          <w:rPr>
            <w:noProof/>
            <w:webHidden/>
          </w:rPr>
          <w:fldChar w:fldCharType="begin"/>
        </w:r>
        <w:r w:rsidR="001B1279">
          <w:rPr>
            <w:noProof/>
            <w:webHidden/>
          </w:rPr>
          <w:instrText xml:space="preserve"> PAGEREF _Toc525897786 \h </w:instrText>
        </w:r>
        <w:r w:rsidR="001B1279">
          <w:rPr>
            <w:noProof/>
            <w:webHidden/>
          </w:rPr>
        </w:r>
        <w:r w:rsidR="001B1279">
          <w:rPr>
            <w:noProof/>
            <w:webHidden/>
          </w:rPr>
          <w:fldChar w:fldCharType="separate"/>
        </w:r>
        <w:r w:rsidR="00D209F6">
          <w:rPr>
            <w:noProof/>
            <w:webHidden/>
          </w:rPr>
          <w:t>26</w:t>
        </w:r>
        <w:r w:rsidR="001B1279">
          <w:rPr>
            <w:noProof/>
            <w:webHidden/>
          </w:rPr>
          <w:fldChar w:fldCharType="end"/>
        </w:r>
      </w:hyperlink>
    </w:p>
    <w:p w:rsidR="001B1279" w:rsidRDefault="0004036A">
      <w:pPr>
        <w:pStyle w:val="TOC1"/>
        <w:tabs>
          <w:tab w:val="left" w:pos="440"/>
          <w:tab w:val="right" w:leader="dot" w:pos="9627"/>
        </w:tabs>
        <w:rPr>
          <w:rFonts w:asciiTheme="minorHAnsi" w:eastAsiaTheme="minorEastAsia" w:hAnsiTheme="minorHAnsi"/>
          <w:noProof/>
          <w:sz w:val="22"/>
          <w:lang w:eastAsia="en-AU"/>
        </w:rPr>
      </w:pPr>
      <w:hyperlink w:anchor="_Toc525897787" w:history="1">
        <w:r w:rsidR="001B1279" w:rsidRPr="00621F00">
          <w:rPr>
            <w:rStyle w:val="Hyperlink"/>
            <w:noProof/>
          </w:rPr>
          <w:t>3.</w:t>
        </w:r>
        <w:r w:rsidR="001B1279">
          <w:rPr>
            <w:rFonts w:asciiTheme="minorHAnsi" w:eastAsiaTheme="minorEastAsia" w:hAnsiTheme="minorHAnsi"/>
            <w:noProof/>
            <w:sz w:val="22"/>
            <w:lang w:eastAsia="en-AU"/>
          </w:rPr>
          <w:tab/>
        </w:r>
        <w:r w:rsidR="001B1279" w:rsidRPr="00621F00">
          <w:rPr>
            <w:rStyle w:val="Hyperlink"/>
            <w:noProof/>
          </w:rPr>
          <w:t>Objectives</w:t>
        </w:r>
        <w:r w:rsidR="001B1279">
          <w:rPr>
            <w:noProof/>
            <w:webHidden/>
          </w:rPr>
          <w:tab/>
        </w:r>
        <w:r w:rsidR="001B1279">
          <w:rPr>
            <w:noProof/>
            <w:webHidden/>
          </w:rPr>
          <w:fldChar w:fldCharType="begin"/>
        </w:r>
        <w:r w:rsidR="001B1279">
          <w:rPr>
            <w:noProof/>
            <w:webHidden/>
          </w:rPr>
          <w:instrText xml:space="preserve"> PAGEREF _Toc525897787 \h </w:instrText>
        </w:r>
        <w:r w:rsidR="001B1279">
          <w:rPr>
            <w:noProof/>
            <w:webHidden/>
          </w:rPr>
        </w:r>
        <w:r w:rsidR="001B1279">
          <w:rPr>
            <w:noProof/>
            <w:webHidden/>
          </w:rPr>
          <w:fldChar w:fldCharType="separate"/>
        </w:r>
        <w:r w:rsidR="00D209F6">
          <w:rPr>
            <w:noProof/>
            <w:webHidden/>
          </w:rPr>
          <w:t>30</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88" w:history="1">
        <w:r w:rsidR="001B1279" w:rsidRPr="00621F00">
          <w:rPr>
            <w:rStyle w:val="Hyperlink"/>
            <w:noProof/>
          </w:rPr>
          <w:t>3.1</w:t>
        </w:r>
        <w:r w:rsidR="001B1279">
          <w:rPr>
            <w:rFonts w:asciiTheme="minorHAnsi" w:eastAsiaTheme="minorEastAsia" w:hAnsiTheme="minorHAnsi"/>
            <w:noProof/>
            <w:sz w:val="22"/>
            <w:lang w:eastAsia="en-AU"/>
          </w:rPr>
          <w:tab/>
        </w:r>
        <w:r w:rsidR="001B1279" w:rsidRPr="00621F00">
          <w:rPr>
            <w:rStyle w:val="Hyperlink"/>
            <w:noProof/>
          </w:rPr>
          <w:t>What are the objectives of the proposed regulatory change?</w:t>
        </w:r>
        <w:r w:rsidR="001B1279">
          <w:rPr>
            <w:noProof/>
            <w:webHidden/>
          </w:rPr>
          <w:tab/>
        </w:r>
        <w:r w:rsidR="001B1279">
          <w:rPr>
            <w:noProof/>
            <w:webHidden/>
          </w:rPr>
          <w:fldChar w:fldCharType="begin"/>
        </w:r>
        <w:r w:rsidR="001B1279">
          <w:rPr>
            <w:noProof/>
            <w:webHidden/>
          </w:rPr>
          <w:instrText xml:space="preserve"> PAGEREF _Toc525897788 \h </w:instrText>
        </w:r>
        <w:r w:rsidR="001B1279">
          <w:rPr>
            <w:noProof/>
            <w:webHidden/>
          </w:rPr>
        </w:r>
        <w:r w:rsidR="001B1279">
          <w:rPr>
            <w:noProof/>
            <w:webHidden/>
          </w:rPr>
          <w:fldChar w:fldCharType="separate"/>
        </w:r>
        <w:r w:rsidR="00D209F6">
          <w:rPr>
            <w:noProof/>
            <w:webHidden/>
          </w:rPr>
          <w:t>30</w:t>
        </w:r>
        <w:r w:rsidR="001B1279">
          <w:rPr>
            <w:noProof/>
            <w:webHidden/>
          </w:rPr>
          <w:fldChar w:fldCharType="end"/>
        </w:r>
      </w:hyperlink>
    </w:p>
    <w:p w:rsidR="001B1279" w:rsidRDefault="0004036A">
      <w:pPr>
        <w:pStyle w:val="TOC1"/>
        <w:tabs>
          <w:tab w:val="left" w:pos="440"/>
          <w:tab w:val="right" w:leader="dot" w:pos="9627"/>
        </w:tabs>
        <w:rPr>
          <w:rFonts w:asciiTheme="minorHAnsi" w:eastAsiaTheme="minorEastAsia" w:hAnsiTheme="minorHAnsi"/>
          <w:noProof/>
          <w:sz w:val="22"/>
          <w:lang w:eastAsia="en-AU"/>
        </w:rPr>
      </w:pPr>
      <w:hyperlink w:anchor="_Toc525897789" w:history="1">
        <w:r w:rsidR="001B1279" w:rsidRPr="00621F00">
          <w:rPr>
            <w:rStyle w:val="Hyperlink"/>
            <w:noProof/>
          </w:rPr>
          <w:t>4.</w:t>
        </w:r>
        <w:r w:rsidR="001B1279">
          <w:rPr>
            <w:rFonts w:asciiTheme="minorHAnsi" w:eastAsiaTheme="minorEastAsia" w:hAnsiTheme="minorHAnsi"/>
            <w:noProof/>
            <w:sz w:val="22"/>
            <w:lang w:eastAsia="en-AU"/>
          </w:rPr>
          <w:tab/>
        </w:r>
        <w:r w:rsidR="001B1279" w:rsidRPr="00621F00">
          <w:rPr>
            <w:rStyle w:val="Hyperlink"/>
            <w:noProof/>
          </w:rPr>
          <w:t>Options for addressing the problem</w:t>
        </w:r>
        <w:r w:rsidR="001B1279">
          <w:rPr>
            <w:noProof/>
            <w:webHidden/>
          </w:rPr>
          <w:tab/>
        </w:r>
        <w:r w:rsidR="001B1279">
          <w:rPr>
            <w:noProof/>
            <w:webHidden/>
          </w:rPr>
          <w:fldChar w:fldCharType="begin"/>
        </w:r>
        <w:r w:rsidR="001B1279">
          <w:rPr>
            <w:noProof/>
            <w:webHidden/>
          </w:rPr>
          <w:instrText xml:space="preserve"> PAGEREF _Toc525897789 \h </w:instrText>
        </w:r>
        <w:r w:rsidR="001B1279">
          <w:rPr>
            <w:noProof/>
            <w:webHidden/>
          </w:rPr>
        </w:r>
        <w:r w:rsidR="001B1279">
          <w:rPr>
            <w:noProof/>
            <w:webHidden/>
          </w:rPr>
          <w:fldChar w:fldCharType="separate"/>
        </w:r>
        <w:r w:rsidR="00D209F6">
          <w:rPr>
            <w:noProof/>
            <w:webHidden/>
          </w:rPr>
          <w:t>31</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90" w:history="1">
        <w:r w:rsidR="001B1279" w:rsidRPr="00621F00">
          <w:rPr>
            <w:rStyle w:val="Hyperlink"/>
            <w:noProof/>
          </w:rPr>
          <w:t>4.1</w:t>
        </w:r>
        <w:r w:rsidR="001B1279">
          <w:rPr>
            <w:rFonts w:asciiTheme="minorHAnsi" w:eastAsiaTheme="minorEastAsia" w:hAnsiTheme="minorHAnsi"/>
            <w:noProof/>
            <w:sz w:val="22"/>
            <w:lang w:eastAsia="en-AU"/>
          </w:rPr>
          <w:tab/>
        </w:r>
        <w:r w:rsidR="001B1279" w:rsidRPr="00621F00">
          <w:rPr>
            <w:rStyle w:val="Hyperlink"/>
            <w:noProof/>
          </w:rPr>
          <w:t>The Status Quo</w:t>
        </w:r>
        <w:r w:rsidR="001B1279">
          <w:rPr>
            <w:noProof/>
            <w:webHidden/>
          </w:rPr>
          <w:tab/>
        </w:r>
        <w:r w:rsidR="001B1279">
          <w:rPr>
            <w:noProof/>
            <w:webHidden/>
          </w:rPr>
          <w:fldChar w:fldCharType="begin"/>
        </w:r>
        <w:r w:rsidR="001B1279">
          <w:rPr>
            <w:noProof/>
            <w:webHidden/>
          </w:rPr>
          <w:instrText xml:space="preserve"> PAGEREF _Toc525897790 \h </w:instrText>
        </w:r>
        <w:r w:rsidR="001B1279">
          <w:rPr>
            <w:noProof/>
            <w:webHidden/>
          </w:rPr>
        </w:r>
        <w:r w:rsidR="001B1279">
          <w:rPr>
            <w:noProof/>
            <w:webHidden/>
          </w:rPr>
          <w:fldChar w:fldCharType="separate"/>
        </w:r>
        <w:r w:rsidR="00D209F6">
          <w:rPr>
            <w:noProof/>
            <w:webHidden/>
          </w:rPr>
          <w:t>31</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91" w:history="1">
        <w:r w:rsidR="001B1279" w:rsidRPr="00621F00">
          <w:rPr>
            <w:rStyle w:val="Hyperlink"/>
            <w:noProof/>
          </w:rPr>
          <w:t>4.2</w:t>
        </w:r>
        <w:r w:rsidR="001B1279">
          <w:rPr>
            <w:rFonts w:asciiTheme="minorHAnsi" w:eastAsiaTheme="minorEastAsia" w:hAnsiTheme="minorHAnsi"/>
            <w:noProof/>
            <w:sz w:val="22"/>
            <w:lang w:eastAsia="en-AU"/>
          </w:rPr>
          <w:tab/>
        </w:r>
        <w:r w:rsidR="001B1279" w:rsidRPr="00621F00">
          <w:rPr>
            <w:rStyle w:val="Hyperlink"/>
            <w:noProof/>
          </w:rPr>
          <w:t>Non-Regulatory Option</w:t>
        </w:r>
        <w:r w:rsidR="001B1279">
          <w:rPr>
            <w:noProof/>
            <w:webHidden/>
          </w:rPr>
          <w:tab/>
        </w:r>
        <w:r w:rsidR="001B1279">
          <w:rPr>
            <w:noProof/>
            <w:webHidden/>
          </w:rPr>
          <w:fldChar w:fldCharType="begin"/>
        </w:r>
        <w:r w:rsidR="001B1279">
          <w:rPr>
            <w:noProof/>
            <w:webHidden/>
          </w:rPr>
          <w:instrText xml:space="preserve"> PAGEREF _Toc525897791 \h </w:instrText>
        </w:r>
        <w:r w:rsidR="001B1279">
          <w:rPr>
            <w:noProof/>
            <w:webHidden/>
          </w:rPr>
        </w:r>
        <w:r w:rsidR="001B1279">
          <w:rPr>
            <w:noProof/>
            <w:webHidden/>
          </w:rPr>
          <w:fldChar w:fldCharType="separate"/>
        </w:r>
        <w:r w:rsidR="00D209F6">
          <w:rPr>
            <w:noProof/>
            <w:webHidden/>
          </w:rPr>
          <w:t>32</w:t>
        </w:r>
        <w:r w:rsidR="001B1279">
          <w:rPr>
            <w:noProof/>
            <w:webHidden/>
          </w:rPr>
          <w:fldChar w:fldCharType="end"/>
        </w:r>
      </w:hyperlink>
    </w:p>
    <w:p w:rsidR="001B1279" w:rsidRDefault="0004036A">
      <w:pPr>
        <w:pStyle w:val="TOC1"/>
        <w:tabs>
          <w:tab w:val="left" w:pos="440"/>
          <w:tab w:val="right" w:leader="dot" w:pos="9627"/>
        </w:tabs>
        <w:rPr>
          <w:rFonts w:asciiTheme="minorHAnsi" w:eastAsiaTheme="minorEastAsia" w:hAnsiTheme="minorHAnsi"/>
          <w:noProof/>
          <w:sz w:val="22"/>
          <w:lang w:eastAsia="en-AU"/>
        </w:rPr>
      </w:pPr>
      <w:hyperlink w:anchor="_Toc525897792" w:history="1">
        <w:r w:rsidR="001B1279" w:rsidRPr="00621F00">
          <w:rPr>
            <w:rStyle w:val="Hyperlink"/>
            <w:noProof/>
          </w:rPr>
          <w:t>5.</w:t>
        </w:r>
        <w:r w:rsidR="001B1279">
          <w:rPr>
            <w:rFonts w:asciiTheme="minorHAnsi" w:eastAsiaTheme="minorEastAsia" w:hAnsiTheme="minorHAnsi"/>
            <w:noProof/>
            <w:sz w:val="22"/>
            <w:lang w:eastAsia="en-AU"/>
          </w:rPr>
          <w:tab/>
        </w:r>
        <w:r w:rsidR="001B1279" w:rsidRPr="00621F00">
          <w:rPr>
            <w:rStyle w:val="Hyperlink"/>
            <w:noProof/>
          </w:rPr>
          <w:t>Defining the population</w:t>
        </w:r>
        <w:r w:rsidR="001B1279">
          <w:rPr>
            <w:noProof/>
            <w:webHidden/>
          </w:rPr>
          <w:tab/>
        </w:r>
        <w:r w:rsidR="001B1279">
          <w:rPr>
            <w:noProof/>
            <w:webHidden/>
          </w:rPr>
          <w:fldChar w:fldCharType="begin"/>
        </w:r>
        <w:r w:rsidR="001B1279">
          <w:rPr>
            <w:noProof/>
            <w:webHidden/>
          </w:rPr>
          <w:instrText xml:space="preserve"> PAGEREF _Toc525897792 \h </w:instrText>
        </w:r>
        <w:r w:rsidR="001B1279">
          <w:rPr>
            <w:noProof/>
            <w:webHidden/>
          </w:rPr>
        </w:r>
        <w:r w:rsidR="001B1279">
          <w:rPr>
            <w:noProof/>
            <w:webHidden/>
          </w:rPr>
          <w:fldChar w:fldCharType="separate"/>
        </w:r>
        <w:r w:rsidR="00D209F6">
          <w:rPr>
            <w:noProof/>
            <w:webHidden/>
          </w:rPr>
          <w:t>34</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93" w:history="1">
        <w:r w:rsidR="001B1279" w:rsidRPr="00621F00">
          <w:rPr>
            <w:rStyle w:val="Hyperlink"/>
            <w:noProof/>
          </w:rPr>
          <w:t>5.1</w:t>
        </w:r>
        <w:r w:rsidR="001B1279">
          <w:rPr>
            <w:rFonts w:asciiTheme="minorHAnsi" w:eastAsiaTheme="minorEastAsia" w:hAnsiTheme="minorHAnsi"/>
            <w:noProof/>
            <w:sz w:val="22"/>
            <w:lang w:eastAsia="en-AU"/>
          </w:rPr>
          <w:tab/>
        </w:r>
        <w:r w:rsidR="001B1279" w:rsidRPr="00621F00">
          <w:rPr>
            <w:rStyle w:val="Hyperlink"/>
            <w:noProof/>
          </w:rPr>
          <w:t>Defining the core cohort</w:t>
        </w:r>
        <w:r w:rsidR="001B1279">
          <w:rPr>
            <w:noProof/>
            <w:webHidden/>
          </w:rPr>
          <w:tab/>
        </w:r>
        <w:r w:rsidR="001B1279">
          <w:rPr>
            <w:noProof/>
            <w:webHidden/>
          </w:rPr>
          <w:fldChar w:fldCharType="begin"/>
        </w:r>
        <w:r w:rsidR="001B1279">
          <w:rPr>
            <w:noProof/>
            <w:webHidden/>
          </w:rPr>
          <w:instrText xml:space="preserve"> PAGEREF _Toc525897793 \h </w:instrText>
        </w:r>
        <w:r w:rsidR="001B1279">
          <w:rPr>
            <w:noProof/>
            <w:webHidden/>
          </w:rPr>
        </w:r>
        <w:r w:rsidR="001B1279">
          <w:rPr>
            <w:noProof/>
            <w:webHidden/>
          </w:rPr>
          <w:fldChar w:fldCharType="separate"/>
        </w:r>
        <w:r w:rsidR="00D209F6">
          <w:rPr>
            <w:noProof/>
            <w:webHidden/>
          </w:rPr>
          <w:t>34</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94" w:history="1">
        <w:r w:rsidR="001B1279" w:rsidRPr="00621F00">
          <w:rPr>
            <w:rStyle w:val="Hyperlink"/>
            <w:noProof/>
          </w:rPr>
          <w:t>5.2</w:t>
        </w:r>
        <w:r w:rsidR="001B1279">
          <w:rPr>
            <w:rFonts w:asciiTheme="minorHAnsi" w:eastAsiaTheme="minorEastAsia" w:hAnsiTheme="minorHAnsi"/>
            <w:noProof/>
            <w:sz w:val="22"/>
            <w:lang w:eastAsia="en-AU"/>
          </w:rPr>
          <w:tab/>
        </w:r>
        <w:r w:rsidR="001B1279" w:rsidRPr="00621F00">
          <w:rPr>
            <w:rStyle w:val="Hyperlink"/>
            <w:noProof/>
          </w:rPr>
          <w:t>Defining the non-core cohort</w:t>
        </w:r>
        <w:r w:rsidR="001B1279">
          <w:rPr>
            <w:noProof/>
            <w:webHidden/>
          </w:rPr>
          <w:tab/>
        </w:r>
        <w:r w:rsidR="001B1279">
          <w:rPr>
            <w:noProof/>
            <w:webHidden/>
          </w:rPr>
          <w:fldChar w:fldCharType="begin"/>
        </w:r>
        <w:r w:rsidR="001B1279">
          <w:rPr>
            <w:noProof/>
            <w:webHidden/>
          </w:rPr>
          <w:instrText xml:space="preserve"> PAGEREF _Toc525897794 \h </w:instrText>
        </w:r>
        <w:r w:rsidR="001B1279">
          <w:rPr>
            <w:noProof/>
            <w:webHidden/>
          </w:rPr>
        </w:r>
        <w:r w:rsidR="001B1279">
          <w:rPr>
            <w:noProof/>
            <w:webHidden/>
          </w:rPr>
          <w:fldChar w:fldCharType="separate"/>
        </w:r>
        <w:r w:rsidR="00D209F6">
          <w:rPr>
            <w:noProof/>
            <w:webHidden/>
          </w:rPr>
          <w:t>39</w:t>
        </w:r>
        <w:r w:rsidR="001B1279">
          <w:rPr>
            <w:noProof/>
            <w:webHidden/>
          </w:rPr>
          <w:fldChar w:fldCharType="end"/>
        </w:r>
      </w:hyperlink>
    </w:p>
    <w:p w:rsidR="001B1279" w:rsidRDefault="0004036A">
      <w:pPr>
        <w:pStyle w:val="TOC1"/>
        <w:tabs>
          <w:tab w:val="left" w:pos="440"/>
          <w:tab w:val="right" w:leader="dot" w:pos="9627"/>
        </w:tabs>
        <w:rPr>
          <w:rFonts w:asciiTheme="minorHAnsi" w:eastAsiaTheme="minorEastAsia" w:hAnsiTheme="minorHAnsi"/>
          <w:noProof/>
          <w:sz w:val="22"/>
          <w:lang w:eastAsia="en-AU"/>
        </w:rPr>
      </w:pPr>
      <w:hyperlink w:anchor="_Toc525897795" w:history="1">
        <w:r w:rsidR="001B1279" w:rsidRPr="00621F00">
          <w:rPr>
            <w:rStyle w:val="Hyperlink"/>
            <w:noProof/>
          </w:rPr>
          <w:t>6.</w:t>
        </w:r>
        <w:r w:rsidR="001B1279">
          <w:rPr>
            <w:rFonts w:asciiTheme="minorHAnsi" w:eastAsiaTheme="minorEastAsia" w:hAnsiTheme="minorHAnsi"/>
            <w:noProof/>
            <w:sz w:val="22"/>
            <w:lang w:eastAsia="en-AU"/>
          </w:rPr>
          <w:tab/>
        </w:r>
        <w:r w:rsidR="001B1279" w:rsidRPr="00621F00">
          <w:rPr>
            <w:rStyle w:val="Hyperlink"/>
            <w:noProof/>
          </w:rPr>
          <w:t>Measuring the costs and benefits</w:t>
        </w:r>
        <w:r w:rsidR="001B1279">
          <w:rPr>
            <w:noProof/>
            <w:webHidden/>
          </w:rPr>
          <w:tab/>
        </w:r>
        <w:r w:rsidR="001B1279">
          <w:rPr>
            <w:noProof/>
            <w:webHidden/>
          </w:rPr>
          <w:fldChar w:fldCharType="begin"/>
        </w:r>
        <w:r w:rsidR="001B1279">
          <w:rPr>
            <w:noProof/>
            <w:webHidden/>
          </w:rPr>
          <w:instrText xml:space="preserve"> PAGEREF _Toc525897795 \h </w:instrText>
        </w:r>
        <w:r w:rsidR="001B1279">
          <w:rPr>
            <w:noProof/>
            <w:webHidden/>
          </w:rPr>
        </w:r>
        <w:r w:rsidR="001B1279">
          <w:rPr>
            <w:noProof/>
            <w:webHidden/>
          </w:rPr>
          <w:fldChar w:fldCharType="separate"/>
        </w:r>
        <w:r w:rsidR="00D209F6">
          <w:rPr>
            <w:noProof/>
            <w:webHidden/>
          </w:rPr>
          <w:t>42</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96" w:history="1">
        <w:r w:rsidR="001B1279" w:rsidRPr="00621F00">
          <w:rPr>
            <w:rStyle w:val="Hyperlink"/>
            <w:noProof/>
          </w:rPr>
          <w:t>6.1</w:t>
        </w:r>
        <w:r w:rsidR="001B1279">
          <w:rPr>
            <w:rFonts w:asciiTheme="minorHAnsi" w:eastAsiaTheme="minorEastAsia" w:hAnsiTheme="minorHAnsi"/>
            <w:noProof/>
            <w:sz w:val="22"/>
            <w:lang w:eastAsia="en-AU"/>
          </w:rPr>
          <w:tab/>
        </w:r>
        <w:r w:rsidR="001B1279" w:rsidRPr="00621F00">
          <w:rPr>
            <w:rStyle w:val="Hyperlink"/>
            <w:noProof/>
          </w:rPr>
          <w:t>Costs</w:t>
        </w:r>
        <w:r w:rsidR="001B1279">
          <w:rPr>
            <w:noProof/>
            <w:webHidden/>
          </w:rPr>
          <w:tab/>
        </w:r>
        <w:r w:rsidR="001B1279">
          <w:rPr>
            <w:noProof/>
            <w:webHidden/>
          </w:rPr>
          <w:fldChar w:fldCharType="begin"/>
        </w:r>
        <w:r w:rsidR="001B1279">
          <w:rPr>
            <w:noProof/>
            <w:webHidden/>
          </w:rPr>
          <w:instrText xml:space="preserve"> PAGEREF _Toc525897796 \h </w:instrText>
        </w:r>
        <w:r w:rsidR="001B1279">
          <w:rPr>
            <w:noProof/>
            <w:webHidden/>
          </w:rPr>
        </w:r>
        <w:r w:rsidR="001B1279">
          <w:rPr>
            <w:noProof/>
            <w:webHidden/>
          </w:rPr>
          <w:fldChar w:fldCharType="separate"/>
        </w:r>
        <w:r w:rsidR="00D209F6">
          <w:rPr>
            <w:noProof/>
            <w:webHidden/>
          </w:rPr>
          <w:t>42</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97" w:history="1">
        <w:r w:rsidR="001B1279" w:rsidRPr="00621F00">
          <w:rPr>
            <w:rStyle w:val="Hyperlink"/>
            <w:noProof/>
          </w:rPr>
          <w:t>6.2</w:t>
        </w:r>
        <w:r w:rsidR="001B1279">
          <w:rPr>
            <w:rFonts w:asciiTheme="minorHAnsi" w:eastAsiaTheme="minorEastAsia" w:hAnsiTheme="minorHAnsi"/>
            <w:noProof/>
            <w:sz w:val="22"/>
            <w:lang w:eastAsia="en-AU"/>
          </w:rPr>
          <w:tab/>
        </w:r>
        <w:r w:rsidR="001B1279" w:rsidRPr="00621F00">
          <w:rPr>
            <w:rStyle w:val="Hyperlink"/>
            <w:noProof/>
          </w:rPr>
          <w:t>Benefits</w:t>
        </w:r>
        <w:r w:rsidR="001B1279">
          <w:rPr>
            <w:noProof/>
            <w:webHidden/>
          </w:rPr>
          <w:tab/>
        </w:r>
        <w:r w:rsidR="001B1279">
          <w:rPr>
            <w:noProof/>
            <w:webHidden/>
          </w:rPr>
          <w:fldChar w:fldCharType="begin"/>
        </w:r>
        <w:r w:rsidR="001B1279">
          <w:rPr>
            <w:noProof/>
            <w:webHidden/>
          </w:rPr>
          <w:instrText xml:space="preserve"> PAGEREF _Toc525897797 \h </w:instrText>
        </w:r>
        <w:r w:rsidR="001B1279">
          <w:rPr>
            <w:noProof/>
            <w:webHidden/>
          </w:rPr>
        </w:r>
        <w:r w:rsidR="001B1279">
          <w:rPr>
            <w:noProof/>
            <w:webHidden/>
          </w:rPr>
          <w:fldChar w:fldCharType="separate"/>
        </w:r>
        <w:r w:rsidR="00D209F6">
          <w:rPr>
            <w:noProof/>
            <w:webHidden/>
          </w:rPr>
          <w:t>45</w:t>
        </w:r>
        <w:r w:rsidR="001B1279">
          <w:rPr>
            <w:noProof/>
            <w:webHidden/>
          </w:rPr>
          <w:fldChar w:fldCharType="end"/>
        </w:r>
      </w:hyperlink>
    </w:p>
    <w:p w:rsidR="001B1279" w:rsidRDefault="0004036A">
      <w:pPr>
        <w:pStyle w:val="TOC1"/>
        <w:tabs>
          <w:tab w:val="left" w:pos="440"/>
          <w:tab w:val="right" w:leader="dot" w:pos="9627"/>
        </w:tabs>
        <w:rPr>
          <w:rFonts w:asciiTheme="minorHAnsi" w:eastAsiaTheme="minorEastAsia" w:hAnsiTheme="minorHAnsi"/>
          <w:noProof/>
          <w:sz w:val="22"/>
          <w:lang w:eastAsia="en-AU"/>
        </w:rPr>
      </w:pPr>
      <w:hyperlink w:anchor="_Toc525897798" w:history="1">
        <w:r w:rsidR="001B1279" w:rsidRPr="00621F00">
          <w:rPr>
            <w:rStyle w:val="Hyperlink"/>
            <w:noProof/>
          </w:rPr>
          <w:t>7.</w:t>
        </w:r>
        <w:r w:rsidR="001B1279">
          <w:rPr>
            <w:rFonts w:asciiTheme="minorHAnsi" w:eastAsiaTheme="minorEastAsia" w:hAnsiTheme="minorHAnsi"/>
            <w:noProof/>
            <w:sz w:val="22"/>
            <w:lang w:eastAsia="en-AU"/>
          </w:rPr>
          <w:tab/>
        </w:r>
        <w:r w:rsidR="001B1279" w:rsidRPr="00621F00">
          <w:rPr>
            <w:rStyle w:val="Hyperlink"/>
            <w:noProof/>
          </w:rPr>
          <w:t>Impact analysis</w:t>
        </w:r>
        <w:r w:rsidR="001B1279">
          <w:rPr>
            <w:noProof/>
            <w:webHidden/>
          </w:rPr>
          <w:tab/>
        </w:r>
        <w:r w:rsidR="001B1279">
          <w:rPr>
            <w:noProof/>
            <w:webHidden/>
          </w:rPr>
          <w:fldChar w:fldCharType="begin"/>
        </w:r>
        <w:r w:rsidR="001B1279">
          <w:rPr>
            <w:noProof/>
            <w:webHidden/>
          </w:rPr>
          <w:instrText xml:space="preserve"> PAGEREF _Toc525897798 \h </w:instrText>
        </w:r>
        <w:r w:rsidR="001B1279">
          <w:rPr>
            <w:noProof/>
            <w:webHidden/>
          </w:rPr>
        </w:r>
        <w:r w:rsidR="001B1279">
          <w:rPr>
            <w:noProof/>
            <w:webHidden/>
          </w:rPr>
          <w:fldChar w:fldCharType="separate"/>
        </w:r>
        <w:r w:rsidR="00D209F6">
          <w:rPr>
            <w:noProof/>
            <w:webHidden/>
          </w:rPr>
          <w:t>52</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799" w:history="1">
        <w:r w:rsidR="001B1279" w:rsidRPr="00621F00">
          <w:rPr>
            <w:rStyle w:val="Hyperlink"/>
            <w:noProof/>
          </w:rPr>
          <w:t>7.1</w:t>
        </w:r>
        <w:r w:rsidR="001B1279">
          <w:rPr>
            <w:rFonts w:asciiTheme="minorHAnsi" w:eastAsiaTheme="minorEastAsia" w:hAnsiTheme="minorHAnsi"/>
            <w:noProof/>
            <w:sz w:val="22"/>
            <w:lang w:eastAsia="en-AU"/>
          </w:rPr>
          <w:tab/>
        </w:r>
        <w:r w:rsidR="001B1279" w:rsidRPr="00621F00">
          <w:rPr>
            <w:rStyle w:val="Hyperlink"/>
            <w:noProof/>
          </w:rPr>
          <w:t>Case study analysis</w:t>
        </w:r>
        <w:r w:rsidR="001B1279">
          <w:rPr>
            <w:noProof/>
            <w:webHidden/>
          </w:rPr>
          <w:tab/>
        </w:r>
        <w:r w:rsidR="001B1279">
          <w:rPr>
            <w:noProof/>
            <w:webHidden/>
          </w:rPr>
          <w:fldChar w:fldCharType="begin"/>
        </w:r>
        <w:r w:rsidR="001B1279">
          <w:rPr>
            <w:noProof/>
            <w:webHidden/>
          </w:rPr>
          <w:instrText xml:space="preserve"> PAGEREF _Toc525897799 \h </w:instrText>
        </w:r>
        <w:r w:rsidR="001B1279">
          <w:rPr>
            <w:noProof/>
            <w:webHidden/>
          </w:rPr>
        </w:r>
        <w:r w:rsidR="001B1279">
          <w:rPr>
            <w:noProof/>
            <w:webHidden/>
          </w:rPr>
          <w:fldChar w:fldCharType="separate"/>
        </w:r>
        <w:r w:rsidR="00D209F6">
          <w:rPr>
            <w:noProof/>
            <w:webHidden/>
          </w:rPr>
          <w:t>52</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800" w:history="1">
        <w:r w:rsidR="001B1279" w:rsidRPr="00621F00">
          <w:rPr>
            <w:rStyle w:val="Hyperlink"/>
            <w:noProof/>
          </w:rPr>
          <w:t>7.2</w:t>
        </w:r>
        <w:r w:rsidR="001B1279">
          <w:rPr>
            <w:rFonts w:asciiTheme="minorHAnsi" w:eastAsiaTheme="minorEastAsia" w:hAnsiTheme="minorHAnsi"/>
            <w:noProof/>
            <w:sz w:val="22"/>
            <w:lang w:eastAsia="en-AU"/>
          </w:rPr>
          <w:tab/>
        </w:r>
        <w:r w:rsidR="006305FB" w:rsidRPr="00621F00">
          <w:rPr>
            <w:rStyle w:val="Hyperlink"/>
            <w:noProof/>
          </w:rPr>
          <w:t>Whole</w:t>
        </w:r>
        <w:r w:rsidR="006305FB">
          <w:rPr>
            <w:rStyle w:val="Hyperlink"/>
            <w:noProof/>
          </w:rPr>
          <w:t>-</w:t>
        </w:r>
        <w:r w:rsidR="006305FB" w:rsidRPr="00621F00">
          <w:rPr>
            <w:rStyle w:val="Hyperlink"/>
            <w:noProof/>
          </w:rPr>
          <w:t>of</w:t>
        </w:r>
        <w:r w:rsidR="006305FB">
          <w:rPr>
            <w:rStyle w:val="Hyperlink"/>
            <w:noProof/>
          </w:rPr>
          <w:t>-</w:t>
        </w:r>
        <w:r w:rsidR="001B1279" w:rsidRPr="00621F00">
          <w:rPr>
            <w:rStyle w:val="Hyperlink"/>
            <w:noProof/>
          </w:rPr>
          <w:t>economy analysis</w:t>
        </w:r>
        <w:r w:rsidR="001B1279">
          <w:rPr>
            <w:noProof/>
            <w:webHidden/>
          </w:rPr>
          <w:tab/>
        </w:r>
        <w:r w:rsidR="001B1279">
          <w:rPr>
            <w:noProof/>
            <w:webHidden/>
          </w:rPr>
          <w:fldChar w:fldCharType="begin"/>
        </w:r>
        <w:r w:rsidR="001B1279">
          <w:rPr>
            <w:noProof/>
            <w:webHidden/>
          </w:rPr>
          <w:instrText xml:space="preserve"> PAGEREF _Toc525897800 \h </w:instrText>
        </w:r>
        <w:r w:rsidR="001B1279">
          <w:rPr>
            <w:noProof/>
            <w:webHidden/>
          </w:rPr>
        </w:r>
        <w:r w:rsidR="001B1279">
          <w:rPr>
            <w:noProof/>
            <w:webHidden/>
          </w:rPr>
          <w:fldChar w:fldCharType="separate"/>
        </w:r>
        <w:r w:rsidR="00D209F6">
          <w:rPr>
            <w:noProof/>
            <w:webHidden/>
          </w:rPr>
          <w:t>63</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801" w:history="1">
        <w:r w:rsidR="001B1279" w:rsidRPr="00621F00">
          <w:rPr>
            <w:rStyle w:val="Hyperlink"/>
            <w:noProof/>
          </w:rPr>
          <w:t>7.3</w:t>
        </w:r>
        <w:r w:rsidR="001B1279">
          <w:rPr>
            <w:rFonts w:asciiTheme="minorHAnsi" w:eastAsiaTheme="minorEastAsia" w:hAnsiTheme="minorHAnsi"/>
            <w:noProof/>
            <w:sz w:val="22"/>
            <w:lang w:eastAsia="en-AU"/>
          </w:rPr>
          <w:tab/>
        </w:r>
        <w:r w:rsidR="001B1279" w:rsidRPr="00621F00">
          <w:rPr>
            <w:rStyle w:val="Hyperlink"/>
            <w:noProof/>
          </w:rPr>
          <w:t>Regulatory Burden</w:t>
        </w:r>
        <w:r w:rsidR="001B1279">
          <w:rPr>
            <w:noProof/>
            <w:webHidden/>
          </w:rPr>
          <w:tab/>
        </w:r>
        <w:r w:rsidR="001B1279">
          <w:rPr>
            <w:noProof/>
            <w:webHidden/>
          </w:rPr>
          <w:fldChar w:fldCharType="begin"/>
        </w:r>
        <w:r w:rsidR="001B1279">
          <w:rPr>
            <w:noProof/>
            <w:webHidden/>
          </w:rPr>
          <w:instrText xml:space="preserve"> PAGEREF _Toc525897801 \h </w:instrText>
        </w:r>
        <w:r w:rsidR="001B1279">
          <w:rPr>
            <w:noProof/>
            <w:webHidden/>
          </w:rPr>
        </w:r>
        <w:r w:rsidR="001B1279">
          <w:rPr>
            <w:noProof/>
            <w:webHidden/>
          </w:rPr>
          <w:fldChar w:fldCharType="separate"/>
        </w:r>
        <w:r w:rsidR="00D209F6">
          <w:rPr>
            <w:noProof/>
            <w:webHidden/>
          </w:rPr>
          <w:t>76</w:t>
        </w:r>
        <w:r w:rsidR="001B1279">
          <w:rPr>
            <w:noProof/>
            <w:webHidden/>
          </w:rPr>
          <w:fldChar w:fldCharType="end"/>
        </w:r>
      </w:hyperlink>
    </w:p>
    <w:p w:rsidR="001B1279" w:rsidRDefault="0004036A">
      <w:pPr>
        <w:pStyle w:val="TOC1"/>
        <w:tabs>
          <w:tab w:val="left" w:pos="440"/>
          <w:tab w:val="right" w:leader="dot" w:pos="9627"/>
        </w:tabs>
        <w:rPr>
          <w:rFonts w:asciiTheme="minorHAnsi" w:eastAsiaTheme="minorEastAsia" w:hAnsiTheme="minorHAnsi"/>
          <w:noProof/>
          <w:sz w:val="22"/>
          <w:lang w:eastAsia="en-AU"/>
        </w:rPr>
      </w:pPr>
      <w:hyperlink w:anchor="_Toc525897802" w:history="1">
        <w:r w:rsidR="001B1279" w:rsidRPr="00621F00">
          <w:rPr>
            <w:rStyle w:val="Hyperlink"/>
            <w:noProof/>
          </w:rPr>
          <w:t>8.</w:t>
        </w:r>
        <w:r w:rsidR="001B1279">
          <w:rPr>
            <w:rFonts w:asciiTheme="minorHAnsi" w:eastAsiaTheme="minorEastAsia" w:hAnsiTheme="minorHAnsi"/>
            <w:noProof/>
            <w:sz w:val="22"/>
            <w:lang w:eastAsia="en-AU"/>
          </w:rPr>
          <w:tab/>
        </w:r>
        <w:r w:rsidR="001B1279" w:rsidRPr="00621F00">
          <w:rPr>
            <w:rStyle w:val="Hyperlink"/>
            <w:noProof/>
          </w:rPr>
          <w:t>Summary</w:t>
        </w:r>
        <w:r w:rsidR="001B1279">
          <w:rPr>
            <w:noProof/>
            <w:webHidden/>
          </w:rPr>
          <w:tab/>
        </w:r>
        <w:r w:rsidR="001B1279">
          <w:rPr>
            <w:noProof/>
            <w:webHidden/>
          </w:rPr>
          <w:fldChar w:fldCharType="begin"/>
        </w:r>
        <w:r w:rsidR="001B1279">
          <w:rPr>
            <w:noProof/>
            <w:webHidden/>
          </w:rPr>
          <w:instrText xml:space="preserve"> PAGEREF _Toc525897802 \h </w:instrText>
        </w:r>
        <w:r w:rsidR="001B1279">
          <w:rPr>
            <w:noProof/>
            <w:webHidden/>
          </w:rPr>
        </w:r>
        <w:r w:rsidR="001B1279">
          <w:rPr>
            <w:noProof/>
            <w:webHidden/>
          </w:rPr>
          <w:fldChar w:fldCharType="separate"/>
        </w:r>
        <w:r w:rsidR="00D209F6">
          <w:rPr>
            <w:noProof/>
            <w:webHidden/>
          </w:rPr>
          <w:t>78</w:t>
        </w:r>
        <w:r w:rsidR="001B1279">
          <w:rPr>
            <w:noProof/>
            <w:webHidden/>
          </w:rPr>
          <w:fldChar w:fldCharType="end"/>
        </w:r>
      </w:hyperlink>
    </w:p>
    <w:p w:rsidR="001B1279" w:rsidRDefault="0004036A">
      <w:pPr>
        <w:pStyle w:val="TOC2"/>
        <w:rPr>
          <w:rFonts w:asciiTheme="minorHAnsi" w:eastAsiaTheme="minorEastAsia" w:hAnsiTheme="minorHAnsi"/>
          <w:noProof/>
          <w:sz w:val="22"/>
          <w:lang w:eastAsia="en-AU"/>
        </w:rPr>
      </w:pPr>
      <w:hyperlink w:anchor="_Toc525897803" w:history="1">
        <w:r w:rsidR="001B1279" w:rsidRPr="00621F00">
          <w:rPr>
            <w:rStyle w:val="Hyperlink"/>
            <w:noProof/>
          </w:rPr>
          <w:t>8.1</w:t>
        </w:r>
        <w:r w:rsidR="001B1279">
          <w:rPr>
            <w:rFonts w:asciiTheme="minorHAnsi" w:eastAsiaTheme="minorEastAsia" w:hAnsiTheme="minorHAnsi"/>
            <w:noProof/>
            <w:sz w:val="22"/>
            <w:lang w:eastAsia="en-AU"/>
          </w:rPr>
          <w:tab/>
        </w:r>
        <w:r w:rsidR="001B1279" w:rsidRPr="00621F00">
          <w:rPr>
            <w:rStyle w:val="Hyperlink"/>
            <w:noProof/>
          </w:rPr>
          <w:t>Implications of the analysis</w:t>
        </w:r>
        <w:r w:rsidR="001B1279">
          <w:rPr>
            <w:noProof/>
            <w:webHidden/>
          </w:rPr>
          <w:tab/>
        </w:r>
        <w:r w:rsidR="001B1279">
          <w:rPr>
            <w:noProof/>
            <w:webHidden/>
          </w:rPr>
          <w:fldChar w:fldCharType="begin"/>
        </w:r>
        <w:r w:rsidR="001B1279">
          <w:rPr>
            <w:noProof/>
            <w:webHidden/>
          </w:rPr>
          <w:instrText xml:space="preserve"> PAGEREF _Toc525897803 \h </w:instrText>
        </w:r>
        <w:r w:rsidR="001B1279">
          <w:rPr>
            <w:noProof/>
            <w:webHidden/>
          </w:rPr>
        </w:r>
        <w:r w:rsidR="001B1279">
          <w:rPr>
            <w:noProof/>
            <w:webHidden/>
          </w:rPr>
          <w:fldChar w:fldCharType="separate"/>
        </w:r>
        <w:r w:rsidR="00D209F6">
          <w:rPr>
            <w:noProof/>
            <w:webHidden/>
          </w:rPr>
          <w:t>78</w:t>
        </w:r>
        <w:r w:rsidR="001B1279">
          <w:rPr>
            <w:noProof/>
            <w:webHidden/>
          </w:rPr>
          <w:fldChar w:fldCharType="end"/>
        </w:r>
      </w:hyperlink>
    </w:p>
    <w:p w:rsidR="001B1279" w:rsidRDefault="0004036A">
      <w:pPr>
        <w:pStyle w:val="TOC1"/>
        <w:tabs>
          <w:tab w:val="left" w:pos="440"/>
          <w:tab w:val="right" w:leader="dot" w:pos="9627"/>
        </w:tabs>
        <w:rPr>
          <w:rFonts w:asciiTheme="minorHAnsi" w:eastAsiaTheme="minorEastAsia" w:hAnsiTheme="minorHAnsi"/>
          <w:noProof/>
          <w:sz w:val="22"/>
          <w:lang w:eastAsia="en-AU"/>
        </w:rPr>
      </w:pPr>
      <w:hyperlink w:anchor="_Toc525897804" w:history="1">
        <w:r w:rsidR="001B1279" w:rsidRPr="00621F00">
          <w:rPr>
            <w:rStyle w:val="Hyperlink"/>
            <w:noProof/>
          </w:rPr>
          <w:t>9.</w:t>
        </w:r>
        <w:r w:rsidR="001B1279">
          <w:rPr>
            <w:rFonts w:asciiTheme="minorHAnsi" w:eastAsiaTheme="minorEastAsia" w:hAnsiTheme="minorHAnsi"/>
            <w:noProof/>
            <w:sz w:val="22"/>
            <w:lang w:eastAsia="en-AU"/>
          </w:rPr>
          <w:tab/>
        </w:r>
        <w:r w:rsidR="001B1279" w:rsidRPr="00621F00">
          <w:rPr>
            <w:rStyle w:val="Hyperlink"/>
            <w:noProof/>
          </w:rPr>
          <w:t>Conclusions</w:t>
        </w:r>
        <w:r w:rsidR="001B1279">
          <w:rPr>
            <w:noProof/>
            <w:webHidden/>
          </w:rPr>
          <w:tab/>
        </w:r>
        <w:r w:rsidR="001B1279">
          <w:rPr>
            <w:noProof/>
            <w:webHidden/>
          </w:rPr>
          <w:fldChar w:fldCharType="begin"/>
        </w:r>
        <w:r w:rsidR="001B1279">
          <w:rPr>
            <w:noProof/>
            <w:webHidden/>
          </w:rPr>
          <w:instrText xml:space="preserve"> PAGEREF _Toc525897804 \h </w:instrText>
        </w:r>
        <w:r w:rsidR="001B1279">
          <w:rPr>
            <w:noProof/>
            <w:webHidden/>
          </w:rPr>
        </w:r>
        <w:r w:rsidR="001B1279">
          <w:rPr>
            <w:noProof/>
            <w:webHidden/>
          </w:rPr>
          <w:fldChar w:fldCharType="separate"/>
        </w:r>
        <w:r w:rsidR="00D209F6">
          <w:rPr>
            <w:noProof/>
            <w:webHidden/>
          </w:rPr>
          <w:t>80</w:t>
        </w:r>
        <w:r w:rsidR="001B1279">
          <w:rPr>
            <w:noProof/>
            <w:webHidden/>
          </w:rPr>
          <w:fldChar w:fldCharType="end"/>
        </w:r>
      </w:hyperlink>
    </w:p>
    <w:p w:rsidR="001B1279" w:rsidRDefault="0004036A">
      <w:pPr>
        <w:pStyle w:val="TOC1"/>
        <w:tabs>
          <w:tab w:val="left" w:pos="1540"/>
          <w:tab w:val="right" w:leader="dot" w:pos="9627"/>
        </w:tabs>
        <w:rPr>
          <w:rFonts w:asciiTheme="minorHAnsi" w:eastAsiaTheme="minorEastAsia" w:hAnsiTheme="minorHAnsi"/>
          <w:noProof/>
          <w:sz w:val="22"/>
          <w:lang w:eastAsia="en-AU"/>
        </w:rPr>
      </w:pPr>
      <w:hyperlink w:anchor="_Toc525897805" w:history="1">
        <w:r w:rsidR="001B1279" w:rsidRPr="00621F00">
          <w:rPr>
            <w:rStyle w:val="Hyperlink"/>
            <w:noProof/>
          </w:rPr>
          <w:t>Appendix A</w:t>
        </w:r>
        <w:r w:rsidR="001B1279">
          <w:rPr>
            <w:rFonts w:asciiTheme="minorHAnsi" w:eastAsiaTheme="minorEastAsia" w:hAnsiTheme="minorHAnsi"/>
            <w:noProof/>
            <w:sz w:val="22"/>
            <w:lang w:eastAsia="en-AU"/>
          </w:rPr>
          <w:tab/>
        </w:r>
        <w:r w:rsidR="001B1279" w:rsidRPr="00621F00">
          <w:rPr>
            <w:rStyle w:val="Hyperlink"/>
            <w:noProof/>
          </w:rPr>
          <w:t>Modelling assumptions</w:t>
        </w:r>
        <w:r w:rsidR="001B1279">
          <w:rPr>
            <w:noProof/>
            <w:webHidden/>
          </w:rPr>
          <w:tab/>
        </w:r>
        <w:r w:rsidR="001B1279">
          <w:rPr>
            <w:noProof/>
            <w:webHidden/>
          </w:rPr>
          <w:fldChar w:fldCharType="begin"/>
        </w:r>
        <w:r w:rsidR="001B1279">
          <w:rPr>
            <w:noProof/>
            <w:webHidden/>
          </w:rPr>
          <w:instrText xml:space="preserve"> PAGEREF _Toc525897805 \h </w:instrText>
        </w:r>
        <w:r w:rsidR="001B1279">
          <w:rPr>
            <w:noProof/>
            <w:webHidden/>
          </w:rPr>
        </w:r>
        <w:r w:rsidR="001B1279">
          <w:rPr>
            <w:noProof/>
            <w:webHidden/>
          </w:rPr>
          <w:fldChar w:fldCharType="separate"/>
        </w:r>
        <w:r w:rsidR="00D209F6">
          <w:rPr>
            <w:noProof/>
            <w:webHidden/>
          </w:rPr>
          <w:t>81</w:t>
        </w:r>
        <w:r w:rsidR="001B1279">
          <w:rPr>
            <w:noProof/>
            <w:webHidden/>
          </w:rPr>
          <w:fldChar w:fldCharType="end"/>
        </w:r>
      </w:hyperlink>
    </w:p>
    <w:p w:rsidR="001B1279" w:rsidRDefault="0004036A">
      <w:pPr>
        <w:pStyle w:val="TOC1"/>
        <w:tabs>
          <w:tab w:val="left" w:pos="1540"/>
          <w:tab w:val="right" w:leader="dot" w:pos="9627"/>
        </w:tabs>
        <w:rPr>
          <w:rFonts w:asciiTheme="minorHAnsi" w:eastAsiaTheme="minorEastAsia" w:hAnsiTheme="minorHAnsi"/>
          <w:noProof/>
          <w:sz w:val="22"/>
          <w:lang w:eastAsia="en-AU"/>
        </w:rPr>
      </w:pPr>
      <w:hyperlink w:anchor="_Toc525897806" w:history="1">
        <w:r w:rsidR="001B1279" w:rsidRPr="00621F00">
          <w:rPr>
            <w:rStyle w:val="Hyperlink"/>
            <w:noProof/>
          </w:rPr>
          <w:t>Appendix B</w:t>
        </w:r>
        <w:r w:rsidR="001B1279">
          <w:rPr>
            <w:rFonts w:asciiTheme="minorHAnsi" w:eastAsiaTheme="minorEastAsia" w:hAnsiTheme="minorHAnsi"/>
            <w:noProof/>
            <w:sz w:val="22"/>
            <w:lang w:eastAsia="en-AU"/>
          </w:rPr>
          <w:tab/>
        </w:r>
        <w:r w:rsidR="001B1279" w:rsidRPr="00621F00">
          <w:rPr>
            <w:rStyle w:val="Hyperlink"/>
            <w:noProof/>
          </w:rPr>
          <w:t>Assumed building profile</w:t>
        </w:r>
        <w:r w:rsidR="001B1279">
          <w:rPr>
            <w:noProof/>
            <w:webHidden/>
          </w:rPr>
          <w:tab/>
        </w:r>
        <w:r w:rsidR="001B1279">
          <w:rPr>
            <w:noProof/>
            <w:webHidden/>
          </w:rPr>
          <w:fldChar w:fldCharType="begin"/>
        </w:r>
        <w:r w:rsidR="001B1279">
          <w:rPr>
            <w:noProof/>
            <w:webHidden/>
          </w:rPr>
          <w:instrText xml:space="preserve"> PAGEREF _Toc525897806 \h </w:instrText>
        </w:r>
        <w:r w:rsidR="001B1279">
          <w:rPr>
            <w:noProof/>
            <w:webHidden/>
          </w:rPr>
        </w:r>
        <w:r w:rsidR="001B1279">
          <w:rPr>
            <w:noProof/>
            <w:webHidden/>
          </w:rPr>
          <w:fldChar w:fldCharType="separate"/>
        </w:r>
        <w:r w:rsidR="00D209F6">
          <w:rPr>
            <w:noProof/>
            <w:webHidden/>
          </w:rPr>
          <w:t>89</w:t>
        </w:r>
        <w:r w:rsidR="001B1279">
          <w:rPr>
            <w:noProof/>
            <w:webHidden/>
          </w:rPr>
          <w:fldChar w:fldCharType="end"/>
        </w:r>
      </w:hyperlink>
    </w:p>
    <w:p w:rsidR="001B1279" w:rsidRDefault="0004036A">
      <w:pPr>
        <w:pStyle w:val="TOC1"/>
        <w:tabs>
          <w:tab w:val="left" w:pos="1540"/>
          <w:tab w:val="right" w:leader="dot" w:pos="9627"/>
        </w:tabs>
        <w:rPr>
          <w:rFonts w:asciiTheme="minorHAnsi" w:eastAsiaTheme="minorEastAsia" w:hAnsiTheme="minorHAnsi"/>
          <w:noProof/>
          <w:sz w:val="22"/>
          <w:lang w:eastAsia="en-AU"/>
        </w:rPr>
      </w:pPr>
      <w:hyperlink w:anchor="_Toc525897807" w:history="1">
        <w:r w:rsidR="001B1279" w:rsidRPr="00621F00">
          <w:rPr>
            <w:rStyle w:val="Hyperlink"/>
            <w:noProof/>
          </w:rPr>
          <w:t>Appendix C</w:t>
        </w:r>
        <w:r w:rsidR="001B1279">
          <w:rPr>
            <w:rFonts w:asciiTheme="minorHAnsi" w:eastAsiaTheme="minorEastAsia" w:hAnsiTheme="minorHAnsi"/>
            <w:noProof/>
            <w:sz w:val="22"/>
            <w:lang w:eastAsia="en-AU"/>
          </w:rPr>
          <w:tab/>
        </w:r>
        <w:r w:rsidR="001B1279" w:rsidRPr="00621F00">
          <w:rPr>
            <w:rStyle w:val="Hyperlink"/>
            <w:noProof/>
          </w:rPr>
          <w:t>Consultation approach</w:t>
        </w:r>
        <w:r w:rsidR="001B1279">
          <w:rPr>
            <w:noProof/>
            <w:webHidden/>
          </w:rPr>
          <w:tab/>
        </w:r>
        <w:r w:rsidR="001B1279">
          <w:rPr>
            <w:noProof/>
            <w:webHidden/>
          </w:rPr>
          <w:fldChar w:fldCharType="begin"/>
        </w:r>
        <w:r w:rsidR="001B1279">
          <w:rPr>
            <w:noProof/>
            <w:webHidden/>
          </w:rPr>
          <w:instrText xml:space="preserve"> PAGEREF _Toc525897807 \h </w:instrText>
        </w:r>
        <w:r w:rsidR="001B1279">
          <w:rPr>
            <w:noProof/>
            <w:webHidden/>
          </w:rPr>
        </w:r>
        <w:r w:rsidR="001B1279">
          <w:rPr>
            <w:noProof/>
            <w:webHidden/>
          </w:rPr>
          <w:fldChar w:fldCharType="separate"/>
        </w:r>
        <w:r w:rsidR="00D209F6">
          <w:rPr>
            <w:noProof/>
            <w:webHidden/>
          </w:rPr>
          <w:t>90</w:t>
        </w:r>
        <w:r w:rsidR="001B1279">
          <w:rPr>
            <w:noProof/>
            <w:webHidden/>
          </w:rPr>
          <w:fldChar w:fldCharType="end"/>
        </w:r>
      </w:hyperlink>
    </w:p>
    <w:p w:rsidR="001B1279" w:rsidRDefault="0004036A">
      <w:pPr>
        <w:pStyle w:val="TOC1"/>
        <w:tabs>
          <w:tab w:val="left" w:pos="1540"/>
          <w:tab w:val="right" w:leader="dot" w:pos="9627"/>
        </w:tabs>
        <w:rPr>
          <w:rFonts w:asciiTheme="minorHAnsi" w:eastAsiaTheme="minorEastAsia" w:hAnsiTheme="minorHAnsi"/>
          <w:noProof/>
          <w:sz w:val="22"/>
          <w:lang w:eastAsia="en-AU"/>
        </w:rPr>
      </w:pPr>
      <w:hyperlink w:anchor="_Toc525897808" w:history="1">
        <w:r w:rsidR="001B1279" w:rsidRPr="00621F00">
          <w:rPr>
            <w:rStyle w:val="Hyperlink"/>
            <w:noProof/>
          </w:rPr>
          <w:t>Appendix D</w:t>
        </w:r>
        <w:r w:rsidR="001B1279">
          <w:rPr>
            <w:rFonts w:asciiTheme="minorHAnsi" w:eastAsiaTheme="minorEastAsia" w:hAnsiTheme="minorHAnsi"/>
            <w:noProof/>
            <w:sz w:val="22"/>
            <w:lang w:eastAsia="en-AU"/>
          </w:rPr>
          <w:tab/>
        </w:r>
        <w:r w:rsidR="001B1279" w:rsidRPr="00621F00">
          <w:rPr>
            <w:rStyle w:val="Hyperlink"/>
            <w:noProof/>
          </w:rPr>
          <w:t>International Comparisons</w:t>
        </w:r>
        <w:r w:rsidR="001B1279">
          <w:rPr>
            <w:noProof/>
            <w:webHidden/>
          </w:rPr>
          <w:tab/>
        </w:r>
        <w:r w:rsidR="001B1279">
          <w:rPr>
            <w:noProof/>
            <w:webHidden/>
          </w:rPr>
          <w:fldChar w:fldCharType="begin"/>
        </w:r>
        <w:r w:rsidR="001B1279">
          <w:rPr>
            <w:noProof/>
            <w:webHidden/>
          </w:rPr>
          <w:instrText xml:space="preserve"> PAGEREF _Toc525897808 \h </w:instrText>
        </w:r>
        <w:r w:rsidR="001B1279">
          <w:rPr>
            <w:noProof/>
            <w:webHidden/>
          </w:rPr>
        </w:r>
        <w:r w:rsidR="001B1279">
          <w:rPr>
            <w:noProof/>
            <w:webHidden/>
          </w:rPr>
          <w:fldChar w:fldCharType="separate"/>
        </w:r>
        <w:r w:rsidR="00D209F6">
          <w:rPr>
            <w:noProof/>
            <w:webHidden/>
          </w:rPr>
          <w:t>92</w:t>
        </w:r>
        <w:r w:rsidR="001B1279">
          <w:rPr>
            <w:noProof/>
            <w:webHidden/>
          </w:rPr>
          <w:fldChar w:fldCharType="end"/>
        </w:r>
      </w:hyperlink>
    </w:p>
    <w:p w:rsidR="001B1279" w:rsidRDefault="0004036A">
      <w:pPr>
        <w:pStyle w:val="TOC1"/>
        <w:tabs>
          <w:tab w:val="left" w:pos="1540"/>
          <w:tab w:val="right" w:leader="dot" w:pos="9627"/>
        </w:tabs>
        <w:rPr>
          <w:rFonts w:asciiTheme="minorHAnsi" w:eastAsiaTheme="minorEastAsia" w:hAnsiTheme="minorHAnsi"/>
          <w:noProof/>
          <w:sz w:val="22"/>
          <w:lang w:eastAsia="en-AU"/>
        </w:rPr>
      </w:pPr>
      <w:hyperlink w:anchor="_Toc525897809" w:history="1">
        <w:r w:rsidR="001B1279" w:rsidRPr="00621F00">
          <w:rPr>
            <w:rStyle w:val="Hyperlink"/>
            <w:noProof/>
          </w:rPr>
          <w:t>Appendix E</w:t>
        </w:r>
        <w:r w:rsidR="001B1279">
          <w:rPr>
            <w:rFonts w:asciiTheme="minorHAnsi" w:eastAsiaTheme="minorEastAsia" w:hAnsiTheme="minorHAnsi"/>
            <w:noProof/>
            <w:sz w:val="22"/>
            <w:lang w:eastAsia="en-AU"/>
          </w:rPr>
          <w:tab/>
        </w:r>
        <w:r w:rsidR="001B1279" w:rsidRPr="00621F00">
          <w:rPr>
            <w:rStyle w:val="Hyperlink"/>
            <w:noProof/>
          </w:rPr>
          <w:t>Consultation questions</w:t>
        </w:r>
        <w:r w:rsidR="001B1279">
          <w:rPr>
            <w:noProof/>
            <w:webHidden/>
          </w:rPr>
          <w:tab/>
        </w:r>
        <w:r w:rsidR="001B1279">
          <w:rPr>
            <w:noProof/>
            <w:webHidden/>
          </w:rPr>
          <w:fldChar w:fldCharType="begin"/>
        </w:r>
        <w:r w:rsidR="001B1279">
          <w:rPr>
            <w:noProof/>
            <w:webHidden/>
          </w:rPr>
          <w:instrText xml:space="preserve"> PAGEREF _Toc525897809 \h </w:instrText>
        </w:r>
        <w:r w:rsidR="001B1279">
          <w:rPr>
            <w:noProof/>
            <w:webHidden/>
          </w:rPr>
        </w:r>
        <w:r w:rsidR="001B1279">
          <w:rPr>
            <w:noProof/>
            <w:webHidden/>
          </w:rPr>
          <w:fldChar w:fldCharType="separate"/>
        </w:r>
        <w:r w:rsidR="00D209F6">
          <w:rPr>
            <w:noProof/>
            <w:webHidden/>
          </w:rPr>
          <w:t>95</w:t>
        </w:r>
        <w:r w:rsidR="001B1279">
          <w:rPr>
            <w:noProof/>
            <w:webHidden/>
          </w:rPr>
          <w:fldChar w:fldCharType="end"/>
        </w:r>
      </w:hyperlink>
    </w:p>
    <w:p w:rsidR="0013082F" w:rsidRDefault="00AB0998" w:rsidP="00145CFE">
      <w:pPr>
        <w:spacing w:after="0"/>
      </w:pPr>
      <w:r>
        <w:lastRenderedPageBreak/>
        <w:fldChar w:fldCharType="end"/>
      </w:r>
      <w:r w:rsidR="006E4362">
        <w:t xml:space="preserve">List </w:t>
      </w:r>
      <w:r w:rsidR="00EF3069">
        <w:t xml:space="preserve">of </w:t>
      </w:r>
      <w:r w:rsidR="005A0B1C">
        <w:t>tables</w:t>
      </w:r>
    </w:p>
    <w:p w:rsidR="001B1279" w:rsidRDefault="0013082F">
      <w:pPr>
        <w:pStyle w:val="TableofFigures"/>
        <w:tabs>
          <w:tab w:val="right" w:leader="dot" w:pos="9627"/>
        </w:tabs>
        <w:rPr>
          <w:rFonts w:asciiTheme="minorHAnsi" w:eastAsiaTheme="minorEastAsia" w:hAnsiTheme="minorHAnsi"/>
          <w:noProof/>
          <w:sz w:val="22"/>
          <w:lang w:eastAsia="en-AU"/>
        </w:rPr>
      </w:pPr>
      <w:r>
        <w:fldChar w:fldCharType="begin"/>
      </w:r>
      <w:r>
        <w:instrText xml:space="preserve"> TOC \h \z \c "Table" </w:instrText>
      </w:r>
      <w:r>
        <w:fldChar w:fldCharType="separate"/>
      </w:r>
      <w:hyperlink w:anchor="_Toc525897810" w:history="1">
        <w:r w:rsidR="001B1279" w:rsidRPr="00414A65">
          <w:rPr>
            <w:rStyle w:val="Hyperlink"/>
            <w:noProof/>
          </w:rPr>
          <w:t>Table 0</w:t>
        </w:r>
        <w:r w:rsidR="001B1279" w:rsidRPr="00414A65">
          <w:rPr>
            <w:rStyle w:val="Hyperlink"/>
            <w:noProof/>
          </w:rPr>
          <w:noBreakHyphen/>
          <w:t xml:space="preserve">1: Illustrative </w:t>
        </w:r>
        <w:r w:rsidR="006305FB" w:rsidRPr="00414A65">
          <w:rPr>
            <w:rStyle w:val="Hyperlink"/>
            <w:noProof/>
          </w:rPr>
          <w:t>whole</w:t>
        </w:r>
        <w:r w:rsidR="006305FB">
          <w:rPr>
            <w:rStyle w:val="Hyperlink"/>
            <w:noProof/>
          </w:rPr>
          <w:t>-</w:t>
        </w:r>
        <w:r w:rsidR="006305FB" w:rsidRPr="00414A65">
          <w:rPr>
            <w:rStyle w:val="Hyperlink"/>
            <w:noProof/>
          </w:rPr>
          <w:t>of</w:t>
        </w:r>
        <w:r w:rsidR="006305FB">
          <w:rPr>
            <w:rStyle w:val="Hyperlink"/>
            <w:noProof/>
          </w:rPr>
          <w:t>-</w:t>
        </w:r>
        <w:r w:rsidR="001B1279" w:rsidRPr="00414A65">
          <w:rPr>
            <w:rStyle w:val="Hyperlink"/>
            <w:noProof/>
          </w:rPr>
          <w:t>economy impacts – Net Present Value (Regulatory Option A)</w:t>
        </w:r>
        <w:r w:rsidR="001B1279">
          <w:rPr>
            <w:noProof/>
            <w:webHidden/>
          </w:rPr>
          <w:tab/>
        </w:r>
        <w:r w:rsidR="001B1279">
          <w:rPr>
            <w:noProof/>
            <w:webHidden/>
          </w:rPr>
          <w:fldChar w:fldCharType="begin"/>
        </w:r>
        <w:r w:rsidR="001B1279">
          <w:rPr>
            <w:noProof/>
            <w:webHidden/>
          </w:rPr>
          <w:instrText xml:space="preserve"> PAGEREF _Toc525897810 \h </w:instrText>
        </w:r>
        <w:r w:rsidR="001B1279">
          <w:rPr>
            <w:noProof/>
            <w:webHidden/>
          </w:rPr>
        </w:r>
        <w:r w:rsidR="001B1279">
          <w:rPr>
            <w:noProof/>
            <w:webHidden/>
          </w:rPr>
          <w:fldChar w:fldCharType="separate"/>
        </w:r>
        <w:r w:rsidR="00D209F6">
          <w:rPr>
            <w:noProof/>
            <w:webHidden/>
          </w:rPr>
          <w:t>5</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11" w:history="1">
        <w:r w:rsidR="001B1279" w:rsidRPr="00414A65">
          <w:rPr>
            <w:rStyle w:val="Hyperlink"/>
            <w:noProof/>
          </w:rPr>
          <w:t>Table 0</w:t>
        </w:r>
        <w:r w:rsidR="001B1279" w:rsidRPr="00414A65">
          <w:rPr>
            <w:rStyle w:val="Hyperlink"/>
            <w:noProof/>
          </w:rPr>
          <w:noBreakHyphen/>
          <w:t>2: Summary of qualitative benefits</w:t>
        </w:r>
        <w:r w:rsidR="001B1279">
          <w:rPr>
            <w:noProof/>
            <w:webHidden/>
          </w:rPr>
          <w:tab/>
        </w:r>
        <w:r w:rsidR="001B1279">
          <w:rPr>
            <w:noProof/>
            <w:webHidden/>
          </w:rPr>
          <w:fldChar w:fldCharType="begin"/>
        </w:r>
        <w:r w:rsidR="001B1279">
          <w:rPr>
            <w:noProof/>
            <w:webHidden/>
          </w:rPr>
          <w:instrText xml:space="preserve"> PAGEREF _Toc525897811 \h </w:instrText>
        </w:r>
        <w:r w:rsidR="001B1279">
          <w:rPr>
            <w:noProof/>
            <w:webHidden/>
          </w:rPr>
        </w:r>
        <w:r w:rsidR="001B1279">
          <w:rPr>
            <w:noProof/>
            <w:webHidden/>
          </w:rPr>
          <w:fldChar w:fldCharType="separate"/>
        </w:r>
        <w:r w:rsidR="00D209F6">
          <w:rPr>
            <w:noProof/>
            <w:webHidden/>
          </w:rPr>
          <w:t>5</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12" w:history="1">
        <w:r w:rsidR="001B1279" w:rsidRPr="00414A65">
          <w:rPr>
            <w:rStyle w:val="Hyperlink"/>
            <w:noProof/>
          </w:rPr>
          <w:t>Table 2</w:t>
        </w:r>
        <w:r w:rsidR="001B1279" w:rsidRPr="00414A65">
          <w:rPr>
            <w:rStyle w:val="Hyperlink"/>
            <w:noProof/>
          </w:rPr>
          <w:noBreakHyphen/>
          <w:t>1: Estimated number of AACF users by jurisdiction</w:t>
        </w:r>
        <w:r w:rsidR="001B1279">
          <w:rPr>
            <w:noProof/>
            <w:webHidden/>
          </w:rPr>
          <w:tab/>
        </w:r>
        <w:r w:rsidR="001B1279">
          <w:rPr>
            <w:noProof/>
            <w:webHidden/>
          </w:rPr>
          <w:fldChar w:fldCharType="begin"/>
        </w:r>
        <w:r w:rsidR="001B1279">
          <w:rPr>
            <w:noProof/>
            <w:webHidden/>
          </w:rPr>
          <w:instrText xml:space="preserve"> PAGEREF _Toc525897812 \h </w:instrText>
        </w:r>
        <w:r w:rsidR="001B1279">
          <w:rPr>
            <w:noProof/>
            <w:webHidden/>
          </w:rPr>
        </w:r>
        <w:r w:rsidR="001B1279">
          <w:rPr>
            <w:noProof/>
            <w:webHidden/>
          </w:rPr>
          <w:fldChar w:fldCharType="separate"/>
        </w:r>
        <w:r w:rsidR="00D209F6">
          <w:rPr>
            <w:noProof/>
            <w:webHidden/>
          </w:rPr>
          <w:t>23</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13" w:history="1">
        <w:r w:rsidR="001B1279" w:rsidRPr="00414A65">
          <w:rPr>
            <w:rStyle w:val="Hyperlink"/>
            <w:noProof/>
          </w:rPr>
          <w:t>Table 5</w:t>
        </w:r>
        <w:r w:rsidR="001B1279" w:rsidRPr="00414A65">
          <w:rPr>
            <w:rStyle w:val="Hyperlink"/>
            <w:noProof/>
          </w:rPr>
          <w:noBreakHyphen/>
          <w:t>1: Difficulty accessing locations due to disability in the last 12 months</w:t>
        </w:r>
        <w:r w:rsidR="001B1279">
          <w:rPr>
            <w:noProof/>
            <w:webHidden/>
          </w:rPr>
          <w:tab/>
        </w:r>
        <w:r w:rsidR="001B1279">
          <w:rPr>
            <w:noProof/>
            <w:webHidden/>
          </w:rPr>
          <w:fldChar w:fldCharType="begin"/>
        </w:r>
        <w:r w:rsidR="001B1279">
          <w:rPr>
            <w:noProof/>
            <w:webHidden/>
          </w:rPr>
          <w:instrText xml:space="preserve"> PAGEREF _Toc525897813 \h </w:instrText>
        </w:r>
        <w:r w:rsidR="001B1279">
          <w:rPr>
            <w:noProof/>
            <w:webHidden/>
          </w:rPr>
        </w:r>
        <w:r w:rsidR="001B1279">
          <w:rPr>
            <w:noProof/>
            <w:webHidden/>
          </w:rPr>
          <w:fldChar w:fldCharType="separate"/>
        </w:r>
        <w:r w:rsidR="00D209F6">
          <w:rPr>
            <w:noProof/>
            <w:webHidden/>
          </w:rPr>
          <w:t>36</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14" w:history="1">
        <w:r w:rsidR="001B1279" w:rsidRPr="00414A65">
          <w:rPr>
            <w:rStyle w:val="Hyperlink"/>
            <w:noProof/>
          </w:rPr>
          <w:t>Table 6</w:t>
        </w:r>
        <w:r w:rsidR="001B1279" w:rsidRPr="00414A65">
          <w:rPr>
            <w:rStyle w:val="Hyperlink"/>
            <w:noProof/>
          </w:rPr>
          <w:noBreakHyphen/>
          <w:t>1: Summary of qualitative benefits</w:t>
        </w:r>
        <w:r w:rsidR="001B1279">
          <w:rPr>
            <w:noProof/>
            <w:webHidden/>
          </w:rPr>
          <w:tab/>
        </w:r>
        <w:r w:rsidR="001B1279">
          <w:rPr>
            <w:noProof/>
            <w:webHidden/>
          </w:rPr>
          <w:fldChar w:fldCharType="begin"/>
        </w:r>
        <w:r w:rsidR="001B1279">
          <w:rPr>
            <w:noProof/>
            <w:webHidden/>
          </w:rPr>
          <w:instrText xml:space="preserve"> PAGEREF _Toc525897814 \h </w:instrText>
        </w:r>
        <w:r w:rsidR="001B1279">
          <w:rPr>
            <w:noProof/>
            <w:webHidden/>
          </w:rPr>
        </w:r>
        <w:r w:rsidR="001B1279">
          <w:rPr>
            <w:noProof/>
            <w:webHidden/>
          </w:rPr>
          <w:fldChar w:fldCharType="separate"/>
        </w:r>
        <w:r w:rsidR="00D209F6">
          <w:rPr>
            <w:noProof/>
            <w:webHidden/>
          </w:rPr>
          <w:t>48</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15" w:history="1">
        <w:r w:rsidR="001B1279" w:rsidRPr="00414A65">
          <w:rPr>
            <w:rStyle w:val="Hyperlink"/>
            <w:noProof/>
          </w:rPr>
          <w:t>Table 7</w:t>
        </w:r>
        <w:r w:rsidR="001B1279" w:rsidRPr="00414A65">
          <w:rPr>
            <w:rStyle w:val="Hyperlink"/>
            <w:noProof/>
          </w:rPr>
          <w:noBreakHyphen/>
          <w:t>1: Modelling results for case studies</w:t>
        </w:r>
        <w:r w:rsidR="001B1279">
          <w:rPr>
            <w:noProof/>
            <w:webHidden/>
          </w:rPr>
          <w:tab/>
        </w:r>
        <w:r w:rsidR="001B1279">
          <w:rPr>
            <w:noProof/>
            <w:webHidden/>
          </w:rPr>
          <w:fldChar w:fldCharType="begin"/>
        </w:r>
        <w:r w:rsidR="001B1279">
          <w:rPr>
            <w:noProof/>
            <w:webHidden/>
          </w:rPr>
          <w:instrText xml:space="preserve"> PAGEREF _Toc525897815 \h </w:instrText>
        </w:r>
        <w:r w:rsidR="001B1279">
          <w:rPr>
            <w:noProof/>
            <w:webHidden/>
          </w:rPr>
        </w:r>
        <w:r w:rsidR="001B1279">
          <w:rPr>
            <w:noProof/>
            <w:webHidden/>
          </w:rPr>
          <w:fldChar w:fldCharType="separate"/>
        </w:r>
        <w:r w:rsidR="00D209F6">
          <w:rPr>
            <w:noProof/>
            <w:webHidden/>
          </w:rPr>
          <w:t>55</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16" w:history="1">
        <w:r w:rsidR="001B1279" w:rsidRPr="00414A65">
          <w:rPr>
            <w:rStyle w:val="Hyperlink"/>
            <w:noProof/>
          </w:rPr>
          <w:t>Table 7</w:t>
        </w:r>
        <w:r w:rsidR="001B1279" w:rsidRPr="00414A65">
          <w:rPr>
            <w:rStyle w:val="Hyperlink"/>
            <w:noProof/>
          </w:rPr>
          <w:noBreakHyphen/>
          <w:t>2: Modelling results for airport case study</w:t>
        </w:r>
        <w:r w:rsidR="001B1279">
          <w:rPr>
            <w:noProof/>
            <w:webHidden/>
          </w:rPr>
          <w:tab/>
        </w:r>
        <w:r w:rsidR="001B1279">
          <w:rPr>
            <w:noProof/>
            <w:webHidden/>
          </w:rPr>
          <w:fldChar w:fldCharType="begin"/>
        </w:r>
        <w:r w:rsidR="001B1279">
          <w:rPr>
            <w:noProof/>
            <w:webHidden/>
          </w:rPr>
          <w:instrText xml:space="preserve"> PAGEREF _Toc525897816 \h </w:instrText>
        </w:r>
        <w:r w:rsidR="001B1279">
          <w:rPr>
            <w:noProof/>
            <w:webHidden/>
          </w:rPr>
        </w:r>
        <w:r w:rsidR="001B1279">
          <w:rPr>
            <w:noProof/>
            <w:webHidden/>
          </w:rPr>
          <w:fldChar w:fldCharType="separate"/>
        </w:r>
        <w:r w:rsidR="00D209F6">
          <w:rPr>
            <w:noProof/>
            <w:webHidden/>
          </w:rPr>
          <w:t>56</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17" w:history="1">
        <w:r w:rsidR="001B1279" w:rsidRPr="00414A65">
          <w:rPr>
            <w:rStyle w:val="Hyperlink"/>
            <w:noProof/>
          </w:rPr>
          <w:t>Table 7</w:t>
        </w:r>
        <w:r w:rsidR="001B1279" w:rsidRPr="00414A65">
          <w:rPr>
            <w:rStyle w:val="Hyperlink"/>
            <w:noProof/>
          </w:rPr>
          <w:noBreakHyphen/>
          <w:t>3: Modelling results for public aquatic facilities case study (Regulatory Option A)</w:t>
        </w:r>
        <w:r w:rsidR="001B1279">
          <w:rPr>
            <w:noProof/>
            <w:webHidden/>
          </w:rPr>
          <w:tab/>
        </w:r>
        <w:r w:rsidR="001B1279">
          <w:rPr>
            <w:noProof/>
            <w:webHidden/>
          </w:rPr>
          <w:fldChar w:fldCharType="begin"/>
        </w:r>
        <w:r w:rsidR="001B1279">
          <w:rPr>
            <w:noProof/>
            <w:webHidden/>
          </w:rPr>
          <w:instrText xml:space="preserve"> PAGEREF _Toc525897817 \h </w:instrText>
        </w:r>
        <w:r w:rsidR="001B1279">
          <w:rPr>
            <w:noProof/>
            <w:webHidden/>
          </w:rPr>
        </w:r>
        <w:r w:rsidR="001B1279">
          <w:rPr>
            <w:noProof/>
            <w:webHidden/>
          </w:rPr>
          <w:fldChar w:fldCharType="separate"/>
        </w:r>
        <w:r w:rsidR="00D209F6">
          <w:rPr>
            <w:noProof/>
            <w:webHidden/>
          </w:rPr>
          <w:t>57</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18" w:history="1">
        <w:r w:rsidR="001B1279" w:rsidRPr="00414A65">
          <w:rPr>
            <w:rStyle w:val="Hyperlink"/>
            <w:noProof/>
          </w:rPr>
          <w:t>Table 7</w:t>
        </w:r>
        <w:r w:rsidR="001B1279" w:rsidRPr="00414A65">
          <w:rPr>
            <w:rStyle w:val="Hyperlink"/>
            <w:noProof/>
          </w:rPr>
          <w:noBreakHyphen/>
          <w:t>4: Australian museums by floor space and exhibition size</w:t>
        </w:r>
        <w:r w:rsidR="001B1279">
          <w:rPr>
            <w:noProof/>
            <w:webHidden/>
          </w:rPr>
          <w:tab/>
        </w:r>
        <w:r w:rsidR="001B1279">
          <w:rPr>
            <w:noProof/>
            <w:webHidden/>
          </w:rPr>
          <w:fldChar w:fldCharType="begin"/>
        </w:r>
        <w:r w:rsidR="001B1279">
          <w:rPr>
            <w:noProof/>
            <w:webHidden/>
          </w:rPr>
          <w:instrText xml:space="preserve"> PAGEREF _Toc525897818 \h </w:instrText>
        </w:r>
        <w:r w:rsidR="001B1279">
          <w:rPr>
            <w:noProof/>
            <w:webHidden/>
          </w:rPr>
        </w:r>
        <w:r w:rsidR="001B1279">
          <w:rPr>
            <w:noProof/>
            <w:webHidden/>
          </w:rPr>
          <w:fldChar w:fldCharType="separate"/>
        </w:r>
        <w:r w:rsidR="00D209F6">
          <w:rPr>
            <w:noProof/>
            <w:webHidden/>
          </w:rPr>
          <w:t>64</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19" w:history="1">
        <w:r w:rsidR="001B1279" w:rsidRPr="00414A65">
          <w:rPr>
            <w:rStyle w:val="Hyperlink"/>
            <w:noProof/>
          </w:rPr>
          <w:t>Table 7</w:t>
        </w:r>
        <w:r w:rsidR="001B1279" w:rsidRPr="00414A65">
          <w:rPr>
            <w:rStyle w:val="Hyperlink"/>
            <w:noProof/>
          </w:rPr>
          <w:noBreakHyphen/>
          <w:t>5: Modelling results for non-regulatory scenario</w:t>
        </w:r>
        <w:r w:rsidR="001B1279">
          <w:rPr>
            <w:noProof/>
            <w:webHidden/>
          </w:rPr>
          <w:tab/>
        </w:r>
        <w:r w:rsidR="001B1279">
          <w:rPr>
            <w:noProof/>
            <w:webHidden/>
          </w:rPr>
          <w:fldChar w:fldCharType="begin"/>
        </w:r>
        <w:r w:rsidR="001B1279">
          <w:rPr>
            <w:noProof/>
            <w:webHidden/>
          </w:rPr>
          <w:instrText xml:space="preserve"> PAGEREF _Toc525897819 \h </w:instrText>
        </w:r>
        <w:r w:rsidR="001B1279">
          <w:rPr>
            <w:noProof/>
            <w:webHidden/>
          </w:rPr>
        </w:r>
        <w:r w:rsidR="001B1279">
          <w:rPr>
            <w:noProof/>
            <w:webHidden/>
          </w:rPr>
          <w:fldChar w:fldCharType="separate"/>
        </w:r>
        <w:r w:rsidR="00D209F6">
          <w:rPr>
            <w:noProof/>
            <w:webHidden/>
          </w:rPr>
          <w:t>70</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20" w:history="1">
        <w:r w:rsidR="001B1279" w:rsidRPr="00414A65">
          <w:rPr>
            <w:rStyle w:val="Hyperlink"/>
            <w:noProof/>
          </w:rPr>
          <w:t>Table 7</w:t>
        </w:r>
        <w:r w:rsidR="001B1279" w:rsidRPr="00414A65">
          <w:rPr>
            <w:rStyle w:val="Hyperlink"/>
            <w:noProof/>
          </w:rPr>
          <w:noBreakHyphen/>
          <w:t xml:space="preserve">6: Illustrative </w:t>
        </w:r>
        <w:r w:rsidR="006305FB" w:rsidRPr="00414A65">
          <w:rPr>
            <w:rStyle w:val="Hyperlink"/>
            <w:noProof/>
          </w:rPr>
          <w:t>whole</w:t>
        </w:r>
        <w:r w:rsidR="006305FB">
          <w:rPr>
            <w:rStyle w:val="Hyperlink"/>
            <w:noProof/>
          </w:rPr>
          <w:t>-</w:t>
        </w:r>
        <w:r w:rsidR="006305FB" w:rsidRPr="00414A65">
          <w:rPr>
            <w:rStyle w:val="Hyperlink"/>
            <w:noProof/>
          </w:rPr>
          <w:t>of</w:t>
        </w:r>
        <w:r w:rsidR="006305FB">
          <w:rPr>
            <w:rStyle w:val="Hyperlink"/>
            <w:noProof/>
          </w:rPr>
          <w:t>-</w:t>
        </w:r>
        <w:r w:rsidR="001B1279" w:rsidRPr="00414A65">
          <w:rPr>
            <w:rStyle w:val="Hyperlink"/>
            <w:noProof/>
          </w:rPr>
          <w:t>economy benefits – Shopping Centres</w:t>
        </w:r>
        <w:r w:rsidR="001B1279">
          <w:rPr>
            <w:noProof/>
            <w:webHidden/>
          </w:rPr>
          <w:tab/>
        </w:r>
        <w:r w:rsidR="001B1279">
          <w:rPr>
            <w:noProof/>
            <w:webHidden/>
          </w:rPr>
          <w:fldChar w:fldCharType="begin"/>
        </w:r>
        <w:r w:rsidR="001B1279">
          <w:rPr>
            <w:noProof/>
            <w:webHidden/>
          </w:rPr>
          <w:instrText xml:space="preserve"> PAGEREF _Toc525897820 \h </w:instrText>
        </w:r>
        <w:r w:rsidR="001B1279">
          <w:rPr>
            <w:noProof/>
            <w:webHidden/>
          </w:rPr>
        </w:r>
        <w:r w:rsidR="001B1279">
          <w:rPr>
            <w:noProof/>
            <w:webHidden/>
          </w:rPr>
          <w:fldChar w:fldCharType="separate"/>
        </w:r>
        <w:r w:rsidR="00D209F6">
          <w:rPr>
            <w:noProof/>
            <w:webHidden/>
          </w:rPr>
          <w:t>72</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21" w:history="1">
        <w:r w:rsidR="001B1279" w:rsidRPr="00414A65">
          <w:rPr>
            <w:rStyle w:val="Hyperlink"/>
            <w:noProof/>
          </w:rPr>
          <w:t>Table 7</w:t>
        </w:r>
        <w:r w:rsidR="001B1279" w:rsidRPr="00414A65">
          <w:rPr>
            <w:rStyle w:val="Hyperlink"/>
            <w:noProof/>
          </w:rPr>
          <w:noBreakHyphen/>
          <w:t xml:space="preserve">7: Illustrative </w:t>
        </w:r>
        <w:r w:rsidR="006305FB" w:rsidRPr="00414A65">
          <w:rPr>
            <w:rStyle w:val="Hyperlink"/>
            <w:noProof/>
          </w:rPr>
          <w:t>whole</w:t>
        </w:r>
        <w:r w:rsidR="006305FB">
          <w:rPr>
            <w:rStyle w:val="Hyperlink"/>
            <w:noProof/>
          </w:rPr>
          <w:t>-</w:t>
        </w:r>
        <w:r w:rsidR="006305FB" w:rsidRPr="00414A65">
          <w:rPr>
            <w:rStyle w:val="Hyperlink"/>
            <w:noProof/>
          </w:rPr>
          <w:t>of</w:t>
        </w:r>
        <w:r w:rsidR="006305FB">
          <w:rPr>
            <w:rStyle w:val="Hyperlink"/>
            <w:noProof/>
          </w:rPr>
          <w:t>-</w:t>
        </w:r>
        <w:r w:rsidR="001B1279" w:rsidRPr="00414A65">
          <w:rPr>
            <w:rStyle w:val="Hyperlink"/>
            <w:noProof/>
          </w:rPr>
          <w:t>economy benefits – Museums</w:t>
        </w:r>
        <w:r w:rsidR="001B1279">
          <w:rPr>
            <w:noProof/>
            <w:webHidden/>
          </w:rPr>
          <w:tab/>
        </w:r>
        <w:r w:rsidR="001B1279">
          <w:rPr>
            <w:noProof/>
            <w:webHidden/>
          </w:rPr>
          <w:fldChar w:fldCharType="begin"/>
        </w:r>
        <w:r w:rsidR="001B1279">
          <w:rPr>
            <w:noProof/>
            <w:webHidden/>
          </w:rPr>
          <w:instrText xml:space="preserve"> PAGEREF _Toc525897821 \h </w:instrText>
        </w:r>
        <w:r w:rsidR="001B1279">
          <w:rPr>
            <w:noProof/>
            <w:webHidden/>
          </w:rPr>
        </w:r>
        <w:r w:rsidR="001B1279">
          <w:rPr>
            <w:noProof/>
            <w:webHidden/>
          </w:rPr>
          <w:fldChar w:fldCharType="separate"/>
        </w:r>
        <w:r w:rsidR="00D209F6">
          <w:rPr>
            <w:noProof/>
            <w:webHidden/>
          </w:rPr>
          <w:t>73</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22" w:history="1">
        <w:r w:rsidR="001B1279" w:rsidRPr="00414A65">
          <w:rPr>
            <w:rStyle w:val="Hyperlink"/>
            <w:noProof/>
          </w:rPr>
          <w:t>Table 7</w:t>
        </w:r>
        <w:r w:rsidR="001B1279" w:rsidRPr="00414A65">
          <w:rPr>
            <w:rStyle w:val="Hyperlink"/>
            <w:noProof/>
          </w:rPr>
          <w:noBreakHyphen/>
          <w:t xml:space="preserve">8: Illustrative </w:t>
        </w:r>
        <w:r w:rsidR="006305FB" w:rsidRPr="00414A65">
          <w:rPr>
            <w:rStyle w:val="Hyperlink"/>
            <w:noProof/>
          </w:rPr>
          <w:t>whole</w:t>
        </w:r>
        <w:r w:rsidR="006305FB">
          <w:rPr>
            <w:rStyle w:val="Hyperlink"/>
            <w:noProof/>
          </w:rPr>
          <w:t>-</w:t>
        </w:r>
        <w:r w:rsidR="006305FB" w:rsidRPr="00414A65">
          <w:rPr>
            <w:rStyle w:val="Hyperlink"/>
            <w:noProof/>
          </w:rPr>
          <w:t>of</w:t>
        </w:r>
        <w:r w:rsidR="006305FB">
          <w:rPr>
            <w:rStyle w:val="Hyperlink"/>
            <w:noProof/>
          </w:rPr>
          <w:t>-</w:t>
        </w:r>
        <w:r w:rsidR="001B1279" w:rsidRPr="00414A65">
          <w:rPr>
            <w:rStyle w:val="Hyperlink"/>
            <w:noProof/>
          </w:rPr>
          <w:t>economy benefits – Stadiums</w:t>
        </w:r>
        <w:r w:rsidR="001B1279">
          <w:rPr>
            <w:noProof/>
            <w:webHidden/>
          </w:rPr>
          <w:tab/>
        </w:r>
        <w:r w:rsidR="001B1279">
          <w:rPr>
            <w:noProof/>
            <w:webHidden/>
          </w:rPr>
          <w:fldChar w:fldCharType="begin"/>
        </w:r>
        <w:r w:rsidR="001B1279">
          <w:rPr>
            <w:noProof/>
            <w:webHidden/>
          </w:rPr>
          <w:instrText xml:space="preserve"> PAGEREF _Toc525897822 \h </w:instrText>
        </w:r>
        <w:r w:rsidR="001B1279">
          <w:rPr>
            <w:noProof/>
            <w:webHidden/>
          </w:rPr>
        </w:r>
        <w:r w:rsidR="001B1279">
          <w:rPr>
            <w:noProof/>
            <w:webHidden/>
          </w:rPr>
          <w:fldChar w:fldCharType="separate"/>
        </w:r>
        <w:r w:rsidR="00D209F6">
          <w:rPr>
            <w:noProof/>
            <w:webHidden/>
          </w:rPr>
          <w:t>74</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23" w:history="1">
        <w:r w:rsidR="001B1279" w:rsidRPr="00414A65">
          <w:rPr>
            <w:rStyle w:val="Hyperlink"/>
            <w:noProof/>
          </w:rPr>
          <w:t>Table 7</w:t>
        </w:r>
        <w:r w:rsidR="001B1279" w:rsidRPr="00414A65">
          <w:rPr>
            <w:rStyle w:val="Hyperlink"/>
            <w:noProof/>
          </w:rPr>
          <w:noBreakHyphen/>
          <w:t xml:space="preserve">9: Illustrative </w:t>
        </w:r>
        <w:r w:rsidR="006305FB" w:rsidRPr="00414A65">
          <w:rPr>
            <w:rStyle w:val="Hyperlink"/>
            <w:noProof/>
          </w:rPr>
          <w:t>whole</w:t>
        </w:r>
        <w:r w:rsidR="006305FB">
          <w:rPr>
            <w:rStyle w:val="Hyperlink"/>
            <w:noProof/>
          </w:rPr>
          <w:t>-</w:t>
        </w:r>
        <w:r w:rsidR="006305FB" w:rsidRPr="00414A65">
          <w:rPr>
            <w:rStyle w:val="Hyperlink"/>
            <w:noProof/>
          </w:rPr>
          <w:t>of</w:t>
        </w:r>
        <w:r w:rsidR="006305FB">
          <w:rPr>
            <w:rStyle w:val="Hyperlink"/>
            <w:noProof/>
          </w:rPr>
          <w:t>-</w:t>
        </w:r>
        <w:r w:rsidR="001B1279" w:rsidRPr="00414A65">
          <w:rPr>
            <w:rStyle w:val="Hyperlink"/>
            <w:noProof/>
          </w:rPr>
          <w:t>economy benefits – indoor aquatic facilities</w:t>
        </w:r>
        <w:r w:rsidR="001B1279">
          <w:rPr>
            <w:noProof/>
            <w:webHidden/>
          </w:rPr>
          <w:tab/>
        </w:r>
        <w:r w:rsidR="001B1279">
          <w:rPr>
            <w:noProof/>
            <w:webHidden/>
          </w:rPr>
          <w:fldChar w:fldCharType="begin"/>
        </w:r>
        <w:r w:rsidR="001B1279">
          <w:rPr>
            <w:noProof/>
            <w:webHidden/>
          </w:rPr>
          <w:instrText xml:space="preserve"> PAGEREF _Toc525897823 \h </w:instrText>
        </w:r>
        <w:r w:rsidR="001B1279">
          <w:rPr>
            <w:noProof/>
            <w:webHidden/>
          </w:rPr>
        </w:r>
        <w:r w:rsidR="001B1279">
          <w:rPr>
            <w:noProof/>
            <w:webHidden/>
          </w:rPr>
          <w:fldChar w:fldCharType="separate"/>
        </w:r>
        <w:r w:rsidR="00D209F6">
          <w:rPr>
            <w:noProof/>
            <w:webHidden/>
          </w:rPr>
          <w:t>75</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24" w:history="1">
        <w:r w:rsidR="001B1279" w:rsidRPr="00414A65">
          <w:rPr>
            <w:rStyle w:val="Hyperlink"/>
            <w:bCs/>
            <w:noProof/>
          </w:rPr>
          <w:t>Table 7</w:t>
        </w:r>
        <w:r w:rsidR="001B1279" w:rsidRPr="00414A65">
          <w:rPr>
            <w:rStyle w:val="Hyperlink"/>
            <w:bCs/>
            <w:noProof/>
          </w:rPr>
          <w:noBreakHyphen/>
          <w:t xml:space="preserve">10: Illustrative </w:t>
        </w:r>
        <w:r w:rsidR="006305FB" w:rsidRPr="00414A65">
          <w:rPr>
            <w:rStyle w:val="Hyperlink"/>
            <w:bCs/>
            <w:noProof/>
          </w:rPr>
          <w:t>whole</w:t>
        </w:r>
        <w:r w:rsidR="006305FB">
          <w:rPr>
            <w:rStyle w:val="Hyperlink"/>
            <w:bCs/>
            <w:noProof/>
          </w:rPr>
          <w:t>-</w:t>
        </w:r>
        <w:r w:rsidR="006305FB" w:rsidRPr="00414A65">
          <w:rPr>
            <w:rStyle w:val="Hyperlink"/>
            <w:bCs/>
            <w:noProof/>
          </w:rPr>
          <w:t>of</w:t>
        </w:r>
        <w:r w:rsidR="006305FB">
          <w:rPr>
            <w:rStyle w:val="Hyperlink"/>
            <w:bCs/>
            <w:noProof/>
          </w:rPr>
          <w:t>-</w:t>
        </w:r>
        <w:r w:rsidR="001B1279" w:rsidRPr="00414A65">
          <w:rPr>
            <w:rStyle w:val="Hyperlink"/>
            <w:bCs/>
            <w:noProof/>
          </w:rPr>
          <w:t>economy impacts – Net Present Value (Option A)</w:t>
        </w:r>
        <w:r w:rsidR="001B1279">
          <w:rPr>
            <w:noProof/>
            <w:webHidden/>
          </w:rPr>
          <w:tab/>
        </w:r>
        <w:r w:rsidR="001B1279">
          <w:rPr>
            <w:noProof/>
            <w:webHidden/>
          </w:rPr>
          <w:fldChar w:fldCharType="begin"/>
        </w:r>
        <w:r w:rsidR="001B1279">
          <w:rPr>
            <w:noProof/>
            <w:webHidden/>
          </w:rPr>
          <w:instrText xml:space="preserve"> PAGEREF _Toc525897824 \h </w:instrText>
        </w:r>
        <w:r w:rsidR="001B1279">
          <w:rPr>
            <w:noProof/>
            <w:webHidden/>
          </w:rPr>
        </w:r>
        <w:r w:rsidR="001B1279">
          <w:rPr>
            <w:noProof/>
            <w:webHidden/>
          </w:rPr>
          <w:fldChar w:fldCharType="separate"/>
        </w:r>
        <w:r w:rsidR="00D209F6">
          <w:rPr>
            <w:noProof/>
            <w:webHidden/>
          </w:rPr>
          <w:t>75</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25" w:history="1">
        <w:r w:rsidR="001B1279" w:rsidRPr="00414A65">
          <w:rPr>
            <w:rStyle w:val="Hyperlink"/>
            <w:noProof/>
          </w:rPr>
          <w:t>Table 7</w:t>
        </w:r>
        <w:r w:rsidR="001B1279" w:rsidRPr="00414A65">
          <w:rPr>
            <w:rStyle w:val="Hyperlink"/>
            <w:noProof/>
          </w:rPr>
          <w:noBreakHyphen/>
          <w:t>11: Average annual regulatory burden (from business as usual)</w:t>
        </w:r>
        <w:r w:rsidR="001B1279">
          <w:rPr>
            <w:noProof/>
            <w:webHidden/>
          </w:rPr>
          <w:tab/>
        </w:r>
        <w:r w:rsidR="001B1279">
          <w:rPr>
            <w:noProof/>
            <w:webHidden/>
          </w:rPr>
          <w:fldChar w:fldCharType="begin"/>
        </w:r>
        <w:r w:rsidR="001B1279">
          <w:rPr>
            <w:noProof/>
            <w:webHidden/>
          </w:rPr>
          <w:instrText xml:space="preserve"> PAGEREF _Toc525897825 \h </w:instrText>
        </w:r>
        <w:r w:rsidR="001B1279">
          <w:rPr>
            <w:noProof/>
            <w:webHidden/>
          </w:rPr>
        </w:r>
        <w:r w:rsidR="001B1279">
          <w:rPr>
            <w:noProof/>
            <w:webHidden/>
          </w:rPr>
          <w:fldChar w:fldCharType="separate"/>
        </w:r>
        <w:r w:rsidR="00D209F6">
          <w:rPr>
            <w:noProof/>
            <w:webHidden/>
          </w:rPr>
          <w:t>76</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26" w:history="1">
        <w:r w:rsidR="001B1279" w:rsidRPr="00414A65">
          <w:rPr>
            <w:rStyle w:val="Hyperlink"/>
            <w:noProof/>
          </w:rPr>
          <w:t>Table A</w:t>
        </w:r>
        <w:r w:rsidR="001B1279" w:rsidRPr="00414A65">
          <w:rPr>
            <w:rStyle w:val="Hyperlink"/>
            <w:noProof/>
          </w:rPr>
          <w:noBreakHyphen/>
          <w:t>1: Distance travelled and travel time assumptions</w:t>
        </w:r>
        <w:r w:rsidR="001B1279">
          <w:rPr>
            <w:noProof/>
            <w:webHidden/>
          </w:rPr>
          <w:tab/>
        </w:r>
        <w:r w:rsidR="001B1279">
          <w:rPr>
            <w:noProof/>
            <w:webHidden/>
          </w:rPr>
          <w:fldChar w:fldCharType="begin"/>
        </w:r>
        <w:r w:rsidR="001B1279">
          <w:rPr>
            <w:noProof/>
            <w:webHidden/>
          </w:rPr>
          <w:instrText xml:space="preserve"> PAGEREF _Toc525897826 \h </w:instrText>
        </w:r>
        <w:r w:rsidR="001B1279">
          <w:rPr>
            <w:noProof/>
            <w:webHidden/>
          </w:rPr>
        </w:r>
        <w:r w:rsidR="001B1279">
          <w:rPr>
            <w:noProof/>
            <w:webHidden/>
          </w:rPr>
          <w:fldChar w:fldCharType="separate"/>
        </w:r>
        <w:r w:rsidR="00D209F6">
          <w:rPr>
            <w:noProof/>
            <w:webHidden/>
          </w:rPr>
          <w:t>81</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27" w:history="1">
        <w:r w:rsidR="001B1279" w:rsidRPr="00414A65">
          <w:rPr>
            <w:rStyle w:val="Hyperlink"/>
            <w:noProof/>
          </w:rPr>
          <w:t>Table A</w:t>
        </w:r>
        <w:r w:rsidR="001B1279" w:rsidRPr="00414A65">
          <w:rPr>
            <w:rStyle w:val="Hyperlink"/>
            <w:noProof/>
          </w:rPr>
          <w:noBreakHyphen/>
          <w:t>2: Design occupancy, floor space and visitation assumptions</w:t>
        </w:r>
        <w:r w:rsidR="001B1279">
          <w:rPr>
            <w:noProof/>
            <w:webHidden/>
          </w:rPr>
          <w:tab/>
        </w:r>
        <w:r w:rsidR="001B1279">
          <w:rPr>
            <w:noProof/>
            <w:webHidden/>
          </w:rPr>
          <w:fldChar w:fldCharType="begin"/>
        </w:r>
        <w:r w:rsidR="001B1279">
          <w:rPr>
            <w:noProof/>
            <w:webHidden/>
          </w:rPr>
          <w:instrText xml:space="preserve"> PAGEREF _Toc525897827 \h </w:instrText>
        </w:r>
        <w:r w:rsidR="001B1279">
          <w:rPr>
            <w:noProof/>
            <w:webHidden/>
          </w:rPr>
        </w:r>
        <w:r w:rsidR="001B1279">
          <w:rPr>
            <w:noProof/>
            <w:webHidden/>
          </w:rPr>
          <w:fldChar w:fldCharType="separate"/>
        </w:r>
        <w:r w:rsidR="00D209F6">
          <w:rPr>
            <w:noProof/>
            <w:webHidden/>
          </w:rPr>
          <w:t>82</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28" w:history="1">
        <w:r w:rsidR="001B1279" w:rsidRPr="00414A65">
          <w:rPr>
            <w:rStyle w:val="Hyperlink"/>
            <w:noProof/>
          </w:rPr>
          <w:t>Table A</w:t>
        </w:r>
        <w:r w:rsidR="001B1279" w:rsidRPr="00414A65">
          <w:rPr>
            <w:rStyle w:val="Hyperlink"/>
            <w:noProof/>
          </w:rPr>
          <w:noBreakHyphen/>
          <w:t>3: Estimating the ‘catchment’ population</w:t>
        </w:r>
        <w:r w:rsidR="001B1279">
          <w:rPr>
            <w:noProof/>
            <w:webHidden/>
          </w:rPr>
          <w:tab/>
        </w:r>
        <w:r w:rsidR="001B1279">
          <w:rPr>
            <w:noProof/>
            <w:webHidden/>
          </w:rPr>
          <w:fldChar w:fldCharType="begin"/>
        </w:r>
        <w:r w:rsidR="001B1279">
          <w:rPr>
            <w:noProof/>
            <w:webHidden/>
          </w:rPr>
          <w:instrText xml:space="preserve"> PAGEREF _Toc525897828 \h </w:instrText>
        </w:r>
        <w:r w:rsidR="001B1279">
          <w:rPr>
            <w:noProof/>
            <w:webHidden/>
          </w:rPr>
        </w:r>
        <w:r w:rsidR="001B1279">
          <w:rPr>
            <w:noProof/>
            <w:webHidden/>
          </w:rPr>
          <w:fldChar w:fldCharType="separate"/>
        </w:r>
        <w:r w:rsidR="00D209F6">
          <w:rPr>
            <w:noProof/>
            <w:webHidden/>
          </w:rPr>
          <w:t>83</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29" w:history="1">
        <w:r w:rsidR="001B1279" w:rsidRPr="00414A65">
          <w:rPr>
            <w:rStyle w:val="Hyperlink"/>
            <w:noProof/>
          </w:rPr>
          <w:t>Table A</w:t>
        </w:r>
        <w:r w:rsidR="001B1279" w:rsidRPr="00414A65">
          <w:rPr>
            <w:rStyle w:val="Hyperlink"/>
            <w:noProof/>
          </w:rPr>
          <w:noBreakHyphen/>
          <w:t>4: Refining the ‘catchment’ population</w:t>
        </w:r>
        <w:r w:rsidR="001B1279">
          <w:rPr>
            <w:noProof/>
            <w:webHidden/>
          </w:rPr>
          <w:tab/>
        </w:r>
        <w:r w:rsidR="001B1279">
          <w:rPr>
            <w:noProof/>
            <w:webHidden/>
          </w:rPr>
          <w:fldChar w:fldCharType="begin"/>
        </w:r>
        <w:r w:rsidR="001B1279">
          <w:rPr>
            <w:noProof/>
            <w:webHidden/>
          </w:rPr>
          <w:instrText xml:space="preserve"> PAGEREF _Toc525897829 \h </w:instrText>
        </w:r>
        <w:r w:rsidR="001B1279">
          <w:rPr>
            <w:noProof/>
            <w:webHidden/>
          </w:rPr>
        </w:r>
        <w:r w:rsidR="001B1279">
          <w:rPr>
            <w:noProof/>
            <w:webHidden/>
          </w:rPr>
          <w:fldChar w:fldCharType="separate"/>
        </w:r>
        <w:r w:rsidR="00D209F6">
          <w:rPr>
            <w:noProof/>
            <w:webHidden/>
          </w:rPr>
          <w:t>86</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30" w:history="1">
        <w:r w:rsidR="001B1279" w:rsidRPr="00414A65">
          <w:rPr>
            <w:rStyle w:val="Hyperlink"/>
            <w:noProof/>
          </w:rPr>
          <w:t>Table A</w:t>
        </w:r>
        <w:r w:rsidR="001B1279" w:rsidRPr="00414A65">
          <w:rPr>
            <w:rStyle w:val="Hyperlink"/>
            <w:noProof/>
          </w:rPr>
          <w:noBreakHyphen/>
          <w:t>5: Assumed entry fee and spending, museums and stadiums</w:t>
        </w:r>
        <w:r w:rsidR="001B1279">
          <w:rPr>
            <w:noProof/>
            <w:webHidden/>
          </w:rPr>
          <w:tab/>
        </w:r>
        <w:r w:rsidR="001B1279">
          <w:rPr>
            <w:noProof/>
            <w:webHidden/>
          </w:rPr>
          <w:fldChar w:fldCharType="begin"/>
        </w:r>
        <w:r w:rsidR="001B1279">
          <w:rPr>
            <w:noProof/>
            <w:webHidden/>
          </w:rPr>
          <w:instrText xml:space="preserve"> PAGEREF _Toc525897830 \h </w:instrText>
        </w:r>
        <w:r w:rsidR="001B1279">
          <w:rPr>
            <w:noProof/>
            <w:webHidden/>
          </w:rPr>
        </w:r>
        <w:r w:rsidR="001B1279">
          <w:rPr>
            <w:noProof/>
            <w:webHidden/>
          </w:rPr>
          <w:fldChar w:fldCharType="separate"/>
        </w:r>
        <w:r w:rsidR="00D209F6">
          <w:rPr>
            <w:noProof/>
            <w:webHidden/>
          </w:rPr>
          <w:t>86</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31" w:history="1">
        <w:r w:rsidR="001B1279" w:rsidRPr="00414A65">
          <w:rPr>
            <w:rStyle w:val="Hyperlink"/>
            <w:noProof/>
          </w:rPr>
          <w:t>Table B</w:t>
        </w:r>
        <w:r w:rsidR="001B1279" w:rsidRPr="00414A65">
          <w:rPr>
            <w:rStyle w:val="Hyperlink"/>
            <w:noProof/>
          </w:rPr>
          <w:noBreakHyphen/>
          <w:t>1: Assumed number of buildings constructed, regulatory and non-regulatory scenarios</w:t>
        </w:r>
        <w:r w:rsidR="001B1279">
          <w:rPr>
            <w:noProof/>
            <w:webHidden/>
          </w:rPr>
          <w:tab/>
        </w:r>
        <w:r w:rsidR="001B1279">
          <w:rPr>
            <w:noProof/>
            <w:webHidden/>
          </w:rPr>
          <w:fldChar w:fldCharType="begin"/>
        </w:r>
        <w:r w:rsidR="001B1279">
          <w:rPr>
            <w:noProof/>
            <w:webHidden/>
          </w:rPr>
          <w:instrText xml:space="preserve"> PAGEREF _Toc525897831 \h </w:instrText>
        </w:r>
        <w:r w:rsidR="001B1279">
          <w:rPr>
            <w:noProof/>
            <w:webHidden/>
          </w:rPr>
        </w:r>
        <w:r w:rsidR="001B1279">
          <w:rPr>
            <w:noProof/>
            <w:webHidden/>
          </w:rPr>
          <w:fldChar w:fldCharType="separate"/>
        </w:r>
        <w:r w:rsidR="00D209F6">
          <w:rPr>
            <w:noProof/>
            <w:webHidden/>
          </w:rPr>
          <w:t>89</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32" w:history="1">
        <w:r w:rsidR="001B1279" w:rsidRPr="00414A65">
          <w:rPr>
            <w:rStyle w:val="Hyperlink"/>
            <w:noProof/>
          </w:rPr>
          <w:t>Table C</w:t>
        </w:r>
        <w:r w:rsidR="001B1279" w:rsidRPr="00414A65">
          <w:rPr>
            <w:rStyle w:val="Hyperlink"/>
            <w:noProof/>
          </w:rPr>
          <w:noBreakHyphen/>
          <w:t>1: Location of research participants</w:t>
        </w:r>
        <w:r w:rsidR="001B1279">
          <w:rPr>
            <w:noProof/>
            <w:webHidden/>
          </w:rPr>
          <w:tab/>
        </w:r>
        <w:r w:rsidR="001B1279">
          <w:rPr>
            <w:noProof/>
            <w:webHidden/>
          </w:rPr>
          <w:fldChar w:fldCharType="begin"/>
        </w:r>
        <w:r w:rsidR="001B1279">
          <w:rPr>
            <w:noProof/>
            <w:webHidden/>
          </w:rPr>
          <w:instrText xml:space="preserve"> PAGEREF _Toc525897832 \h </w:instrText>
        </w:r>
        <w:r w:rsidR="001B1279">
          <w:rPr>
            <w:noProof/>
            <w:webHidden/>
          </w:rPr>
        </w:r>
        <w:r w:rsidR="001B1279">
          <w:rPr>
            <w:noProof/>
            <w:webHidden/>
          </w:rPr>
          <w:fldChar w:fldCharType="separate"/>
        </w:r>
        <w:r w:rsidR="00D209F6">
          <w:rPr>
            <w:noProof/>
            <w:webHidden/>
          </w:rPr>
          <w:t>90</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33" w:history="1">
        <w:r w:rsidR="001B1279" w:rsidRPr="00414A65">
          <w:rPr>
            <w:rStyle w:val="Hyperlink"/>
            <w:noProof/>
          </w:rPr>
          <w:t>Table C</w:t>
        </w:r>
        <w:r w:rsidR="001B1279" w:rsidRPr="00414A65">
          <w:rPr>
            <w:rStyle w:val="Hyperlink"/>
            <w:noProof/>
          </w:rPr>
          <w:noBreakHyphen/>
          <w:t>2: Key questions</w:t>
        </w:r>
        <w:r w:rsidR="001B1279">
          <w:rPr>
            <w:noProof/>
            <w:webHidden/>
          </w:rPr>
          <w:tab/>
        </w:r>
        <w:r w:rsidR="001B1279">
          <w:rPr>
            <w:noProof/>
            <w:webHidden/>
          </w:rPr>
          <w:fldChar w:fldCharType="begin"/>
        </w:r>
        <w:r w:rsidR="001B1279">
          <w:rPr>
            <w:noProof/>
            <w:webHidden/>
          </w:rPr>
          <w:instrText xml:space="preserve"> PAGEREF _Toc525897833 \h </w:instrText>
        </w:r>
        <w:r w:rsidR="001B1279">
          <w:rPr>
            <w:noProof/>
            <w:webHidden/>
          </w:rPr>
        </w:r>
        <w:r w:rsidR="001B1279">
          <w:rPr>
            <w:noProof/>
            <w:webHidden/>
          </w:rPr>
          <w:fldChar w:fldCharType="separate"/>
        </w:r>
        <w:r w:rsidR="00D209F6">
          <w:rPr>
            <w:noProof/>
            <w:webHidden/>
          </w:rPr>
          <w:t>91</w:t>
        </w:r>
        <w:r w:rsidR="001B1279">
          <w:rPr>
            <w:noProof/>
            <w:webHidden/>
          </w:rPr>
          <w:fldChar w:fldCharType="end"/>
        </w:r>
      </w:hyperlink>
    </w:p>
    <w:p w:rsidR="0013082F" w:rsidRPr="0013082F" w:rsidRDefault="0013082F" w:rsidP="0013082F">
      <w:r>
        <w:fldChar w:fldCharType="end"/>
      </w:r>
    </w:p>
    <w:p w:rsidR="005A0B1C" w:rsidRDefault="006E4362" w:rsidP="005A0B1C">
      <w:pPr>
        <w:pStyle w:val="EYContents"/>
        <w:rPr>
          <w:rFonts w:eastAsiaTheme="majorEastAsia"/>
        </w:rPr>
      </w:pPr>
      <w:r>
        <w:rPr>
          <w:rFonts w:eastAsiaTheme="majorEastAsia"/>
        </w:rPr>
        <w:t xml:space="preserve">List </w:t>
      </w:r>
      <w:r w:rsidR="005A0B1C">
        <w:rPr>
          <w:rFonts w:eastAsiaTheme="majorEastAsia"/>
        </w:rPr>
        <w:t>of figures</w:t>
      </w:r>
    </w:p>
    <w:p w:rsidR="001B1279" w:rsidRDefault="0013082F">
      <w:pPr>
        <w:pStyle w:val="TableofFigures"/>
        <w:tabs>
          <w:tab w:val="right" w:leader="dot" w:pos="9627"/>
        </w:tabs>
        <w:rPr>
          <w:rFonts w:asciiTheme="minorHAnsi" w:eastAsiaTheme="minorEastAsia" w:hAnsiTheme="minorHAnsi"/>
          <w:noProof/>
          <w:sz w:val="22"/>
          <w:lang w:eastAsia="en-AU"/>
        </w:rPr>
      </w:pPr>
      <w:r>
        <w:rPr>
          <w:b/>
        </w:rPr>
        <w:fldChar w:fldCharType="begin"/>
      </w:r>
      <w:r>
        <w:rPr>
          <w:b/>
        </w:rPr>
        <w:instrText xml:space="preserve"> TOC \h \z \c "Figure" </w:instrText>
      </w:r>
      <w:r>
        <w:rPr>
          <w:b/>
        </w:rPr>
        <w:fldChar w:fldCharType="separate"/>
      </w:r>
      <w:hyperlink w:anchor="_Toc525897834" w:history="1">
        <w:r w:rsidR="001B1279" w:rsidRPr="00E73D03">
          <w:rPr>
            <w:rStyle w:val="Hyperlink"/>
            <w:noProof/>
          </w:rPr>
          <w:t>Figure 2</w:t>
        </w:r>
        <w:r w:rsidR="001B1279" w:rsidRPr="00E73D03">
          <w:rPr>
            <w:rStyle w:val="Hyperlink"/>
            <w:noProof/>
          </w:rPr>
          <w:noBreakHyphen/>
          <w:t>1: Number of Changing Places Facilities and AACFs as at August 2017</w:t>
        </w:r>
        <w:r w:rsidR="001B1279">
          <w:rPr>
            <w:noProof/>
            <w:webHidden/>
          </w:rPr>
          <w:tab/>
        </w:r>
        <w:r w:rsidR="001B1279">
          <w:rPr>
            <w:noProof/>
            <w:webHidden/>
          </w:rPr>
          <w:fldChar w:fldCharType="begin"/>
        </w:r>
        <w:r w:rsidR="001B1279">
          <w:rPr>
            <w:noProof/>
            <w:webHidden/>
          </w:rPr>
          <w:instrText xml:space="preserve"> PAGEREF _Toc525897834 \h </w:instrText>
        </w:r>
        <w:r w:rsidR="001B1279">
          <w:rPr>
            <w:noProof/>
            <w:webHidden/>
          </w:rPr>
        </w:r>
        <w:r w:rsidR="001B1279">
          <w:rPr>
            <w:noProof/>
            <w:webHidden/>
          </w:rPr>
          <w:fldChar w:fldCharType="separate"/>
        </w:r>
        <w:r w:rsidR="00D209F6">
          <w:rPr>
            <w:noProof/>
            <w:webHidden/>
          </w:rPr>
          <w:t>22</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35" w:history="1">
        <w:r w:rsidR="001B1279" w:rsidRPr="00E73D03">
          <w:rPr>
            <w:rStyle w:val="Hyperlink"/>
            <w:noProof/>
          </w:rPr>
          <w:t>Figure 5</w:t>
        </w:r>
        <w:r w:rsidR="001B1279" w:rsidRPr="00E73D03">
          <w:rPr>
            <w:rStyle w:val="Hyperlink"/>
            <w:noProof/>
          </w:rPr>
          <w:noBreakHyphen/>
          <w:t>1: Bottom up approach to estimating the core cohort</w:t>
        </w:r>
        <w:r w:rsidR="001B1279">
          <w:rPr>
            <w:noProof/>
            <w:webHidden/>
          </w:rPr>
          <w:tab/>
        </w:r>
        <w:r w:rsidR="001B1279">
          <w:rPr>
            <w:noProof/>
            <w:webHidden/>
          </w:rPr>
          <w:fldChar w:fldCharType="begin"/>
        </w:r>
        <w:r w:rsidR="001B1279">
          <w:rPr>
            <w:noProof/>
            <w:webHidden/>
          </w:rPr>
          <w:instrText xml:space="preserve"> PAGEREF _Toc525897835 \h </w:instrText>
        </w:r>
        <w:r w:rsidR="001B1279">
          <w:rPr>
            <w:noProof/>
            <w:webHidden/>
          </w:rPr>
        </w:r>
        <w:r w:rsidR="001B1279">
          <w:rPr>
            <w:noProof/>
            <w:webHidden/>
          </w:rPr>
          <w:fldChar w:fldCharType="separate"/>
        </w:r>
        <w:r w:rsidR="00D209F6">
          <w:rPr>
            <w:noProof/>
            <w:webHidden/>
          </w:rPr>
          <w:t>35</w:t>
        </w:r>
        <w:r w:rsidR="001B1279">
          <w:rPr>
            <w:noProof/>
            <w:webHidden/>
          </w:rPr>
          <w:fldChar w:fldCharType="end"/>
        </w:r>
      </w:hyperlink>
    </w:p>
    <w:p w:rsidR="001B1279" w:rsidRDefault="0004036A">
      <w:pPr>
        <w:pStyle w:val="TableofFigures"/>
        <w:tabs>
          <w:tab w:val="right" w:leader="dot" w:pos="9627"/>
        </w:tabs>
        <w:rPr>
          <w:rFonts w:asciiTheme="minorHAnsi" w:eastAsiaTheme="minorEastAsia" w:hAnsiTheme="minorHAnsi"/>
          <w:noProof/>
          <w:sz w:val="22"/>
          <w:lang w:eastAsia="en-AU"/>
        </w:rPr>
      </w:pPr>
      <w:hyperlink w:anchor="_Toc525897836" w:history="1">
        <w:r w:rsidR="001B1279" w:rsidRPr="00E73D03">
          <w:rPr>
            <w:rStyle w:val="Hyperlink"/>
            <w:noProof/>
          </w:rPr>
          <w:t>Figure 7</w:t>
        </w:r>
        <w:r w:rsidR="001B1279" w:rsidRPr="00E73D03">
          <w:rPr>
            <w:rStyle w:val="Hyperlink"/>
            <w:noProof/>
          </w:rPr>
          <w:noBreakHyphen/>
          <w:t>1: Reasons for inability to use some or all forms of public transport</w:t>
        </w:r>
        <w:r w:rsidR="001B1279">
          <w:rPr>
            <w:noProof/>
            <w:webHidden/>
          </w:rPr>
          <w:tab/>
        </w:r>
        <w:r w:rsidR="001B1279">
          <w:rPr>
            <w:noProof/>
            <w:webHidden/>
          </w:rPr>
          <w:fldChar w:fldCharType="begin"/>
        </w:r>
        <w:r w:rsidR="001B1279">
          <w:rPr>
            <w:noProof/>
            <w:webHidden/>
          </w:rPr>
          <w:instrText xml:space="preserve"> PAGEREF _Toc525897836 \h </w:instrText>
        </w:r>
        <w:r w:rsidR="001B1279">
          <w:rPr>
            <w:noProof/>
            <w:webHidden/>
          </w:rPr>
        </w:r>
        <w:r w:rsidR="001B1279">
          <w:rPr>
            <w:noProof/>
            <w:webHidden/>
          </w:rPr>
          <w:fldChar w:fldCharType="separate"/>
        </w:r>
        <w:r w:rsidR="00D209F6">
          <w:rPr>
            <w:noProof/>
            <w:webHidden/>
          </w:rPr>
          <w:t>59</w:t>
        </w:r>
        <w:r w:rsidR="001B1279">
          <w:rPr>
            <w:noProof/>
            <w:webHidden/>
          </w:rPr>
          <w:fldChar w:fldCharType="end"/>
        </w:r>
      </w:hyperlink>
    </w:p>
    <w:p w:rsidR="0013082F" w:rsidRDefault="0013082F" w:rsidP="007D3846">
      <w:pPr>
        <w:pStyle w:val="EYContents"/>
        <w:keepNext w:val="0"/>
        <w:rPr>
          <w:rFonts w:eastAsiaTheme="minorHAnsi" w:cstheme="minorBidi"/>
          <w:b w:val="0"/>
          <w:color w:val="auto"/>
          <w:sz w:val="24"/>
          <w:szCs w:val="22"/>
        </w:rPr>
      </w:pPr>
      <w:r>
        <w:rPr>
          <w:rFonts w:eastAsiaTheme="minorHAnsi" w:cstheme="minorBidi"/>
          <w:b w:val="0"/>
          <w:color w:val="auto"/>
          <w:sz w:val="24"/>
          <w:szCs w:val="22"/>
        </w:rPr>
        <w:fldChar w:fldCharType="end"/>
      </w:r>
    </w:p>
    <w:p w:rsidR="0045173F" w:rsidRDefault="0045173F">
      <w:pPr>
        <w:jc w:val="left"/>
        <w:rPr>
          <w:rFonts w:eastAsia="Times New Roman" w:cs="Arial"/>
          <w:b/>
          <w:sz w:val="28"/>
          <w:szCs w:val="24"/>
        </w:rPr>
      </w:pPr>
      <w:bookmarkStart w:id="3" w:name="_Toc408237923"/>
      <w:bookmarkStart w:id="4" w:name="_Toc408314116"/>
      <w:r>
        <w:br w:type="page"/>
      </w:r>
    </w:p>
    <w:p w:rsidR="00FC20F5" w:rsidRPr="005E7E6E" w:rsidRDefault="00FC20F5" w:rsidP="00EF3069">
      <w:pPr>
        <w:pStyle w:val="EYAppendixHeading2"/>
      </w:pPr>
      <w:r w:rsidRPr="005E7E6E">
        <w:lastRenderedPageBreak/>
        <w:t>Acronyms</w:t>
      </w:r>
      <w:bookmarkEnd w:id="3"/>
      <w:bookmarkEnd w:id="4"/>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57" w:type="dxa"/>
          <w:right w:w="57" w:type="dxa"/>
        </w:tblCellMar>
        <w:tblLook w:val="04A0" w:firstRow="1" w:lastRow="0" w:firstColumn="1" w:lastColumn="0" w:noHBand="0" w:noVBand="1"/>
        <w:tblCaption w:val="Acronyms"/>
        <w:tblDescription w:val="List of key acronyms used throughout the document."/>
      </w:tblPr>
      <w:tblGrid>
        <w:gridCol w:w="1510"/>
        <w:gridCol w:w="8117"/>
      </w:tblGrid>
      <w:tr w:rsidR="00AA5B35" w:rsidTr="00602F49">
        <w:trPr>
          <w:tblHeader/>
        </w:trPr>
        <w:tc>
          <w:tcPr>
            <w:tcW w:w="7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hideMark/>
          </w:tcPr>
          <w:p w:rsidR="00AA5B35" w:rsidRPr="00602F49" w:rsidRDefault="00AA5B35" w:rsidP="00EF3069">
            <w:pPr>
              <w:pStyle w:val="EYTableHeadingWhite"/>
              <w:rPr>
                <w:sz w:val="20"/>
                <w:szCs w:val="20"/>
              </w:rPr>
            </w:pPr>
            <w:bookmarkStart w:id="5" w:name="_Toc384886077"/>
            <w:bookmarkStart w:id="6" w:name="_Toc408237924"/>
            <w:bookmarkStart w:id="7" w:name="_Toc408314117"/>
            <w:r w:rsidRPr="00602F49">
              <w:rPr>
                <w:sz w:val="20"/>
                <w:szCs w:val="20"/>
              </w:rPr>
              <w:t>Acronym</w:t>
            </w:r>
          </w:p>
        </w:tc>
        <w:tc>
          <w:tcPr>
            <w:tcW w:w="42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hideMark/>
          </w:tcPr>
          <w:p w:rsidR="00AA5B35" w:rsidRPr="00602F49" w:rsidRDefault="00AA5B35" w:rsidP="00EF3069">
            <w:pPr>
              <w:pStyle w:val="EYTableHeadingWhite"/>
              <w:rPr>
                <w:sz w:val="20"/>
                <w:szCs w:val="20"/>
              </w:rPr>
            </w:pPr>
            <w:r w:rsidRPr="00602F49">
              <w:rPr>
                <w:sz w:val="20"/>
                <w:szCs w:val="20"/>
              </w:rPr>
              <w:t>Definition</w:t>
            </w:r>
          </w:p>
        </w:tc>
      </w:tr>
      <w:tr w:rsidR="00AA5B35" w:rsidTr="00602F49">
        <w:tc>
          <w:tcPr>
            <w:tcW w:w="784" w:type="pct"/>
            <w:tcBorders>
              <w:top w:val="single" w:sz="4" w:space="0" w:color="FFFFFF" w:themeColor="background1"/>
            </w:tcBorders>
            <w:shd w:val="clear" w:color="auto" w:fill="FFFFFF" w:themeFill="background1"/>
            <w:hideMark/>
          </w:tcPr>
          <w:p w:rsidR="00AA5B35" w:rsidRPr="00602F49" w:rsidRDefault="00AA5B35" w:rsidP="0038058A">
            <w:pPr>
              <w:jc w:val="left"/>
              <w:rPr>
                <w:rFonts w:cs="Arial"/>
                <w:sz w:val="20"/>
                <w:szCs w:val="20"/>
              </w:rPr>
            </w:pPr>
            <w:r w:rsidRPr="00602F49">
              <w:rPr>
                <w:rFonts w:cs="Arial"/>
                <w:sz w:val="20"/>
                <w:szCs w:val="20"/>
              </w:rPr>
              <w:t>AAC</w:t>
            </w:r>
            <w:r w:rsidR="002842DD" w:rsidRPr="00602F49">
              <w:rPr>
                <w:rFonts w:cs="Arial"/>
                <w:sz w:val="20"/>
                <w:szCs w:val="20"/>
              </w:rPr>
              <w:t>F</w:t>
            </w:r>
          </w:p>
        </w:tc>
        <w:tc>
          <w:tcPr>
            <w:tcW w:w="4216" w:type="pct"/>
            <w:tcBorders>
              <w:top w:val="single" w:sz="4" w:space="0" w:color="FFFFFF" w:themeColor="background1"/>
            </w:tcBorders>
            <w:shd w:val="clear" w:color="auto" w:fill="auto"/>
            <w:hideMark/>
          </w:tcPr>
          <w:p w:rsidR="00AA5B35" w:rsidRPr="00602F49" w:rsidRDefault="0087157C" w:rsidP="0038058A">
            <w:pPr>
              <w:jc w:val="left"/>
              <w:rPr>
                <w:rFonts w:cs="Arial"/>
                <w:sz w:val="20"/>
                <w:szCs w:val="20"/>
              </w:rPr>
            </w:pPr>
            <w:r w:rsidRPr="00602F49">
              <w:rPr>
                <w:rFonts w:cs="Arial"/>
                <w:sz w:val="20"/>
                <w:szCs w:val="20"/>
              </w:rPr>
              <w:t xml:space="preserve">Accessible </w:t>
            </w:r>
            <w:r w:rsidR="008564F8">
              <w:rPr>
                <w:rFonts w:cs="Arial"/>
                <w:sz w:val="20"/>
                <w:szCs w:val="20"/>
              </w:rPr>
              <w:t>a</w:t>
            </w:r>
            <w:r w:rsidRPr="00602F49">
              <w:rPr>
                <w:rFonts w:cs="Arial"/>
                <w:sz w:val="20"/>
                <w:szCs w:val="20"/>
              </w:rPr>
              <w:t xml:space="preserve">dult </w:t>
            </w:r>
            <w:r w:rsidR="008564F8">
              <w:rPr>
                <w:rFonts w:cs="Arial"/>
                <w:sz w:val="20"/>
                <w:szCs w:val="20"/>
              </w:rPr>
              <w:t>c</w:t>
            </w:r>
            <w:r w:rsidRPr="00602F49">
              <w:rPr>
                <w:rFonts w:cs="Arial"/>
                <w:sz w:val="20"/>
                <w:szCs w:val="20"/>
              </w:rPr>
              <w:t xml:space="preserve">hange </w:t>
            </w:r>
            <w:r w:rsidR="008564F8">
              <w:rPr>
                <w:rFonts w:cs="Arial"/>
                <w:sz w:val="20"/>
                <w:szCs w:val="20"/>
              </w:rPr>
              <w:t>f</w:t>
            </w:r>
            <w:r w:rsidRPr="00602F49">
              <w:rPr>
                <w:rFonts w:cs="Arial"/>
                <w:sz w:val="20"/>
                <w:szCs w:val="20"/>
              </w:rPr>
              <w:t>acility</w:t>
            </w:r>
          </w:p>
        </w:tc>
      </w:tr>
      <w:tr w:rsidR="00AA5B35" w:rsidTr="00602F49">
        <w:tc>
          <w:tcPr>
            <w:tcW w:w="784" w:type="pct"/>
            <w:shd w:val="clear" w:color="auto" w:fill="FFFFFF" w:themeFill="background1"/>
            <w:hideMark/>
          </w:tcPr>
          <w:p w:rsidR="00AA5B35" w:rsidRPr="00602F49" w:rsidRDefault="00AA5B35" w:rsidP="0038058A">
            <w:pPr>
              <w:jc w:val="left"/>
              <w:rPr>
                <w:rFonts w:cs="Arial"/>
                <w:sz w:val="20"/>
                <w:szCs w:val="20"/>
              </w:rPr>
            </w:pPr>
            <w:r w:rsidRPr="00602F49">
              <w:rPr>
                <w:rFonts w:cs="Arial"/>
                <w:sz w:val="20"/>
                <w:szCs w:val="20"/>
              </w:rPr>
              <w:t>ABCB</w:t>
            </w:r>
          </w:p>
        </w:tc>
        <w:tc>
          <w:tcPr>
            <w:tcW w:w="4216" w:type="pct"/>
            <w:shd w:val="clear" w:color="auto" w:fill="auto"/>
            <w:hideMark/>
          </w:tcPr>
          <w:p w:rsidR="00AA5B35" w:rsidRPr="00602F49" w:rsidRDefault="00AA5B35" w:rsidP="0038058A">
            <w:pPr>
              <w:jc w:val="left"/>
              <w:rPr>
                <w:rFonts w:cs="Arial"/>
                <w:sz w:val="20"/>
                <w:szCs w:val="20"/>
              </w:rPr>
            </w:pPr>
            <w:r w:rsidRPr="00602F49">
              <w:rPr>
                <w:rFonts w:cs="Arial"/>
                <w:sz w:val="20"/>
                <w:szCs w:val="20"/>
              </w:rPr>
              <w:t>Australian Building Codes Board</w:t>
            </w:r>
          </w:p>
        </w:tc>
      </w:tr>
      <w:tr w:rsidR="00AA5B35" w:rsidTr="00602F49">
        <w:tc>
          <w:tcPr>
            <w:tcW w:w="784" w:type="pct"/>
            <w:shd w:val="clear" w:color="auto" w:fill="FFFFFF" w:themeFill="background1"/>
            <w:hideMark/>
          </w:tcPr>
          <w:p w:rsidR="00AA5B35" w:rsidRPr="00602F49" w:rsidRDefault="00AA5B35" w:rsidP="0038058A">
            <w:pPr>
              <w:jc w:val="left"/>
              <w:rPr>
                <w:rFonts w:cs="Arial"/>
                <w:sz w:val="20"/>
                <w:szCs w:val="20"/>
              </w:rPr>
            </w:pPr>
            <w:r w:rsidRPr="00602F49">
              <w:rPr>
                <w:rFonts w:cs="Arial"/>
                <w:sz w:val="20"/>
                <w:szCs w:val="20"/>
              </w:rPr>
              <w:t>ABS</w:t>
            </w:r>
          </w:p>
        </w:tc>
        <w:tc>
          <w:tcPr>
            <w:tcW w:w="4216" w:type="pct"/>
            <w:shd w:val="clear" w:color="auto" w:fill="auto"/>
            <w:hideMark/>
          </w:tcPr>
          <w:p w:rsidR="00AA5B35" w:rsidRPr="00602F49" w:rsidRDefault="00AA5B35" w:rsidP="0038058A">
            <w:pPr>
              <w:jc w:val="left"/>
              <w:rPr>
                <w:rFonts w:cs="Arial"/>
                <w:sz w:val="20"/>
                <w:szCs w:val="20"/>
              </w:rPr>
            </w:pPr>
            <w:r w:rsidRPr="00602F49">
              <w:rPr>
                <w:rFonts w:cs="Arial"/>
                <w:sz w:val="20"/>
                <w:szCs w:val="20"/>
              </w:rPr>
              <w:t>Australian Bureau of Statistics</w:t>
            </w:r>
          </w:p>
        </w:tc>
      </w:tr>
      <w:tr w:rsidR="00AA5B35" w:rsidTr="00602F49">
        <w:tc>
          <w:tcPr>
            <w:tcW w:w="784" w:type="pct"/>
            <w:shd w:val="clear" w:color="auto" w:fill="FFFFFF" w:themeFill="background1"/>
            <w:hideMark/>
          </w:tcPr>
          <w:p w:rsidR="00AA5B35" w:rsidRPr="00602F49" w:rsidRDefault="00AA5B35" w:rsidP="0038058A">
            <w:pPr>
              <w:jc w:val="left"/>
              <w:rPr>
                <w:rFonts w:cs="Arial"/>
                <w:sz w:val="20"/>
                <w:szCs w:val="20"/>
              </w:rPr>
            </w:pPr>
            <w:r w:rsidRPr="00602F49">
              <w:rPr>
                <w:rFonts w:cs="Arial"/>
                <w:sz w:val="20"/>
                <w:szCs w:val="20"/>
              </w:rPr>
              <w:t>AHRC</w:t>
            </w:r>
          </w:p>
        </w:tc>
        <w:tc>
          <w:tcPr>
            <w:tcW w:w="4216" w:type="pct"/>
            <w:shd w:val="clear" w:color="auto" w:fill="auto"/>
            <w:hideMark/>
          </w:tcPr>
          <w:p w:rsidR="00AA5B35" w:rsidRPr="00602F49" w:rsidRDefault="00AA5B35" w:rsidP="0038058A">
            <w:pPr>
              <w:jc w:val="left"/>
              <w:rPr>
                <w:rFonts w:cs="Arial"/>
                <w:sz w:val="20"/>
                <w:szCs w:val="20"/>
              </w:rPr>
            </w:pPr>
            <w:r w:rsidRPr="00602F49">
              <w:rPr>
                <w:rFonts w:cs="Arial"/>
                <w:sz w:val="20"/>
                <w:szCs w:val="20"/>
              </w:rPr>
              <w:t>Australian Human Rights Commission</w:t>
            </w:r>
          </w:p>
        </w:tc>
      </w:tr>
      <w:tr w:rsidR="00274A0D" w:rsidTr="00602F49">
        <w:tc>
          <w:tcPr>
            <w:tcW w:w="784" w:type="pct"/>
            <w:shd w:val="clear" w:color="auto" w:fill="FFFFFF" w:themeFill="background1"/>
          </w:tcPr>
          <w:p w:rsidR="00274A0D" w:rsidRPr="00602F49" w:rsidRDefault="00274A0D" w:rsidP="0038058A">
            <w:pPr>
              <w:jc w:val="left"/>
              <w:rPr>
                <w:rFonts w:cs="Arial"/>
                <w:sz w:val="20"/>
                <w:szCs w:val="20"/>
              </w:rPr>
            </w:pPr>
            <w:r w:rsidRPr="00602F49">
              <w:rPr>
                <w:rFonts w:cs="Arial"/>
                <w:sz w:val="20"/>
                <w:szCs w:val="20"/>
              </w:rPr>
              <w:t>AIHW</w:t>
            </w:r>
          </w:p>
        </w:tc>
        <w:tc>
          <w:tcPr>
            <w:tcW w:w="4216" w:type="pct"/>
            <w:shd w:val="clear" w:color="auto" w:fill="auto"/>
          </w:tcPr>
          <w:p w:rsidR="00274A0D" w:rsidRPr="00602F49" w:rsidRDefault="00274A0D" w:rsidP="0038058A">
            <w:pPr>
              <w:jc w:val="left"/>
              <w:rPr>
                <w:rFonts w:cs="Arial"/>
                <w:sz w:val="20"/>
                <w:szCs w:val="20"/>
              </w:rPr>
            </w:pPr>
            <w:r w:rsidRPr="00602F49">
              <w:rPr>
                <w:rFonts w:cs="Arial"/>
                <w:sz w:val="20"/>
                <w:szCs w:val="20"/>
              </w:rPr>
              <w:t>Australian Institute of Health and Welfare</w:t>
            </w:r>
          </w:p>
        </w:tc>
      </w:tr>
      <w:tr w:rsidR="00AA5B35" w:rsidTr="00602F49">
        <w:tc>
          <w:tcPr>
            <w:tcW w:w="784" w:type="pct"/>
            <w:shd w:val="clear" w:color="auto" w:fill="FFFFFF" w:themeFill="background1"/>
            <w:hideMark/>
          </w:tcPr>
          <w:p w:rsidR="00AA5B35" w:rsidRPr="00602F49" w:rsidRDefault="00AA5B35" w:rsidP="0038058A">
            <w:pPr>
              <w:jc w:val="left"/>
              <w:rPr>
                <w:rFonts w:cs="Arial"/>
                <w:sz w:val="20"/>
                <w:szCs w:val="20"/>
              </w:rPr>
            </w:pPr>
            <w:r w:rsidRPr="00602F49">
              <w:rPr>
                <w:rFonts w:cs="Arial"/>
                <w:sz w:val="20"/>
                <w:szCs w:val="20"/>
              </w:rPr>
              <w:t>AS</w:t>
            </w:r>
          </w:p>
        </w:tc>
        <w:tc>
          <w:tcPr>
            <w:tcW w:w="4216" w:type="pct"/>
            <w:shd w:val="clear" w:color="auto" w:fill="auto"/>
            <w:hideMark/>
          </w:tcPr>
          <w:p w:rsidR="00AA5B35" w:rsidRPr="00602F49" w:rsidRDefault="00AA5B35" w:rsidP="0038058A">
            <w:pPr>
              <w:jc w:val="left"/>
              <w:rPr>
                <w:rFonts w:cs="Arial"/>
                <w:sz w:val="20"/>
                <w:szCs w:val="20"/>
              </w:rPr>
            </w:pPr>
            <w:r w:rsidRPr="00602F49">
              <w:rPr>
                <w:rFonts w:cs="Arial"/>
                <w:sz w:val="20"/>
                <w:szCs w:val="20"/>
              </w:rPr>
              <w:t>Australian Standard</w:t>
            </w:r>
          </w:p>
        </w:tc>
      </w:tr>
      <w:tr w:rsidR="00AA5B35" w:rsidTr="00602F49">
        <w:tc>
          <w:tcPr>
            <w:tcW w:w="784" w:type="pct"/>
            <w:shd w:val="clear" w:color="auto" w:fill="FFFFFF" w:themeFill="background1"/>
            <w:hideMark/>
          </w:tcPr>
          <w:p w:rsidR="00AA5B35" w:rsidRPr="00602F49" w:rsidRDefault="00AA5B35" w:rsidP="0038058A">
            <w:pPr>
              <w:jc w:val="left"/>
              <w:rPr>
                <w:rFonts w:cs="Arial"/>
                <w:sz w:val="20"/>
                <w:szCs w:val="20"/>
              </w:rPr>
            </w:pPr>
            <w:r w:rsidRPr="00602F49">
              <w:rPr>
                <w:rFonts w:cs="Arial"/>
                <w:sz w:val="20"/>
                <w:szCs w:val="20"/>
              </w:rPr>
              <w:t>BCA</w:t>
            </w:r>
          </w:p>
        </w:tc>
        <w:tc>
          <w:tcPr>
            <w:tcW w:w="4216" w:type="pct"/>
            <w:shd w:val="clear" w:color="auto" w:fill="auto"/>
            <w:hideMark/>
          </w:tcPr>
          <w:p w:rsidR="00AA5B35" w:rsidRPr="00602F49" w:rsidRDefault="00AA5B35" w:rsidP="0038058A">
            <w:pPr>
              <w:jc w:val="left"/>
              <w:rPr>
                <w:rFonts w:cs="Arial"/>
                <w:sz w:val="20"/>
                <w:szCs w:val="20"/>
              </w:rPr>
            </w:pPr>
            <w:r w:rsidRPr="00602F49">
              <w:rPr>
                <w:rFonts w:cs="Arial"/>
                <w:sz w:val="20"/>
                <w:szCs w:val="20"/>
              </w:rPr>
              <w:t>Building Code of Australia, Volumes One and Two of the National Construction Code</w:t>
            </w:r>
          </w:p>
        </w:tc>
      </w:tr>
      <w:tr w:rsidR="007E65AC" w:rsidTr="00602F49">
        <w:tc>
          <w:tcPr>
            <w:tcW w:w="784" w:type="pct"/>
            <w:shd w:val="clear" w:color="auto" w:fill="FFFFFF" w:themeFill="background1"/>
          </w:tcPr>
          <w:p w:rsidR="007E65AC" w:rsidRPr="00602F49" w:rsidRDefault="007E65AC" w:rsidP="0038058A">
            <w:pPr>
              <w:jc w:val="left"/>
              <w:rPr>
                <w:rFonts w:cs="Arial"/>
                <w:sz w:val="20"/>
                <w:szCs w:val="20"/>
              </w:rPr>
            </w:pPr>
            <w:r w:rsidRPr="00602F49">
              <w:rPr>
                <w:rFonts w:cs="Arial"/>
                <w:sz w:val="20"/>
                <w:szCs w:val="20"/>
              </w:rPr>
              <w:t>BCR</w:t>
            </w:r>
          </w:p>
        </w:tc>
        <w:tc>
          <w:tcPr>
            <w:tcW w:w="4216" w:type="pct"/>
            <w:shd w:val="clear" w:color="auto" w:fill="auto"/>
          </w:tcPr>
          <w:p w:rsidR="007E65AC" w:rsidRPr="00602F49" w:rsidRDefault="007E65AC" w:rsidP="0038058A">
            <w:pPr>
              <w:jc w:val="left"/>
              <w:rPr>
                <w:rFonts w:cs="Arial"/>
                <w:sz w:val="20"/>
                <w:szCs w:val="20"/>
              </w:rPr>
            </w:pPr>
            <w:r w:rsidRPr="00602F49">
              <w:rPr>
                <w:rFonts w:cs="Arial"/>
                <w:sz w:val="20"/>
                <w:szCs w:val="20"/>
              </w:rPr>
              <w:t>Benefit Cost Ratio</w:t>
            </w:r>
          </w:p>
        </w:tc>
      </w:tr>
      <w:tr w:rsidR="001F3C57" w:rsidTr="00602F49">
        <w:tc>
          <w:tcPr>
            <w:tcW w:w="784" w:type="pct"/>
            <w:shd w:val="clear" w:color="auto" w:fill="FFFFFF" w:themeFill="background1"/>
          </w:tcPr>
          <w:p w:rsidR="001F3C57" w:rsidRPr="00602F49" w:rsidRDefault="001F3C57" w:rsidP="0038058A">
            <w:pPr>
              <w:jc w:val="left"/>
              <w:rPr>
                <w:rFonts w:cs="Arial"/>
                <w:sz w:val="20"/>
                <w:szCs w:val="20"/>
              </w:rPr>
            </w:pPr>
            <w:r w:rsidRPr="00602F49">
              <w:rPr>
                <w:rFonts w:cs="Arial"/>
                <w:sz w:val="20"/>
                <w:szCs w:val="20"/>
              </w:rPr>
              <w:t>BS</w:t>
            </w:r>
          </w:p>
        </w:tc>
        <w:tc>
          <w:tcPr>
            <w:tcW w:w="4216" w:type="pct"/>
            <w:shd w:val="clear" w:color="auto" w:fill="auto"/>
          </w:tcPr>
          <w:p w:rsidR="001F3C57" w:rsidRPr="00602F49" w:rsidRDefault="001F3C57" w:rsidP="0038058A">
            <w:pPr>
              <w:jc w:val="left"/>
              <w:rPr>
                <w:rFonts w:cs="Arial"/>
                <w:sz w:val="20"/>
                <w:szCs w:val="20"/>
              </w:rPr>
            </w:pPr>
            <w:r w:rsidRPr="00602F49">
              <w:rPr>
                <w:rFonts w:cs="Arial"/>
                <w:sz w:val="20"/>
                <w:szCs w:val="20"/>
              </w:rPr>
              <w:t>British Standards</w:t>
            </w:r>
          </w:p>
        </w:tc>
      </w:tr>
      <w:tr w:rsidR="0074113F" w:rsidTr="00602F49">
        <w:tc>
          <w:tcPr>
            <w:tcW w:w="784" w:type="pct"/>
            <w:shd w:val="clear" w:color="auto" w:fill="FFFFFF" w:themeFill="background1"/>
          </w:tcPr>
          <w:p w:rsidR="0074113F" w:rsidRPr="00602F49" w:rsidRDefault="0074113F" w:rsidP="0038058A">
            <w:pPr>
              <w:jc w:val="left"/>
              <w:rPr>
                <w:rFonts w:cs="Arial"/>
                <w:sz w:val="20"/>
                <w:szCs w:val="20"/>
              </w:rPr>
            </w:pPr>
            <w:r w:rsidRPr="00602F49">
              <w:rPr>
                <w:rFonts w:cs="Arial"/>
                <w:sz w:val="20"/>
                <w:szCs w:val="20"/>
              </w:rPr>
              <w:t>CP</w:t>
            </w:r>
          </w:p>
        </w:tc>
        <w:tc>
          <w:tcPr>
            <w:tcW w:w="4216" w:type="pct"/>
            <w:shd w:val="clear" w:color="auto" w:fill="auto"/>
          </w:tcPr>
          <w:p w:rsidR="0074113F" w:rsidRPr="00602F49" w:rsidRDefault="0074113F" w:rsidP="0038058A">
            <w:pPr>
              <w:jc w:val="left"/>
              <w:rPr>
                <w:rFonts w:cs="Arial"/>
                <w:sz w:val="20"/>
                <w:szCs w:val="20"/>
              </w:rPr>
            </w:pPr>
            <w:r w:rsidRPr="00602F49">
              <w:rPr>
                <w:rFonts w:cs="Arial"/>
                <w:sz w:val="20"/>
                <w:szCs w:val="20"/>
              </w:rPr>
              <w:t>Changing Places</w:t>
            </w:r>
          </w:p>
        </w:tc>
      </w:tr>
      <w:tr w:rsidR="001F3C57" w:rsidTr="00602F49">
        <w:tc>
          <w:tcPr>
            <w:tcW w:w="784" w:type="pct"/>
            <w:shd w:val="clear" w:color="auto" w:fill="FFFFFF" w:themeFill="background1"/>
          </w:tcPr>
          <w:p w:rsidR="001F3C57" w:rsidRPr="00602F49" w:rsidRDefault="001F3C57" w:rsidP="0038058A">
            <w:pPr>
              <w:jc w:val="left"/>
              <w:rPr>
                <w:rFonts w:cs="Arial"/>
                <w:sz w:val="20"/>
                <w:szCs w:val="20"/>
              </w:rPr>
            </w:pPr>
            <w:r w:rsidRPr="00602F49">
              <w:rPr>
                <w:rFonts w:cs="Arial"/>
                <w:sz w:val="20"/>
                <w:szCs w:val="20"/>
              </w:rPr>
              <w:t>COAG</w:t>
            </w:r>
          </w:p>
        </w:tc>
        <w:tc>
          <w:tcPr>
            <w:tcW w:w="4216" w:type="pct"/>
            <w:shd w:val="clear" w:color="auto" w:fill="auto"/>
          </w:tcPr>
          <w:p w:rsidR="001F3C57" w:rsidRPr="00602F49" w:rsidRDefault="001F3C57" w:rsidP="0038058A">
            <w:pPr>
              <w:jc w:val="left"/>
              <w:rPr>
                <w:rFonts w:cs="Arial"/>
                <w:sz w:val="20"/>
                <w:szCs w:val="20"/>
              </w:rPr>
            </w:pPr>
            <w:r w:rsidRPr="00602F49">
              <w:rPr>
                <w:rFonts w:cs="Arial"/>
                <w:sz w:val="20"/>
                <w:szCs w:val="20"/>
              </w:rPr>
              <w:t>Council of Australian Governments</w:t>
            </w:r>
          </w:p>
        </w:tc>
      </w:tr>
      <w:tr w:rsidR="0074113F" w:rsidTr="00602F49">
        <w:tc>
          <w:tcPr>
            <w:tcW w:w="784" w:type="pct"/>
            <w:shd w:val="clear" w:color="auto" w:fill="FFFFFF" w:themeFill="background1"/>
          </w:tcPr>
          <w:p w:rsidR="0074113F" w:rsidRPr="00602F49" w:rsidRDefault="0074113F" w:rsidP="0038058A">
            <w:pPr>
              <w:jc w:val="left"/>
              <w:rPr>
                <w:rFonts w:cs="Arial"/>
                <w:sz w:val="20"/>
                <w:szCs w:val="20"/>
              </w:rPr>
            </w:pPr>
            <w:r w:rsidRPr="00602F49">
              <w:rPr>
                <w:rFonts w:cs="Arial"/>
                <w:sz w:val="20"/>
                <w:szCs w:val="20"/>
              </w:rPr>
              <w:t>CPTS</w:t>
            </w:r>
          </w:p>
        </w:tc>
        <w:tc>
          <w:tcPr>
            <w:tcW w:w="4216" w:type="pct"/>
            <w:shd w:val="clear" w:color="auto" w:fill="auto"/>
          </w:tcPr>
          <w:p w:rsidR="0074113F" w:rsidRPr="00602F49" w:rsidRDefault="0074113F" w:rsidP="0074113F">
            <w:pPr>
              <w:jc w:val="left"/>
              <w:rPr>
                <w:rFonts w:cs="Arial"/>
                <w:sz w:val="20"/>
                <w:szCs w:val="20"/>
              </w:rPr>
            </w:pPr>
            <w:r w:rsidRPr="00602F49">
              <w:rPr>
                <w:rFonts w:cs="Arial"/>
                <w:sz w:val="20"/>
                <w:szCs w:val="20"/>
              </w:rPr>
              <w:t xml:space="preserve">Changing Places Technical Standard </w:t>
            </w:r>
          </w:p>
        </w:tc>
      </w:tr>
      <w:tr w:rsidR="001F3C57" w:rsidTr="00602F49">
        <w:tc>
          <w:tcPr>
            <w:tcW w:w="784" w:type="pct"/>
            <w:shd w:val="clear" w:color="auto" w:fill="FFFFFF" w:themeFill="background1"/>
          </w:tcPr>
          <w:p w:rsidR="001F3C57" w:rsidRPr="00602F49" w:rsidRDefault="001F3C57" w:rsidP="0038058A">
            <w:pPr>
              <w:jc w:val="left"/>
              <w:rPr>
                <w:rFonts w:cs="Arial"/>
                <w:sz w:val="20"/>
                <w:szCs w:val="20"/>
              </w:rPr>
            </w:pPr>
            <w:r w:rsidRPr="00602F49">
              <w:rPr>
                <w:rFonts w:cs="Arial"/>
                <w:sz w:val="20"/>
                <w:szCs w:val="20"/>
              </w:rPr>
              <w:t>DCWC</w:t>
            </w:r>
          </w:p>
        </w:tc>
        <w:tc>
          <w:tcPr>
            <w:tcW w:w="4216" w:type="pct"/>
            <w:shd w:val="clear" w:color="auto" w:fill="auto"/>
          </w:tcPr>
          <w:p w:rsidR="001F3C57" w:rsidRPr="00602F49" w:rsidRDefault="001F3C57" w:rsidP="0074113F">
            <w:pPr>
              <w:jc w:val="left"/>
              <w:rPr>
                <w:rFonts w:cs="Arial"/>
                <w:sz w:val="20"/>
                <w:szCs w:val="20"/>
              </w:rPr>
            </w:pPr>
            <w:r w:rsidRPr="00602F49">
              <w:rPr>
                <w:rFonts w:cs="Arial"/>
                <w:sz w:val="20"/>
                <w:szCs w:val="20"/>
              </w:rPr>
              <w:t>Donald Cant Watts and Corke</w:t>
            </w:r>
            <w:r w:rsidR="006E4362" w:rsidRPr="00602F49">
              <w:rPr>
                <w:rFonts w:cs="Arial"/>
                <w:sz w:val="20"/>
                <w:szCs w:val="20"/>
              </w:rPr>
              <w:t xml:space="preserve"> (Quantity Surveyors)</w:t>
            </w:r>
          </w:p>
        </w:tc>
      </w:tr>
      <w:tr w:rsidR="00AA5B35" w:rsidTr="00602F49">
        <w:tc>
          <w:tcPr>
            <w:tcW w:w="784" w:type="pct"/>
            <w:shd w:val="clear" w:color="auto" w:fill="FFFFFF" w:themeFill="background1"/>
            <w:hideMark/>
          </w:tcPr>
          <w:p w:rsidR="00AA5B35" w:rsidRPr="00602F49" w:rsidRDefault="00AA5B35" w:rsidP="0038058A">
            <w:pPr>
              <w:jc w:val="left"/>
              <w:rPr>
                <w:rFonts w:cs="Arial"/>
                <w:sz w:val="20"/>
                <w:szCs w:val="20"/>
              </w:rPr>
            </w:pPr>
            <w:r w:rsidRPr="00602F49">
              <w:rPr>
                <w:rFonts w:cs="Arial"/>
                <w:sz w:val="20"/>
                <w:szCs w:val="20"/>
              </w:rPr>
              <w:t>DDA</w:t>
            </w:r>
          </w:p>
        </w:tc>
        <w:tc>
          <w:tcPr>
            <w:tcW w:w="4216" w:type="pct"/>
            <w:shd w:val="clear" w:color="auto" w:fill="auto"/>
            <w:hideMark/>
          </w:tcPr>
          <w:p w:rsidR="00AA5B35" w:rsidRPr="00602F49" w:rsidRDefault="00AA5B35" w:rsidP="0038058A">
            <w:pPr>
              <w:jc w:val="left"/>
              <w:rPr>
                <w:rFonts w:cs="Arial"/>
                <w:i/>
                <w:sz w:val="20"/>
                <w:szCs w:val="20"/>
              </w:rPr>
            </w:pPr>
            <w:r w:rsidRPr="00602F49">
              <w:rPr>
                <w:rFonts w:cs="Arial"/>
                <w:i/>
                <w:sz w:val="20"/>
                <w:szCs w:val="20"/>
              </w:rPr>
              <w:t>Disability Discrimination Act 1992</w:t>
            </w:r>
          </w:p>
        </w:tc>
      </w:tr>
      <w:tr w:rsidR="007F40F1" w:rsidTr="00602F49">
        <w:tc>
          <w:tcPr>
            <w:tcW w:w="784" w:type="pct"/>
            <w:shd w:val="clear" w:color="auto" w:fill="FFFFFF" w:themeFill="background1"/>
          </w:tcPr>
          <w:p w:rsidR="007F40F1" w:rsidRPr="00602F49" w:rsidRDefault="007F40F1" w:rsidP="0038058A">
            <w:pPr>
              <w:jc w:val="left"/>
              <w:rPr>
                <w:rFonts w:cs="Arial"/>
                <w:sz w:val="20"/>
                <w:szCs w:val="20"/>
              </w:rPr>
            </w:pPr>
            <w:r>
              <w:rPr>
                <w:rFonts w:cs="Arial"/>
                <w:sz w:val="20"/>
                <w:szCs w:val="20"/>
              </w:rPr>
              <w:t>HHSBA</w:t>
            </w:r>
          </w:p>
        </w:tc>
        <w:tc>
          <w:tcPr>
            <w:tcW w:w="4216" w:type="pct"/>
            <w:shd w:val="clear" w:color="auto" w:fill="auto"/>
          </w:tcPr>
          <w:p w:rsidR="007F40F1" w:rsidRPr="00602F49" w:rsidRDefault="007F40F1" w:rsidP="007A7441">
            <w:pPr>
              <w:jc w:val="left"/>
              <w:rPr>
                <w:rFonts w:cs="Arial"/>
                <w:sz w:val="20"/>
                <w:szCs w:val="20"/>
              </w:rPr>
            </w:pPr>
            <w:r>
              <w:rPr>
                <w:rFonts w:cs="Arial"/>
                <w:sz w:val="20"/>
                <w:szCs w:val="20"/>
              </w:rPr>
              <w:t>Health and Human Services Building Authority</w:t>
            </w:r>
          </w:p>
        </w:tc>
      </w:tr>
      <w:tr w:rsidR="007A7441" w:rsidTr="00602F49">
        <w:tc>
          <w:tcPr>
            <w:tcW w:w="784" w:type="pct"/>
            <w:shd w:val="clear" w:color="auto" w:fill="FFFFFF" w:themeFill="background1"/>
          </w:tcPr>
          <w:p w:rsidR="007A7441" w:rsidRPr="00602F49" w:rsidRDefault="007A7441" w:rsidP="0038058A">
            <w:pPr>
              <w:jc w:val="left"/>
              <w:rPr>
                <w:rFonts w:cs="Arial"/>
                <w:sz w:val="20"/>
                <w:szCs w:val="20"/>
              </w:rPr>
            </w:pPr>
            <w:r w:rsidRPr="00602F49">
              <w:rPr>
                <w:rFonts w:cs="Arial"/>
                <w:sz w:val="20"/>
                <w:szCs w:val="20"/>
              </w:rPr>
              <w:t>NDIS</w:t>
            </w:r>
          </w:p>
        </w:tc>
        <w:tc>
          <w:tcPr>
            <w:tcW w:w="4216" w:type="pct"/>
            <w:shd w:val="clear" w:color="auto" w:fill="auto"/>
          </w:tcPr>
          <w:p w:rsidR="007A7441" w:rsidRPr="00602F49" w:rsidRDefault="007A7441" w:rsidP="007A7441">
            <w:pPr>
              <w:jc w:val="left"/>
              <w:rPr>
                <w:rFonts w:cs="Arial"/>
                <w:i/>
                <w:sz w:val="20"/>
                <w:szCs w:val="20"/>
              </w:rPr>
            </w:pPr>
            <w:r w:rsidRPr="00602F49">
              <w:rPr>
                <w:rFonts w:cs="Arial"/>
                <w:sz w:val="20"/>
                <w:szCs w:val="20"/>
              </w:rPr>
              <w:t>National Disability Insurance Scheme</w:t>
            </w:r>
          </w:p>
        </w:tc>
      </w:tr>
      <w:tr w:rsidR="00AA5B35" w:rsidTr="00602F49">
        <w:tc>
          <w:tcPr>
            <w:tcW w:w="784" w:type="pct"/>
            <w:shd w:val="clear" w:color="auto" w:fill="FFFFFF" w:themeFill="background1"/>
            <w:hideMark/>
          </w:tcPr>
          <w:p w:rsidR="00AA5B35" w:rsidRPr="00602F49" w:rsidRDefault="00AA5B35" w:rsidP="0038058A">
            <w:pPr>
              <w:jc w:val="left"/>
              <w:rPr>
                <w:rFonts w:cs="Arial"/>
                <w:sz w:val="20"/>
                <w:szCs w:val="20"/>
              </w:rPr>
            </w:pPr>
            <w:r w:rsidRPr="00602F49">
              <w:rPr>
                <w:rFonts w:cs="Arial"/>
                <w:sz w:val="20"/>
                <w:szCs w:val="20"/>
              </w:rPr>
              <w:t>NCC</w:t>
            </w:r>
          </w:p>
        </w:tc>
        <w:tc>
          <w:tcPr>
            <w:tcW w:w="4216" w:type="pct"/>
            <w:shd w:val="clear" w:color="auto" w:fill="auto"/>
            <w:hideMark/>
          </w:tcPr>
          <w:p w:rsidR="00AA5B35" w:rsidRPr="00602F49" w:rsidRDefault="00AA5B35" w:rsidP="0038058A">
            <w:pPr>
              <w:jc w:val="left"/>
              <w:rPr>
                <w:rFonts w:cs="Arial"/>
                <w:sz w:val="20"/>
                <w:szCs w:val="20"/>
              </w:rPr>
            </w:pPr>
            <w:r w:rsidRPr="00602F49">
              <w:rPr>
                <w:rFonts w:cs="Arial"/>
                <w:sz w:val="20"/>
                <w:szCs w:val="20"/>
              </w:rPr>
              <w:t>National Construction Code, comprising the Building Code of Australia (BCA), Volume One and Two and the Plumbing Code of Australia (PCA) as Volume Three</w:t>
            </w:r>
          </w:p>
        </w:tc>
      </w:tr>
      <w:tr w:rsidR="007E65AC" w:rsidTr="00602F49">
        <w:tc>
          <w:tcPr>
            <w:tcW w:w="784" w:type="pct"/>
            <w:shd w:val="clear" w:color="auto" w:fill="FFFFFF" w:themeFill="background1"/>
          </w:tcPr>
          <w:p w:rsidR="007E65AC" w:rsidRPr="00602F49" w:rsidRDefault="007E65AC" w:rsidP="0038058A">
            <w:pPr>
              <w:jc w:val="left"/>
              <w:rPr>
                <w:rFonts w:cs="Arial"/>
                <w:sz w:val="20"/>
                <w:szCs w:val="20"/>
              </w:rPr>
            </w:pPr>
            <w:r w:rsidRPr="00602F49">
              <w:rPr>
                <w:rFonts w:cs="Arial"/>
                <w:sz w:val="20"/>
                <w:szCs w:val="20"/>
              </w:rPr>
              <w:t>NPV</w:t>
            </w:r>
          </w:p>
        </w:tc>
        <w:tc>
          <w:tcPr>
            <w:tcW w:w="4216" w:type="pct"/>
            <w:shd w:val="clear" w:color="auto" w:fill="auto"/>
          </w:tcPr>
          <w:p w:rsidR="007E65AC" w:rsidRPr="00602F49" w:rsidRDefault="007E65AC" w:rsidP="0038058A">
            <w:pPr>
              <w:jc w:val="left"/>
              <w:rPr>
                <w:rFonts w:cs="Arial"/>
                <w:sz w:val="20"/>
                <w:szCs w:val="20"/>
              </w:rPr>
            </w:pPr>
            <w:r w:rsidRPr="00602F49">
              <w:rPr>
                <w:rFonts w:cs="Arial"/>
                <w:sz w:val="20"/>
                <w:szCs w:val="20"/>
              </w:rPr>
              <w:t>Net Present Value</w:t>
            </w:r>
          </w:p>
        </w:tc>
      </w:tr>
      <w:tr w:rsidR="00AA5B35" w:rsidTr="00602F49">
        <w:tc>
          <w:tcPr>
            <w:tcW w:w="784" w:type="pct"/>
            <w:shd w:val="clear" w:color="auto" w:fill="FFFFFF" w:themeFill="background1"/>
            <w:hideMark/>
          </w:tcPr>
          <w:p w:rsidR="00AA5B35" w:rsidRPr="00602F49" w:rsidRDefault="00AA5B35" w:rsidP="0038058A">
            <w:pPr>
              <w:jc w:val="left"/>
              <w:rPr>
                <w:rFonts w:cs="Arial"/>
                <w:sz w:val="20"/>
                <w:szCs w:val="20"/>
              </w:rPr>
            </w:pPr>
            <w:r w:rsidRPr="00602F49">
              <w:rPr>
                <w:rFonts w:cs="Arial"/>
                <w:sz w:val="20"/>
                <w:szCs w:val="20"/>
              </w:rPr>
              <w:t>RIS</w:t>
            </w:r>
          </w:p>
        </w:tc>
        <w:tc>
          <w:tcPr>
            <w:tcW w:w="4216" w:type="pct"/>
            <w:shd w:val="clear" w:color="auto" w:fill="auto"/>
            <w:hideMark/>
          </w:tcPr>
          <w:p w:rsidR="00AA5B35" w:rsidRPr="00602F49" w:rsidRDefault="00AA5B35" w:rsidP="0038058A">
            <w:pPr>
              <w:jc w:val="left"/>
              <w:rPr>
                <w:rFonts w:cs="Arial"/>
                <w:sz w:val="20"/>
                <w:szCs w:val="20"/>
              </w:rPr>
            </w:pPr>
            <w:r w:rsidRPr="00602F49">
              <w:rPr>
                <w:rFonts w:cs="Arial"/>
                <w:sz w:val="20"/>
                <w:szCs w:val="20"/>
              </w:rPr>
              <w:t>Regulation Impact Statement</w:t>
            </w:r>
          </w:p>
        </w:tc>
      </w:tr>
      <w:tr w:rsidR="005475B0" w:rsidTr="00602F49">
        <w:tc>
          <w:tcPr>
            <w:tcW w:w="784" w:type="pct"/>
            <w:shd w:val="clear" w:color="auto" w:fill="FFFFFF" w:themeFill="background1"/>
          </w:tcPr>
          <w:p w:rsidR="005475B0" w:rsidRPr="00602F49" w:rsidRDefault="005475B0" w:rsidP="0038058A">
            <w:pPr>
              <w:jc w:val="left"/>
              <w:rPr>
                <w:rFonts w:cs="Arial"/>
                <w:sz w:val="20"/>
                <w:szCs w:val="20"/>
              </w:rPr>
            </w:pPr>
            <w:r w:rsidRPr="00602F49">
              <w:rPr>
                <w:rFonts w:cs="Arial"/>
                <w:sz w:val="20"/>
                <w:szCs w:val="20"/>
              </w:rPr>
              <w:t>SASF</w:t>
            </w:r>
          </w:p>
        </w:tc>
        <w:tc>
          <w:tcPr>
            <w:tcW w:w="4216" w:type="pct"/>
            <w:shd w:val="clear" w:color="auto" w:fill="auto"/>
          </w:tcPr>
          <w:p w:rsidR="005475B0" w:rsidRPr="00602F49" w:rsidRDefault="005475B0" w:rsidP="0038058A">
            <w:pPr>
              <w:jc w:val="left"/>
              <w:rPr>
                <w:rFonts w:cs="Arial"/>
                <w:sz w:val="20"/>
                <w:szCs w:val="20"/>
              </w:rPr>
            </w:pPr>
            <w:r w:rsidRPr="00602F49">
              <w:rPr>
                <w:sz w:val="20"/>
                <w:szCs w:val="20"/>
              </w:rPr>
              <w:t>S</w:t>
            </w:r>
            <w:r w:rsidR="006F4370" w:rsidRPr="00602F49">
              <w:rPr>
                <w:sz w:val="20"/>
                <w:szCs w:val="20"/>
              </w:rPr>
              <w:t xml:space="preserve">tandard </w:t>
            </w:r>
            <w:r w:rsidR="008564F8">
              <w:rPr>
                <w:sz w:val="20"/>
                <w:szCs w:val="20"/>
              </w:rPr>
              <w:t>a</w:t>
            </w:r>
            <w:r w:rsidR="006F4370" w:rsidRPr="00602F49">
              <w:rPr>
                <w:sz w:val="20"/>
                <w:szCs w:val="20"/>
              </w:rPr>
              <w:t xml:space="preserve">ccessible </w:t>
            </w:r>
            <w:r w:rsidR="008564F8">
              <w:rPr>
                <w:sz w:val="20"/>
                <w:szCs w:val="20"/>
              </w:rPr>
              <w:t>s</w:t>
            </w:r>
            <w:r w:rsidR="006F4370" w:rsidRPr="00602F49">
              <w:rPr>
                <w:sz w:val="20"/>
                <w:szCs w:val="20"/>
              </w:rPr>
              <w:t xml:space="preserve">anitary </w:t>
            </w:r>
            <w:r w:rsidR="008564F8">
              <w:rPr>
                <w:sz w:val="20"/>
                <w:szCs w:val="20"/>
              </w:rPr>
              <w:t>f</w:t>
            </w:r>
            <w:r w:rsidRPr="00602F49">
              <w:rPr>
                <w:sz w:val="20"/>
                <w:szCs w:val="20"/>
              </w:rPr>
              <w:t>acility</w:t>
            </w:r>
          </w:p>
        </w:tc>
      </w:tr>
      <w:tr w:rsidR="00680D8F" w:rsidTr="00602F49">
        <w:tc>
          <w:tcPr>
            <w:tcW w:w="784" w:type="pct"/>
            <w:shd w:val="clear" w:color="auto" w:fill="FFFFFF" w:themeFill="background1"/>
          </w:tcPr>
          <w:p w:rsidR="00680D8F" w:rsidRPr="00602F49" w:rsidRDefault="00680D8F" w:rsidP="0038058A">
            <w:pPr>
              <w:jc w:val="left"/>
              <w:rPr>
                <w:rFonts w:cs="Arial"/>
                <w:sz w:val="20"/>
                <w:szCs w:val="20"/>
              </w:rPr>
            </w:pPr>
            <w:r w:rsidRPr="00602F49">
              <w:rPr>
                <w:rFonts w:cs="Arial"/>
                <w:sz w:val="20"/>
                <w:szCs w:val="20"/>
              </w:rPr>
              <w:t>SDAC</w:t>
            </w:r>
          </w:p>
        </w:tc>
        <w:tc>
          <w:tcPr>
            <w:tcW w:w="4216" w:type="pct"/>
            <w:shd w:val="clear" w:color="auto" w:fill="auto"/>
          </w:tcPr>
          <w:p w:rsidR="00680D8F" w:rsidRPr="00602F49" w:rsidRDefault="00680D8F" w:rsidP="0038058A">
            <w:pPr>
              <w:jc w:val="left"/>
              <w:rPr>
                <w:rFonts w:cs="Arial"/>
                <w:sz w:val="20"/>
                <w:szCs w:val="20"/>
              </w:rPr>
            </w:pPr>
            <w:r w:rsidRPr="00602F49">
              <w:rPr>
                <w:rFonts w:cs="Arial"/>
                <w:sz w:val="20"/>
                <w:szCs w:val="20"/>
              </w:rPr>
              <w:t>Survey of Disability, Ageing and Carers</w:t>
            </w:r>
          </w:p>
        </w:tc>
      </w:tr>
      <w:tr w:rsidR="001B3645" w:rsidTr="00602F49">
        <w:tc>
          <w:tcPr>
            <w:tcW w:w="784" w:type="pct"/>
            <w:shd w:val="clear" w:color="auto" w:fill="FFFFFF" w:themeFill="background1"/>
          </w:tcPr>
          <w:p w:rsidR="001B3645" w:rsidRPr="00602F49" w:rsidRDefault="001B3645" w:rsidP="0038058A">
            <w:pPr>
              <w:jc w:val="left"/>
              <w:rPr>
                <w:rFonts w:cs="Arial"/>
                <w:sz w:val="20"/>
                <w:szCs w:val="20"/>
              </w:rPr>
            </w:pPr>
            <w:r>
              <w:rPr>
                <w:rFonts w:cs="Arial"/>
                <w:sz w:val="20"/>
                <w:szCs w:val="20"/>
              </w:rPr>
              <w:t>TfNSW</w:t>
            </w:r>
          </w:p>
        </w:tc>
        <w:tc>
          <w:tcPr>
            <w:tcW w:w="4216" w:type="pct"/>
            <w:shd w:val="clear" w:color="auto" w:fill="auto"/>
          </w:tcPr>
          <w:p w:rsidR="001B3645" w:rsidRPr="00602F49" w:rsidRDefault="001B3645" w:rsidP="0038058A">
            <w:pPr>
              <w:jc w:val="left"/>
              <w:rPr>
                <w:rFonts w:cs="Arial"/>
                <w:sz w:val="20"/>
                <w:szCs w:val="20"/>
              </w:rPr>
            </w:pPr>
            <w:r>
              <w:rPr>
                <w:rFonts w:cs="Arial"/>
                <w:sz w:val="20"/>
                <w:szCs w:val="20"/>
              </w:rPr>
              <w:t>Transport for New South Wales</w:t>
            </w:r>
          </w:p>
        </w:tc>
      </w:tr>
      <w:tr w:rsidR="001F3C57" w:rsidTr="00602F49">
        <w:tc>
          <w:tcPr>
            <w:tcW w:w="784" w:type="pct"/>
            <w:shd w:val="clear" w:color="auto" w:fill="FFFFFF" w:themeFill="background1"/>
          </w:tcPr>
          <w:p w:rsidR="001F3C57" w:rsidRPr="00602F49" w:rsidRDefault="001F3C57" w:rsidP="0038058A">
            <w:pPr>
              <w:jc w:val="left"/>
              <w:rPr>
                <w:rFonts w:cs="Arial"/>
                <w:sz w:val="20"/>
                <w:szCs w:val="20"/>
              </w:rPr>
            </w:pPr>
            <w:r w:rsidRPr="00602F49">
              <w:rPr>
                <w:rFonts w:cs="Arial"/>
                <w:sz w:val="20"/>
                <w:szCs w:val="20"/>
              </w:rPr>
              <w:t>UN</w:t>
            </w:r>
          </w:p>
        </w:tc>
        <w:tc>
          <w:tcPr>
            <w:tcW w:w="4216" w:type="pct"/>
            <w:shd w:val="clear" w:color="auto" w:fill="auto"/>
          </w:tcPr>
          <w:p w:rsidR="001F3C57" w:rsidRPr="00602F49" w:rsidRDefault="001F3C57" w:rsidP="0038058A">
            <w:pPr>
              <w:jc w:val="left"/>
              <w:rPr>
                <w:rFonts w:cs="Arial"/>
                <w:sz w:val="20"/>
                <w:szCs w:val="20"/>
              </w:rPr>
            </w:pPr>
            <w:r w:rsidRPr="00602F49">
              <w:rPr>
                <w:rFonts w:cs="Arial"/>
                <w:sz w:val="20"/>
                <w:szCs w:val="20"/>
              </w:rPr>
              <w:t>United Nations</w:t>
            </w:r>
          </w:p>
        </w:tc>
      </w:tr>
      <w:tr w:rsidR="001F3C57" w:rsidTr="00602F49">
        <w:tc>
          <w:tcPr>
            <w:tcW w:w="784" w:type="pct"/>
            <w:shd w:val="clear" w:color="auto" w:fill="FFFFFF" w:themeFill="background1"/>
          </w:tcPr>
          <w:p w:rsidR="001F3C57" w:rsidRPr="00602F49" w:rsidRDefault="001F3C57" w:rsidP="0038058A">
            <w:pPr>
              <w:jc w:val="left"/>
              <w:rPr>
                <w:rFonts w:cs="Arial"/>
                <w:sz w:val="20"/>
                <w:szCs w:val="20"/>
              </w:rPr>
            </w:pPr>
            <w:r w:rsidRPr="00602F49">
              <w:rPr>
                <w:rFonts w:cs="Arial"/>
                <w:sz w:val="20"/>
                <w:szCs w:val="20"/>
              </w:rPr>
              <w:t>WTP</w:t>
            </w:r>
          </w:p>
        </w:tc>
        <w:tc>
          <w:tcPr>
            <w:tcW w:w="4216" w:type="pct"/>
            <w:shd w:val="clear" w:color="auto" w:fill="auto"/>
          </w:tcPr>
          <w:p w:rsidR="001F3C57" w:rsidRPr="00602F49" w:rsidRDefault="001F3C57" w:rsidP="0038058A">
            <w:pPr>
              <w:jc w:val="left"/>
              <w:rPr>
                <w:rFonts w:cs="Arial"/>
                <w:sz w:val="20"/>
                <w:szCs w:val="20"/>
              </w:rPr>
            </w:pPr>
            <w:r w:rsidRPr="00602F49">
              <w:rPr>
                <w:sz w:val="20"/>
                <w:szCs w:val="20"/>
              </w:rPr>
              <w:t>Willingness to Pay</w:t>
            </w:r>
          </w:p>
        </w:tc>
      </w:tr>
    </w:tbl>
    <w:p w:rsidR="0013082F" w:rsidRDefault="0013082F">
      <w:pPr>
        <w:pStyle w:val="TableofFigures"/>
        <w:tabs>
          <w:tab w:val="right" w:leader="dot" w:pos="9016"/>
        </w:tabs>
        <w:rPr>
          <w:rFonts w:cs="Arial"/>
          <w:szCs w:val="24"/>
        </w:rPr>
      </w:pPr>
    </w:p>
    <w:p w:rsidR="00C87B36" w:rsidRPr="005E7E6E" w:rsidRDefault="00C87B36" w:rsidP="00C87B36">
      <w:pPr>
        <w:pStyle w:val="EYAppendixHeading2"/>
      </w:pPr>
      <w:r>
        <w:t>Definitions</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57" w:type="dxa"/>
          <w:right w:w="57" w:type="dxa"/>
        </w:tblCellMar>
        <w:tblLook w:val="04A0" w:firstRow="1" w:lastRow="0" w:firstColumn="1" w:lastColumn="0" w:noHBand="0" w:noVBand="1"/>
      </w:tblPr>
      <w:tblGrid>
        <w:gridCol w:w="1510"/>
        <w:gridCol w:w="8117"/>
      </w:tblGrid>
      <w:tr w:rsidR="00C87B36" w:rsidRPr="00602F49" w:rsidTr="00C87B36">
        <w:trPr>
          <w:tblHeader/>
        </w:trPr>
        <w:tc>
          <w:tcPr>
            <w:tcW w:w="7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hideMark/>
          </w:tcPr>
          <w:p w:rsidR="00C87B36" w:rsidRPr="00602F49" w:rsidRDefault="00C87B36" w:rsidP="00C87B36">
            <w:pPr>
              <w:pStyle w:val="EYTableHeadingWhite"/>
              <w:rPr>
                <w:sz w:val="20"/>
                <w:szCs w:val="20"/>
              </w:rPr>
            </w:pPr>
            <w:r>
              <w:rPr>
                <w:sz w:val="20"/>
                <w:szCs w:val="20"/>
              </w:rPr>
              <w:t>Definition</w:t>
            </w:r>
          </w:p>
        </w:tc>
        <w:tc>
          <w:tcPr>
            <w:tcW w:w="42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hideMark/>
          </w:tcPr>
          <w:p w:rsidR="00C87B36" w:rsidRPr="00602F49" w:rsidRDefault="00C87B36" w:rsidP="00C87B36">
            <w:pPr>
              <w:pStyle w:val="EYTableHeadingWhite"/>
              <w:rPr>
                <w:sz w:val="20"/>
                <w:szCs w:val="20"/>
              </w:rPr>
            </w:pPr>
            <w:r>
              <w:rPr>
                <w:sz w:val="20"/>
                <w:szCs w:val="20"/>
              </w:rPr>
              <w:t>Meaning</w:t>
            </w:r>
          </w:p>
        </w:tc>
      </w:tr>
      <w:tr w:rsidR="00C87B36" w:rsidRPr="00602F49" w:rsidTr="00C87B36">
        <w:tc>
          <w:tcPr>
            <w:tcW w:w="784" w:type="pct"/>
            <w:tcBorders>
              <w:top w:val="single" w:sz="4" w:space="0" w:color="FFFFFF" w:themeColor="background1"/>
            </w:tcBorders>
            <w:shd w:val="clear" w:color="auto" w:fill="FFFFFF" w:themeFill="background1"/>
            <w:hideMark/>
          </w:tcPr>
          <w:p w:rsidR="00C87B36" w:rsidRPr="00602F49" w:rsidRDefault="00C87B36" w:rsidP="00C87B36">
            <w:pPr>
              <w:jc w:val="left"/>
              <w:rPr>
                <w:rFonts w:cs="Arial"/>
                <w:sz w:val="20"/>
                <w:szCs w:val="20"/>
              </w:rPr>
            </w:pPr>
            <w:r>
              <w:rPr>
                <w:rFonts w:cs="Arial"/>
                <w:sz w:val="20"/>
                <w:szCs w:val="20"/>
              </w:rPr>
              <w:t>Use value</w:t>
            </w:r>
          </w:p>
        </w:tc>
        <w:tc>
          <w:tcPr>
            <w:tcW w:w="4216" w:type="pct"/>
            <w:tcBorders>
              <w:top w:val="single" w:sz="4" w:space="0" w:color="FFFFFF" w:themeColor="background1"/>
            </w:tcBorders>
            <w:shd w:val="clear" w:color="auto" w:fill="auto"/>
            <w:hideMark/>
          </w:tcPr>
          <w:p w:rsidR="00C87B36" w:rsidRPr="00602F49" w:rsidRDefault="00C87B36" w:rsidP="00C87B36">
            <w:pPr>
              <w:jc w:val="left"/>
              <w:rPr>
                <w:rFonts w:cs="Arial"/>
                <w:sz w:val="20"/>
                <w:szCs w:val="20"/>
              </w:rPr>
            </w:pPr>
            <w:r>
              <w:rPr>
                <w:rFonts w:cs="Arial"/>
                <w:sz w:val="20"/>
                <w:szCs w:val="20"/>
              </w:rPr>
              <w:t xml:space="preserve">Intrinsic value of visiting a building. </w:t>
            </w:r>
          </w:p>
        </w:tc>
      </w:tr>
      <w:tr w:rsidR="00C87B36" w:rsidRPr="00602F49" w:rsidTr="00C87B36">
        <w:tc>
          <w:tcPr>
            <w:tcW w:w="784" w:type="pct"/>
            <w:shd w:val="clear" w:color="auto" w:fill="FFFFFF" w:themeFill="background1"/>
            <w:hideMark/>
          </w:tcPr>
          <w:p w:rsidR="00C87B36" w:rsidRPr="00602F49" w:rsidRDefault="00C87B36" w:rsidP="00C87B36">
            <w:pPr>
              <w:jc w:val="left"/>
              <w:rPr>
                <w:rFonts w:cs="Arial"/>
                <w:sz w:val="20"/>
                <w:szCs w:val="20"/>
              </w:rPr>
            </w:pPr>
            <w:r>
              <w:rPr>
                <w:rFonts w:cs="Arial"/>
                <w:sz w:val="20"/>
                <w:szCs w:val="20"/>
              </w:rPr>
              <w:t>Utility value</w:t>
            </w:r>
          </w:p>
        </w:tc>
        <w:tc>
          <w:tcPr>
            <w:tcW w:w="4216" w:type="pct"/>
            <w:shd w:val="clear" w:color="auto" w:fill="auto"/>
            <w:hideMark/>
          </w:tcPr>
          <w:p w:rsidR="00C87B36" w:rsidRPr="00602F49" w:rsidRDefault="00C87B36" w:rsidP="00C87B36">
            <w:pPr>
              <w:jc w:val="left"/>
              <w:rPr>
                <w:rFonts w:cs="Arial"/>
                <w:sz w:val="20"/>
                <w:szCs w:val="20"/>
              </w:rPr>
            </w:pPr>
            <w:r>
              <w:rPr>
                <w:rFonts w:cs="Arial"/>
                <w:sz w:val="20"/>
                <w:szCs w:val="20"/>
              </w:rPr>
              <w:t xml:space="preserve">The amount of utility required to break-even with the costs. </w:t>
            </w:r>
          </w:p>
        </w:tc>
      </w:tr>
    </w:tbl>
    <w:p w:rsidR="00C87B36" w:rsidRDefault="00C87B36" w:rsidP="00E6187D"/>
    <w:p w:rsidR="00E6187D" w:rsidRPr="00E6187D" w:rsidRDefault="00E6187D" w:rsidP="00E6187D">
      <w:pPr>
        <w:sectPr w:rsidR="00E6187D" w:rsidRPr="00E6187D" w:rsidSect="0013082F">
          <w:headerReference w:type="default" r:id="rId9"/>
          <w:footerReference w:type="default" r:id="rId10"/>
          <w:pgSz w:w="11906" w:h="16838" w:code="9"/>
          <w:pgMar w:top="2268" w:right="851" w:bottom="851" w:left="1418" w:header="709" w:footer="567" w:gutter="0"/>
          <w:pgNumType w:fmt="lowerRoman" w:start="1"/>
          <w:cols w:space="708"/>
          <w:docGrid w:linePitch="360"/>
        </w:sectPr>
      </w:pPr>
    </w:p>
    <w:p w:rsidR="0000189F" w:rsidRPr="005A0B1C" w:rsidRDefault="0000189F" w:rsidP="00921F89">
      <w:pPr>
        <w:pStyle w:val="Heading1"/>
        <w:numPr>
          <w:ilvl w:val="0"/>
          <w:numId w:val="0"/>
        </w:numPr>
      </w:pPr>
      <w:bookmarkStart w:id="8" w:name="_Ref501526906"/>
      <w:bookmarkStart w:id="9" w:name="_Toc504063153"/>
      <w:bookmarkStart w:id="10" w:name="_Toc504388844"/>
      <w:bookmarkStart w:id="11" w:name="_Toc504401695"/>
      <w:bookmarkStart w:id="12" w:name="_Toc525897775"/>
      <w:bookmarkStart w:id="13" w:name="_Toc504649901"/>
      <w:r w:rsidRPr="005A0B1C">
        <w:lastRenderedPageBreak/>
        <w:t xml:space="preserve">Executive </w:t>
      </w:r>
      <w:r w:rsidR="005A0B1C" w:rsidRPr="005A0B1C">
        <w:t>s</w:t>
      </w:r>
      <w:r w:rsidRPr="005A0B1C">
        <w:t>ummary</w:t>
      </w:r>
      <w:bookmarkEnd w:id="8"/>
      <w:bookmarkEnd w:id="9"/>
      <w:bookmarkEnd w:id="10"/>
      <w:bookmarkEnd w:id="11"/>
      <w:bookmarkEnd w:id="12"/>
      <w:r w:rsidRPr="005A0B1C">
        <w:t xml:space="preserve"> </w:t>
      </w:r>
      <w:bookmarkEnd w:id="13"/>
    </w:p>
    <w:p w:rsidR="003B07AF" w:rsidRPr="002C13F4" w:rsidRDefault="003B07AF" w:rsidP="005A0B1C">
      <w:pPr>
        <w:pStyle w:val="EYAppendixHeading2"/>
      </w:pPr>
      <w:r w:rsidRPr="002C13F4">
        <w:t>Introduction</w:t>
      </w:r>
    </w:p>
    <w:p w:rsidR="002A7CE4" w:rsidRDefault="003B07AF" w:rsidP="003057EC">
      <w:pPr>
        <w:pStyle w:val="EYBodytextwithparaspace"/>
      </w:pPr>
      <w:r>
        <w:t>In 2015-16, the Department of Industry, Innovation and Science (the Department)</w:t>
      </w:r>
      <w:r w:rsidR="007C7802">
        <w:t>,</w:t>
      </w:r>
      <w:r>
        <w:t xml:space="preserve"> in </w:t>
      </w:r>
      <w:r w:rsidR="0077521C">
        <w:t xml:space="preserve">consultation </w:t>
      </w:r>
      <w:r>
        <w:t>with the Attorney-General’s Department</w:t>
      </w:r>
      <w:r w:rsidR="007C7802">
        <w:t>,</w:t>
      </w:r>
      <w:r>
        <w:t xml:space="preserve"> undertook a </w:t>
      </w:r>
      <w:r w:rsidR="007E6B21">
        <w:t xml:space="preserve">five </w:t>
      </w:r>
      <w:r>
        <w:t xml:space="preserve">year review of the </w:t>
      </w:r>
      <w:r w:rsidRPr="00E6187D">
        <w:rPr>
          <w:i/>
        </w:rPr>
        <w:t>Disability (Access to Premises – Buildings) S</w:t>
      </w:r>
      <w:r w:rsidR="00C17234" w:rsidRPr="00E6187D">
        <w:rPr>
          <w:i/>
        </w:rPr>
        <w:t>tandards 2010</w:t>
      </w:r>
      <w:r w:rsidR="00C17234">
        <w:t xml:space="preserve"> (the </w:t>
      </w:r>
      <w:r w:rsidR="00B34FA9">
        <w:t xml:space="preserve">Premises </w:t>
      </w:r>
      <w:r w:rsidR="00C17234">
        <w:t>Standards).</w:t>
      </w:r>
      <w:r w:rsidR="00E01B5E" w:rsidRPr="00C133AC">
        <w:rPr>
          <w:rStyle w:val="FootnoteReference"/>
          <w:sz w:val="24"/>
          <w:szCs w:val="24"/>
        </w:rPr>
        <w:footnoteReference w:id="2"/>
      </w:r>
      <w:r w:rsidR="00C17234" w:rsidRPr="00301AD9">
        <w:t xml:space="preserve"> </w:t>
      </w:r>
    </w:p>
    <w:p w:rsidR="001F0962" w:rsidRDefault="001F0962" w:rsidP="003057EC">
      <w:pPr>
        <w:pStyle w:val="EYBodytextwithparaspace"/>
      </w:pPr>
      <w:r w:rsidRPr="000B2C47">
        <w:t xml:space="preserve">The Premises Standards are made under </w:t>
      </w:r>
      <w:r w:rsidR="007C69BF">
        <w:t>S</w:t>
      </w:r>
      <w:r w:rsidR="007C69BF" w:rsidRPr="000B2C47">
        <w:t xml:space="preserve">ection </w:t>
      </w:r>
      <w:r w:rsidRPr="000B2C47">
        <w:t xml:space="preserve">31(1) of the </w:t>
      </w:r>
      <w:r w:rsidRPr="00E6187D">
        <w:rPr>
          <w:i/>
        </w:rPr>
        <w:t>Disability Discrimination Act 1992</w:t>
      </w:r>
      <w:r>
        <w:t xml:space="preserve"> (C</w:t>
      </w:r>
      <w:r w:rsidR="00774F1C">
        <w:t>’</w:t>
      </w:r>
      <w:r>
        <w:t>th</w:t>
      </w:r>
      <w:r w:rsidRPr="000B2C47">
        <w:t>). The requirements of Schedule 1 of the Premises Standards are reflected in the N</w:t>
      </w:r>
      <w:r w:rsidR="006B28B8">
        <w:t xml:space="preserve">ational </w:t>
      </w:r>
      <w:r w:rsidRPr="000B2C47">
        <w:t>C</w:t>
      </w:r>
      <w:r w:rsidR="006B28B8">
        <w:t>onstruction Code (NCC)</w:t>
      </w:r>
      <w:r w:rsidRPr="000B2C47">
        <w:t xml:space="preserve">. The NCC is given legal effect by relevant building, plumbing and related legislation </w:t>
      </w:r>
      <w:r w:rsidR="007813EA">
        <w:t>of</w:t>
      </w:r>
      <w:r w:rsidR="007813EA" w:rsidRPr="000B2C47">
        <w:t xml:space="preserve"> </w:t>
      </w:r>
      <w:r w:rsidRPr="000B2C47">
        <w:t>each State and Territory.</w:t>
      </w:r>
    </w:p>
    <w:p w:rsidR="002373AD" w:rsidRDefault="001F0962" w:rsidP="00681E1A">
      <w:pPr>
        <w:pStyle w:val="EYBodytextwithparaspace"/>
        <w:spacing w:after="200"/>
        <w:rPr>
          <w:vertAlign w:val="superscript"/>
        </w:rPr>
      </w:pPr>
      <w:r w:rsidRPr="000B2C47">
        <w:t>Recommendation</w:t>
      </w:r>
      <w:r w:rsidR="006B28B8">
        <w:t>s</w:t>
      </w:r>
      <w:r w:rsidRPr="000B2C47">
        <w:t xml:space="preserve"> 6b </w:t>
      </w:r>
      <w:r>
        <w:t xml:space="preserve">and 6f </w:t>
      </w:r>
      <w:r w:rsidRPr="000B2C47">
        <w:t xml:space="preserve">of the </w:t>
      </w:r>
      <w:r w:rsidR="00E01B5E">
        <w:t>Premises Standards</w:t>
      </w:r>
      <w:r w:rsidR="006B28B8">
        <w:t xml:space="preserve"> Review</w:t>
      </w:r>
      <w:r w:rsidR="00E01B5E" w:rsidRPr="000B2C47">
        <w:t xml:space="preserve"> </w:t>
      </w:r>
      <w:r w:rsidRPr="000B2C47">
        <w:t xml:space="preserve">relate to the provision of </w:t>
      </w:r>
      <w:r w:rsidR="008564F8">
        <w:t>a</w:t>
      </w:r>
      <w:r w:rsidRPr="000B2C47">
        <w:t xml:space="preserve">ccessible </w:t>
      </w:r>
      <w:r w:rsidR="008564F8">
        <w:t>a</w:t>
      </w:r>
      <w:r w:rsidRPr="000B2C47">
        <w:t xml:space="preserve">dult </w:t>
      </w:r>
      <w:r w:rsidR="008564F8">
        <w:t>c</w:t>
      </w:r>
      <w:r w:rsidRPr="000B2C47">
        <w:t xml:space="preserve">hange </w:t>
      </w:r>
      <w:r w:rsidR="008564F8">
        <w:t>f</w:t>
      </w:r>
      <w:r w:rsidRPr="000B2C47">
        <w:t>acilities</w:t>
      </w:r>
      <w:r w:rsidR="001A01F0">
        <w:t xml:space="preserve"> (AACF</w:t>
      </w:r>
      <w:r w:rsidR="009E7F01">
        <w:t>s</w:t>
      </w:r>
      <w:r w:rsidR="001A01F0">
        <w:t>)</w:t>
      </w:r>
      <w:r w:rsidRPr="000B2C47">
        <w:t xml:space="preserve"> in public buildings. </w:t>
      </w:r>
      <w:r w:rsidR="00E01B5E">
        <w:t>Recommendation 6b</w:t>
      </w:r>
      <w:r w:rsidR="00E01B5E" w:rsidRPr="000B2C47">
        <w:t xml:space="preserve"> </w:t>
      </w:r>
      <w:r w:rsidRPr="000B2C47">
        <w:t>recommends that the Australian Government “investigate whether, and how, accessible adult chang</w:t>
      </w:r>
      <w:r w:rsidR="00E01B5E">
        <w:t>ing</w:t>
      </w:r>
      <w:r w:rsidRPr="000B2C47">
        <w:t xml:space="preserve"> facilities should be included in the Standards</w:t>
      </w:r>
      <w:r w:rsidR="00CE10DD">
        <w:t>.</w:t>
      </w:r>
      <w:r w:rsidRPr="000B2C47">
        <w:t>”</w:t>
      </w:r>
      <w:r w:rsidRPr="00677A08">
        <w:rPr>
          <w:vertAlign w:val="superscript"/>
        </w:rPr>
        <w:footnoteReference w:id="3"/>
      </w:r>
      <w:r w:rsidRPr="002C5A46">
        <w:rPr>
          <w:vertAlign w:val="superscript"/>
        </w:rPr>
        <w:t xml:space="preserve"> </w:t>
      </w:r>
    </w:p>
    <w:p w:rsidR="003B07AF" w:rsidRDefault="002A7CE4" w:rsidP="00681E1A">
      <w:pPr>
        <w:pStyle w:val="EYBodytextwithparaspace"/>
        <w:spacing w:after="200"/>
      </w:pPr>
      <w:r w:rsidRPr="00921F89">
        <w:t>This</w:t>
      </w:r>
      <w:r w:rsidR="003B07AF" w:rsidRPr="00921F89">
        <w:t xml:space="preserve"> </w:t>
      </w:r>
      <w:r w:rsidR="00076AD1" w:rsidRPr="00921F89">
        <w:t>Final</w:t>
      </w:r>
      <w:r w:rsidR="003B07AF" w:rsidRPr="00921F89">
        <w:t xml:space="preserve"> </w:t>
      </w:r>
      <w:r w:rsidR="007E6A42" w:rsidRPr="00921F89">
        <w:t xml:space="preserve">Regulation </w:t>
      </w:r>
      <w:r w:rsidR="003B07AF" w:rsidRPr="00921F89">
        <w:t>Impact Statement (</w:t>
      </w:r>
      <w:r w:rsidR="00076AD1" w:rsidRPr="00921F89">
        <w:t>Final</w:t>
      </w:r>
      <w:r w:rsidR="003B07AF" w:rsidRPr="00921F89">
        <w:t xml:space="preserve"> RIS)</w:t>
      </w:r>
      <w:r w:rsidR="00076AD1" w:rsidRPr="00921F89">
        <w:t>, follows the release of a Consultation Regulation Impact Statement</w:t>
      </w:r>
      <w:r w:rsidR="00EB015C" w:rsidRPr="00921F89">
        <w:t xml:space="preserve"> (Consultation RIS)</w:t>
      </w:r>
      <w:r w:rsidR="00076AD1" w:rsidRPr="00921F89">
        <w:t xml:space="preserve"> in March 2018 and a consultation period that received comments until the close of business on 13 April 2018.</w:t>
      </w:r>
      <w:r w:rsidR="00EB015C" w:rsidRPr="00921F89">
        <w:t xml:space="preserve"> The </w:t>
      </w:r>
      <w:r w:rsidR="00FE3D5D" w:rsidRPr="00921F89">
        <w:t xml:space="preserve">Final and Consultation </w:t>
      </w:r>
      <w:r w:rsidR="00EB015C" w:rsidRPr="00921F89">
        <w:t>RIS</w:t>
      </w:r>
      <w:r w:rsidR="00FE3D5D" w:rsidRPr="00921F89">
        <w:t>s</w:t>
      </w:r>
      <w:r w:rsidR="00076AD1" w:rsidRPr="00921F89">
        <w:t xml:space="preserve"> </w:t>
      </w:r>
      <w:r w:rsidR="00FE3D5D" w:rsidRPr="00921F89">
        <w:t>have</w:t>
      </w:r>
      <w:r w:rsidR="00076AD1" w:rsidRPr="00921F89">
        <w:t xml:space="preserve"> been undertaken </w:t>
      </w:r>
      <w:r w:rsidR="003B07AF" w:rsidRPr="00921F89">
        <w:t>on a proposal</w:t>
      </w:r>
      <w:r w:rsidR="00FE3D5D" w:rsidRPr="00921F89">
        <w:t xml:space="preserve"> (this proposal)</w:t>
      </w:r>
      <w:r w:rsidR="003B07AF">
        <w:t xml:space="preserve"> to amend th</w:t>
      </w:r>
      <w:r w:rsidR="001257F5">
        <w:t>ose</w:t>
      </w:r>
      <w:r w:rsidR="0077521C">
        <w:t xml:space="preserve"> Standards and the</w:t>
      </w:r>
      <w:r w:rsidR="003B07AF">
        <w:t xml:space="preserve"> </w:t>
      </w:r>
      <w:r w:rsidR="00CF45A5">
        <w:t>NCC</w:t>
      </w:r>
      <w:r w:rsidR="003B07AF">
        <w:t xml:space="preserve"> to require </w:t>
      </w:r>
      <w:r w:rsidR="00801837">
        <w:t>AACFs</w:t>
      </w:r>
      <w:r w:rsidR="003B07AF">
        <w:t xml:space="preserve"> to be provided in: </w:t>
      </w:r>
    </w:p>
    <w:p w:rsidR="003B07AF" w:rsidRDefault="003B07AF" w:rsidP="005A0B1C">
      <w:pPr>
        <w:pStyle w:val="EYBulletedText1"/>
      </w:pPr>
      <w:r>
        <w:rPr>
          <w:b/>
        </w:rPr>
        <w:t>Class 6 shopping centres:</w:t>
      </w:r>
      <w:r>
        <w:t xml:space="preserve"> Class 6 is the NCC building classification applicable to shopping centres</w:t>
      </w:r>
      <w:r w:rsidR="005F6B90">
        <w:t>.</w:t>
      </w:r>
    </w:p>
    <w:p w:rsidR="003B07AF" w:rsidRDefault="006B28B8" w:rsidP="005A0B1C">
      <w:pPr>
        <w:pStyle w:val="EYBulletedText1"/>
      </w:pPr>
      <w:r>
        <w:rPr>
          <w:b/>
        </w:rPr>
        <w:t>Class 9b</w:t>
      </w:r>
      <w:r w:rsidR="003B07AF">
        <w:rPr>
          <w:b/>
        </w:rPr>
        <w:t xml:space="preserve"> assembly buildings:</w:t>
      </w:r>
      <w:r w:rsidR="003B07AF">
        <w:t xml:space="preserve"> a building where people may assemble for civic, social, political or religious purposes; entertainment, recreation or sporting purposes (including indoor swimming pools); or transit purposes, for example a railway station or an airport.</w:t>
      </w:r>
    </w:p>
    <w:p w:rsidR="00E34197" w:rsidRDefault="003B07AF" w:rsidP="00192B75">
      <w:pPr>
        <w:pStyle w:val="EYBodytextwithparaspace"/>
      </w:pPr>
      <w:r w:rsidRPr="008C551D">
        <w:t>Th</w:t>
      </w:r>
      <w:r w:rsidR="007813EA">
        <w:t xml:space="preserve">is </w:t>
      </w:r>
      <w:r w:rsidR="00390C5A">
        <w:t xml:space="preserve">Final </w:t>
      </w:r>
      <w:r w:rsidR="00EC5423">
        <w:t>RIS</w:t>
      </w:r>
      <w:r w:rsidRPr="008C551D">
        <w:t xml:space="preserve"> </w:t>
      </w:r>
      <w:r w:rsidR="002466AC">
        <w:t>consider</w:t>
      </w:r>
      <w:r w:rsidR="007813EA">
        <w:t>s</w:t>
      </w:r>
      <w:r w:rsidR="002466AC">
        <w:t xml:space="preserve"> comments </w:t>
      </w:r>
      <w:r w:rsidR="00FD6D2B">
        <w:t>provided in response to the Consultation RIS</w:t>
      </w:r>
      <w:r w:rsidR="002466AC">
        <w:t xml:space="preserve"> and </w:t>
      </w:r>
      <w:r w:rsidR="007462AD">
        <w:t>updates</w:t>
      </w:r>
      <w:r w:rsidR="007462AD" w:rsidRPr="008C551D">
        <w:t xml:space="preserve"> </w:t>
      </w:r>
      <w:r w:rsidRPr="008C551D">
        <w:t>the economic and social impacts of a range of options that ad</w:t>
      </w:r>
      <w:r w:rsidR="006C1645">
        <w:t>dress the problem as described.</w:t>
      </w:r>
      <w:r w:rsidR="00E34197">
        <w:t xml:space="preserve"> The approach is consistent with the OBPR Best Practice Regulation (2007)</w:t>
      </w:r>
      <w:r w:rsidR="00FF5AA6">
        <w:t>,</w:t>
      </w:r>
      <w:r w:rsidR="00E34197" w:rsidRPr="00192B75">
        <w:rPr>
          <w:vertAlign w:val="superscript"/>
        </w:rPr>
        <w:footnoteReference w:id="4"/>
      </w:r>
      <w:r w:rsidR="00E34197">
        <w:t xml:space="preserve"> Australian Government Guide to Regulation (2014)</w:t>
      </w:r>
      <w:r w:rsidR="00E34197" w:rsidRPr="00192B75">
        <w:rPr>
          <w:vertAlign w:val="superscript"/>
        </w:rPr>
        <w:footnoteReference w:id="5"/>
      </w:r>
      <w:r w:rsidR="00E34197">
        <w:t xml:space="preserve"> and Cost Benefit Analysis Guidance Note (2016)</w:t>
      </w:r>
      <w:r w:rsidR="009B4E58">
        <w:t>.</w:t>
      </w:r>
      <w:r w:rsidR="00E34197" w:rsidRPr="00192B75">
        <w:rPr>
          <w:vertAlign w:val="superscript"/>
        </w:rPr>
        <w:footnoteReference w:id="6"/>
      </w:r>
    </w:p>
    <w:p w:rsidR="00E23423" w:rsidRDefault="003B07AF" w:rsidP="00D47F77">
      <w:pPr>
        <w:pStyle w:val="EYBodytextwithparaspace"/>
      </w:pPr>
      <w:r>
        <w:t>The scope of th</w:t>
      </w:r>
      <w:r w:rsidR="00CF6BC6">
        <w:t>e</w:t>
      </w:r>
      <w:r w:rsidR="00AB0998">
        <w:t xml:space="preserve"> analysis is threefold:</w:t>
      </w:r>
      <w:r>
        <w:t xml:space="preserve"> </w:t>
      </w:r>
    </w:p>
    <w:p w:rsidR="00E23423" w:rsidRDefault="003B07AF" w:rsidP="005A0B1C">
      <w:pPr>
        <w:pStyle w:val="EYBulletedText1"/>
      </w:pPr>
      <w:r>
        <w:lastRenderedPageBreak/>
        <w:t xml:space="preserve">First, we consider </w:t>
      </w:r>
      <w:r w:rsidR="002A0970">
        <w:t>six</w:t>
      </w:r>
      <w:r>
        <w:t xml:space="preserve"> hypothetical case studies</w:t>
      </w:r>
      <w:r w:rsidR="00801837">
        <w:t>,</w:t>
      </w:r>
      <w:r w:rsidR="006E4362">
        <w:t xml:space="preserve"> </w:t>
      </w:r>
      <w:r w:rsidR="00801837">
        <w:t>consisting of</w:t>
      </w:r>
      <w:r w:rsidR="006A7C8B">
        <w:t xml:space="preserve"> a major shopping centre, a smaller shopping c</w:t>
      </w:r>
      <w:r w:rsidR="00801837">
        <w:t>entre, a museum</w:t>
      </w:r>
      <w:r w:rsidR="00390C5A">
        <w:t xml:space="preserve">, </w:t>
      </w:r>
      <w:r w:rsidR="00801837">
        <w:t>a stadium</w:t>
      </w:r>
      <w:r w:rsidR="00372DAF">
        <w:t>, an</w:t>
      </w:r>
      <w:r w:rsidR="00485DB8">
        <w:t xml:space="preserve"> airport and</w:t>
      </w:r>
      <w:r w:rsidR="002A0970">
        <w:t xml:space="preserve"> </w:t>
      </w:r>
      <w:r w:rsidR="00EB015C">
        <w:t xml:space="preserve">a </w:t>
      </w:r>
      <w:r w:rsidR="002A0970">
        <w:t>public aquatic facilit</w:t>
      </w:r>
      <w:r w:rsidR="00EB015C">
        <w:t>y</w:t>
      </w:r>
      <w:r w:rsidR="00801837">
        <w:t xml:space="preserve">. </w:t>
      </w:r>
      <w:r w:rsidR="00801837" w:rsidRPr="00921F89">
        <w:t>We</w:t>
      </w:r>
      <w:r w:rsidR="006A7C8B" w:rsidRPr="00921F89">
        <w:t xml:space="preserve"> qualitatively consider</w:t>
      </w:r>
      <w:r w:rsidR="002A0970" w:rsidRPr="00921F89">
        <w:t xml:space="preserve"> major </w:t>
      </w:r>
      <w:r w:rsidR="009835AD" w:rsidRPr="00921F89">
        <w:t>public transport buildings, libraries</w:t>
      </w:r>
      <w:r w:rsidR="009A2AAD">
        <w:t xml:space="preserve"> and</w:t>
      </w:r>
      <w:r w:rsidR="009835AD" w:rsidRPr="00921F89">
        <w:t xml:space="preserve"> theatres</w:t>
      </w:r>
      <w:r w:rsidR="005A0B1C" w:rsidRPr="00921F89">
        <w:t>.</w:t>
      </w:r>
    </w:p>
    <w:p w:rsidR="00E23423" w:rsidRDefault="003B07AF" w:rsidP="005A0B1C">
      <w:pPr>
        <w:pStyle w:val="EYBulletedText1"/>
      </w:pPr>
      <w:r>
        <w:t xml:space="preserve">Second, we conduct an aggregate analysis estimating the </w:t>
      </w:r>
      <w:r w:rsidR="006305FB">
        <w:t>whole-of-</w:t>
      </w:r>
      <w:r>
        <w:t xml:space="preserve">economy </w:t>
      </w:r>
      <w:r w:rsidR="00E23423">
        <w:t xml:space="preserve">impacts of the </w:t>
      </w:r>
      <w:r w:rsidR="006A7C8B">
        <w:t>proposed</w:t>
      </w:r>
      <w:r w:rsidR="00E23423">
        <w:t xml:space="preserve"> policy</w:t>
      </w:r>
      <w:r>
        <w:t xml:space="preserve">. </w:t>
      </w:r>
    </w:p>
    <w:p w:rsidR="003B07AF" w:rsidRPr="008E67D9" w:rsidRDefault="00E23423" w:rsidP="005A0B1C">
      <w:pPr>
        <w:pStyle w:val="EYBulletedText1"/>
      </w:pPr>
      <w:r>
        <w:t>F</w:t>
      </w:r>
      <w:r w:rsidR="003B07AF">
        <w:t>inally, we qualitatively consider those benefits which are not able to be quantified.</w:t>
      </w:r>
    </w:p>
    <w:p w:rsidR="003B07AF" w:rsidRPr="002C13F4" w:rsidRDefault="003B07AF" w:rsidP="005A0B1C">
      <w:pPr>
        <w:pStyle w:val="EYAppendixHeading2"/>
      </w:pPr>
      <w:r w:rsidRPr="002C13F4">
        <w:t>What is the problem?</w:t>
      </w:r>
    </w:p>
    <w:p w:rsidR="00F92AE5" w:rsidRDefault="0031665F" w:rsidP="0031665F">
      <w:pPr>
        <w:pStyle w:val="EYBodytextwithparaspace"/>
      </w:pPr>
      <w:r>
        <w:t>AACF</w:t>
      </w:r>
      <w:r w:rsidR="00895DA1">
        <w:t>s</w:t>
      </w:r>
      <w:r>
        <w:t xml:space="preserve"> are currently not required by NCC 2016 or the Premises Standards. </w:t>
      </w:r>
    </w:p>
    <w:p w:rsidR="00F92AE5" w:rsidRDefault="0031665F" w:rsidP="0031665F">
      <w:pPr>
        <w:pStyle w:val="EYBodytextwithparaspace"/>
      </w:pPr>
      <w:r>
        <w:t xml:space="preserve">The recent Premises Standards review assessed the effectiveness of these standards and </w:t>
      </w:r>
      <w:r w:rsidR="00E13A97">
        <w:t>examined any barriers to the participation of people with a disability in accessing new and upgrade</w:t>
      </w:r>
      <w:r w:rsidR="002A7CE4">
        <w:t>d</w:t>
      </w:r>
      <w:r w:rsidR="00E13A97">
        <w:t xml:space="preserve"> public buildin</w:t>
      </w:r>
      <w:r w:rsidR="00F92AE5">
        <w:t>gs in Australia since May 2011</w:t>
      </w:r>
      <w:r w:rsidR="009B4E58">
        <w:t>.</w:t>
      </w:r>
      <w:r w:rsidR="00F92AE5" w:rsidRPr="00C133AC">
        <w:rPr>
          <w:rStyle w:val="FootnoteReference"/>
          <w:sz w:val="24"/>
          <w:szCs w:val="24"/>
        </w:rPr>
        <w:footnoteReference w:id="7"/>
      </w:r>
    </w:p>
    <w:p w:rsidR="00F92AE5" w:rsidRDefault="00F92AE5" w:rsidP="0031665F">
      <w:pPr>
        <w:pStyle w:val="EYBodytextwithparaspace"/>
      </w:pPr>
      <w:r>
        <w:t xml:space="preserve">Participation of people with a disability within their communities could include </w:t>
      </w:r>
      <w:r w:rsidR="00F17DBC">
        <w:t xml:space="preserve">social, cultural, </w:t>
      </w:r>
      <w:r>
        <w:t xml:space="preserve">or </w:t>
      </w:r>
      <w:r w:rsidR="00F17DBC">
        <w:t>economic participation</w:t>
      </w:r>
      <w:r w:rsidR="00652602">
        <w:t>.</w:t>
      </w:r>
    </w:p>
    <w:p w:rsidR="003B07AF" w:rsidRDefault="00F17DBC" w:rsidP="0031665F">
      <w:pPr>
        <w:pStyle w:val="EYBodytextwithparaspace"/>
      </w:pPr>
      <w:r>
        <w:t xml:space="preserve">The Premises </w:t>
      </w:r>
      <w:r w:rsidR="006B28B8">
        <w:t xml:space="preserve">Standards </w:t>
      </w:r>
      <w:r w:rsidR="008564F8">
        <w:t>r</w:t>
      </w:r>
      <w:r>
        <w:t xml:space="preserve">eview </w:t>
      </w:r>
      <w:r w:rsidR="00F92AE5">
        <w:t>acknowledged</w:t>
      </w:r>
      <w:r>
        <w:t xml:space="preserve"> that the biggest issue identified through the submission process was the absence of AACFs. In addition to 120 submissions forming part of the Changing Places campaign, 70 </w:t>
      </w:r>
      <w:r w:rsidR="0031665F">
        <w:t xml:space="preserve">further submissions called for AACFs to be </w:t>
      </w:r>
      <w:r w:rsidR="00652602">
        <w:t>part of the Premises Standards.</w:t>
      </w:r>
    </w:p>
    <w:p w:rsidR="006A7C8B" w:rsidRDefault="007462AD" w:rsidP="005A0B1C">
      <w:pPr>
        <w:pStyle w:val="EYBodytextwithparaspace"/>
      </w:pPr>
      <w:r>
        <w:t>T</w:t>
      </w:r>
      <w:r w:rsidR="003B07AF">
        <w:t xml:space="preserve">his </w:t>
      </w:r>
      <w:r w:rsidR="00FE3D5D">
        <w:t xml:space="preserve">Final </w:t>
      </w:r>
      <w:r w:rsidR="003B07AF">
        <w:t xml:space="preserve">RIS identifies </w:t>
      </w:r>
      <w:r w:rsidR="00404754">
        <w:t>that t</w:t>
      </w:r>
      <w:r w:rsidR="003B07AF" w:rsidRPr="002C13F4">
        <w:t xml:space="preserve">he </w:t>
      </w:r>
      <w:r>
        <w:t xml:space="preserve">current </w:t>
      </w:r>
      <w:r w:rsidR="006E4362">
        <w:t>provision</w:t>
      </w:r>
      <w:r w:rsidR="006E4362" w:rsidRPr="002C13F4">
        <w:t xml:space="preserve"> </w:t>
      </w:r>
      <w:r w:rsidR="003B07AF" w:rsidRPr="002C13F4">
        <w:t xml:space="preserve">of </w:t>
      </w:r>
      <w:r w:rsidR="002A7CE4">
        <w:t>AACFs</w:t>
      </w:r>
      <w:r w:rsidR="003B07AF" w:rsidRPr="002C13F4">
        <w:t xml:space="preserve"> is insufficient to account for </w:t>
      </w:r>
      <w:r w:rsidR="006B28B8">
        <w:t xml:space="preserve">the </w:t>
      </w:r>
      <w:r w:rsidR="003B07AF" w:rsidRPr="002C13F4">
        <w:t>need</w:t>
      </w:r>
      <w:r w:rsidR="006B28B8">
        <w:t>s of people with a complex disability.</w:t>
      </w:r>
      <w:r w:rsidR="005C06EE" w:rsidRPr="00C133AC">
        <w:rPr>
          <w:rStyle w:val="FootnoteReference"/>
          <w:sz w:val="24"/>
          <w:szCs w:val="24"/>
        </w:rPr>
        <w:footnoteReference w:id="8"/>
      </w:r>
      <w:r w:rsidR="006B28B8">
        <w:t xml:space="preserve"> This is</w:t>
      </w:r>
      <w:r w:rsidR="004B76F3">
        <w:t xml:space="preserve"> </w:t>
      </w:r>
      <w:r w:rsidR="003B07AF" w:rsidRPr="002C13F4">
        <w:t>inconsistent with nation</w:t>
      </w:r>
      <w:r w:rsidR="003B07AF">
        <w:t xml:space="preserve">al and </w:t>
      </w:r>
      <w:r w:rsidR="006B28B8">
        <w:t xml:space="preserve">international </w:t>
      </w:r>
      <w:r w:rsidR="003B07AF">
        <w:t>legal frameworks</w:t>
      </w:r>
      <w:r w:rsidR="00404754">
        <w:t xml:space="preserve">, </w:t>
      </w:r>
      <w:r w:rsidR="00B40FE2">
        <w:t>and prevents</w:t>
      </w:r>
      <w:r>
        <w:t xml:space="preserve"> </w:t>
      </w:r>
      <w:r w:rsidR="004B76F3">
        <w:t>social and economic</w:t>
      </w:r>
      <w:r w:rsidR="00B40FE2">
        <w:t xml:space="preserve"> participation of occupants with </w:t>
      </w:r>
      <w:r w:rsidR="005C06EE">
        <w:t>complex</w:t>
      </w:r>
      <w:r w:rsidR="00B40FE2">
        <w:t xml:space="preserve"> disability in our</w:t>
      </w:r>
      <w:r>
        <w:t xml:space="preserve"> community</w:t>
      </w:r>
      <w:r w:rsidR="004B76F3">
        <w:t>.</w:t>
      </w:r>
    </w:p>
    <w:p w:rsidR="003B07AF" w:rsidRPr="002C13F4" w:rsidRDefault="003B07AF" w:rsidP="005A0B1C">
      <w:pPr>
        <w:pStyle w:val="EYAppendixHeading2"/>
      </w:pPr>
      <w:r w:rsidRPr="002C13F4">
        <w:t>How can the problem be addressed?</w:t>
      </w:r>
    </w:p>
    <w:p w:rsidR="00B34FA9" w:rsidRDefault="00B34FA9" w:rsidP="00681E1A">
      <w:pPr>
        <w:pStyle w:val="EYBodytextwithparaspace"/>
        <w:spacing w:after="200"/>
      </w:pPr>
      <w:r>
        <w:t xml:space="preserve">This </w:t>
      </w:r>
      <w:r w:rsidR="00EB015C">
        <w:t xml:space="preserve">Final </w:t>
      </w:r>
      <w:r>
        <w:t>RIS considers t</w:t>
      </w:r>
      <w:r w:rsidR="004D4CEF">
        <w:t>hree</w:t>
      </w:r>
      <w:r w:rsidR="003B07AF">
        <w:t xml:space="preserve"> options for addressing the problem</w:t>
      </w:r>
      <w:r>
        <w:t>:</w:t>
      </w:r>
      <w:r w:rsidR="003B07AF">
        <w:t xml:space="preserve"> </w:t>
      </w:r>
    </w:p>
    <w:p w:rsidR="003B07AF" w:rsidRDefault="003B07AF" w:rsidP="008B76CB">
      <w:pPr>
        <w:pStyle w:val="EYBulletedText1"/>
      </w:pPr>
      <w:r w:rsidRPr="00DB1504">
        <w:rPr>
          <w:b/>
        </w:rPr>
        <w:t>The Status Quo:</w:t>
      </w:r>
      <w:r w:rsidRPr="008C3B1D">
        <w:t xml:space="preserve"> </w:t>
      </w:r>
      <w:r>
        <w:t>regarded as a baseline from which the incremental impacts of the proposals and alternative options will be assessed.</w:t>
      </w:r>
    </w:p>
    <w:p w:rsidR="003B07AF" w:rsidRPr="008C3B1D" w:rsidRDefault="003B07AF" w:rsidP="005A0B1C">
      <w:pPr>
        <w:pStyle w:val="EYBulletedText1"/>
      </w:pPr>
      <w:r w:rsidRPr="00DB1504">
        <w:rPr>
          <w:b/>
        </w:rPr>
        <w:t>Non-Regulatory Option:</w:t>
      </w:r>
      <w:r w:rsidRPr="008C3B1D">
        <w:t xml:space="preserve"> considers how stated objectives can be achieved through a non-regulatory approach</w:t>
      </w:r>
      <w:r w:rsidR="00D6706A">
        <w:t>.</w:t>
      </w:r>
    </w:p>
    <w:p w:rsidR="004B1446" w:rsidRPr="00761F6A" w:rsidRDefault="003B07AF" w:rsidP="00681E1A">
      <w:pPr>
        <w:pStyle w:val="EYBulletedText1"/>
        <w:spacing w:after="200"/>
        <w:rPr>
          <w:b/>
        </w:rPr>
      </w:pPr>
      <w:r w:rsidRPr="00761F6A">
        <w:rPr>
          <w:b/>
        </w:rPr>
        <w:t>Regulatory Option:</w:t>
      </w:r>
      <w:r w:rsidRPr="00761F6A">
        <w:t xml:space="preserve"> considers how stated objectives can be achieved through a regulatory approach</w:t>
      </w:r>
      <w:r w:rsidR="005C6A67" w:rsidRPr="00761F6A">
        <w:t xml:space="preserve">, which would involve amending the </w:t>
      </w:r>
      <w:r w:rsidR="006B28B8" w:rsidRPr="00761F6A">
        <w:t xml:space="preserve">Premises Standards and the </w:t>
      </w:r>
      <w:r w:rsidR="005C6A67" w:rsidRPr="00761F6A">
        <w:t xml:space="preserve">NCC to mandate the provision of AACFs in prospective Class 6 shopping </w:t>
      </w:r>
      <w:r w:rsidR="009E2C07" w:rsidRPr="00761F6A">
        <w:t>centres</w:t>
      </w:r>
      <w:r w:rsidR="005C6A67" w:rsidRPr="00761F6A">
        <w:t xml:space="preserve"> and </w:t>
      </w:r>
      <w:r w:rsidR="006B28B8" w:rsidRPr="00761F6A">
        <w:lastRenderedPageBreak/>
        <w:t>Class 9b</w:t>
      </w:r>
      <w:r w:rsidR="005C6A67" w:rsidRPr="00761F6A">
        <w:t xml:space="preserve"> assembly buildings</w:t>
      </w:r>
      <w:r w:rsidRPr="00761F6A">
        <w:t xml:space="preserve">. </w:t>
      </w:r>
      <w:r w:rsidR="0068071B" w:rsidRPr="00761F6A">
        <w:t xml:space="preserve">Within the regulatory option we consider </w:t>
      </w:r>
      <w:r w:rsidR="00970D04" w:rsidRPr="00761F6A">
        <w:t>three</w:t>
      </w:r>
      <w:r w:rsidR="00D3560A" w:rsidRPr="00761F6A">
        <w:t xml:space="preserve"> discrete </w:t>
      </w:r>
      <w:r w:rsidR="0068071B" w:rsidRPr="00761F6A">
        <w:t>options</w:t>
      </w:r>
      <w:r w:rsidR="00856837" w:rsidRPr="00761F6A">
        <w:t xml:space="preserve">: </w:t>
      </w:r>
    </w:p>
    <w:p w:rsidR="00970D04" w:rsidRPr="00761F6A" w:rsidRDefault="00970D04" w:rsidP="00970D04">
      <w:pPr>
        <w:pStyle w:val="EYBulletedText2"/>
      </w:pPr>
      <w:r w:rsidRPr="00761F6A">
        <w:t xml:space="preserve">Option A, which is intended as minimum necessary specification AACFs that are assumed to be co-located with </w:t>
      </w:r>
      <w:r w:rsidR="008564F8">
        <w:t>s</w:t>
      </w:r>
      <w:r w:rsidR="009A2AAD">
        <w:t xml:space="preserve">tandard </w:t>
      </w:r>
      <w:r w:rsidR="008564F8">
        <w:t>a</w:t>
      </w:r>
      <w:r w:rsidR="009A2AAD">
        <w:t xml:space="preserve">ccessible </w:t>
      </w:r>
      <w:r w:rsidR="008564F8">
        <w:t>s</w:t>
      </w:r>
      <w:r w:rsidR="009A2AAD">
        <w:t xml:space="preserve">anitary </w:t>
      </w:r>
      <w:r w:rsidR="008564F8">
        <w:t>f</w:t>
      </w:r>
      <w:r w:rsidR="009A2AAD">
        <w:t>acilities (SASF</w:t>
      </w:r>
      <w:r w:rsidRPr="00761F6A">
        <w:t>s</w:t>
      </w:r>
      <w:r w:rsidR="009A2AAD">
        <w:t>)</w:t>
      </w:r>
      <w:r w:rsidR="005F6B90">
        <w:t>.</w:t>
      </w:r>
      <w:r w:rsidRPr="00761F6A">
        <w:t xml:space="preserve"> </w:t>
      </w:r>
    </w:p>
    <w:p w:rsidR="00970D04" w:rsidRPr="00761F6A" w:rsidRDefault="00970D04" w:rsidP="00970D04">
      <w:pPr>
        <w:pStyle w:val="EYBulletedText2"/>
      </w:pPr>
      <w:r w:rsidRPr="00761F6A">
        <w:t>Option B, which is intended as minimum necessary specification AACFs that are assumed to be a separate facility from SASFs</w:t>
      </w:r>
      <w:r w:rsidR="005F6B90">
        <w:t>.</w:t>
      </w:r>
    </w:p>
    <w:p w:rsidR="00970D04" w:rsidRPr="00761F6A" w:rsidRDefault="00970D04" w:rsidP="009A2528">
      <w:pPr>
        <w:pStyle w:val="EYBulletedText2"/>
      </w:pPr>
      <w:r w:rsidRPr="00761F6A">
        <w:t>Option C, which is fully conforming Changing Places / Lift &amp; Change specification</w:t>
      </w:r>
      <w:r w:rsidR="005C64E2">
        <w:t>.</w:t>
      </w:r>
    </w:p>
    <w:p w:rsidR="00AD46A9" w:rsidRDefault="00AD46A9" w:rsidP="00D47F77">
      <w:pPr>
        <w:pStyle w:val="EYBodytextwithparaspace"/>
        <w:rPr>
          <w:highlight w:val="yellow"/>
        </w:rPr>
      </w:pPr>
      <w:r w:rsidRPr="00761F6A">
        <w:t>Under the non-regulatory option, modelling assumes that facilities will meet the minimum necessary specifications for a co-located AACF, but that fewer overall will be constructed.</w:t>
      </w:r>
    </w:p>
    <w:p w:rsidR="003B07AF" w:rsidRDefault="003B07AF" w:rsidP="005A0B1C">
      <w:pPr>
        <w:pStyle w:val="EYAppendixHeading2"/>
      </w:pPr>
      <w:r w:rsidRPr="002C13F4">
        <w:t>Defining the population</w:t>
      </w:r>
    </w:p>
    <w:p w:rsidR="003B07AF" w:rsidRPr="002C13F4" w:rsidRDefault="0048763C" w:rsidP="00D47F77">
      <w:pPr>
        <w:pStyle w:val="EYBodytextwithparaspace"/>
        <w:rPr>
          <w:i/>
        </w:rPr>
      </w:pPr>
      <w:r>
        <w:t xml:space="preserve">The population considered in this </w:t>
      </w:r>
      <w:r w:rsidR="00C63B79">
        <w:t xml:space="preserve">Final </w:t>
      </w:r>
      <w:r>
        <w:t>RIS is divided into the c</w:t>
      </w:r>
      <w:r w:rsidR="003B07AF" w:rsidRPr="00DB1504">
        <w:t>ore</w:t>
      </w:r>
      <w:r>
        <w:t xml:space="preserve"> and non-core cohort</w:t>
      </w:r>
      <w:r w:rsidR="005C6A67">
        <w:t xml:space="preserve">, and covers a broad spectrum of </w:t>
      </w:r>
      <w:r w:rsidR="006B28B8">
        <w:t xml:space="preserve">people with </w:t>
      </w:r>
      <w:r w:rsidR="00B40FE2">
        <w:t>disability</w:t>
      </w:r>
      <w:r>
        <w:t>:</w:t>
      </w:r>
    </w:p>
    <w:p w:rsidR="003B07AF" w:rsidRPr="00E23423" w:rsidRDefault="0048763C" w:rsidP="005A0B1C">
      <w:pPr>
        <w:pStyle w:val="EYBulletedText1"/>
      </w:pPr>
      <w:r w:rsidRPr="00DB1504">
        <w:rPr>
          <w:b/>
        </w:rPr>
        <w:t xml:space="preserve">Core </w:t>
      </w:r>
      <w:r w:rsidRPr="00060304">
        <w:rPr>
          <w:b/>
        </w:rPr>
        <w:t>cohort</w:t>
      </w:r>
      <w:r w:rsidRPr="00DB1504">
        <w:rPr>
          <w:b/>
        </w:rPr>
        <w:t>:</w:t>
      </w:r>
      <w:r w:rsidR="00E23423" w:rsidRPr="00484E77">
        <w:rPr>
          <w:b/>
        </w:rPr>
        <w:t xml:space="preserve"> </w:t>
      </w:r>
      <w:r w:rsidR="006B28B8">
        <w:t>W</w:t>
      </w:r>
      <w:r w:rsidR="00E23423">
        <w:t xml:space="preserve">e estimate that </w:t>
      </w:r>
      <w:r w:rsidR="00B06CC3">
        <w:t>approximately</w:t>
      </w:r>
      <w:r w:rsidR="003B07AF" w:rsidRPr="00E23423">
        <w:t xml:space="preserve"> 350,</w:t>
      </w:r>
      <w:r w:rsidR="005C6A67" w:rsidRPr="00E23423">
        <w:t>35</w:t>
      </w:r>
      <w:r w:rsidR="005C6A67">
        <w:t>0</w:t>
      </w:r>
      <w:r w:rsidR="005C6A67" w:rsidRPr="00E23423">
        <w:t xml:space="preserve"> </w:t>
      </w:r>
      <w:r w:rsidR="003B07AF" w:rsidRPr="00E23423">
        <w:t xml:space="preserve">people </w:t>
      </w:r>
      <w:r w:rsidR="001A01F0">
        <w:t xml:space="preserve">in Australia </w:t>
      </w:r>
      <w:r w:rsidR="006B28B8">
        <w:t>live with</w:t>
      </w:r>
      <w:r w:rsidR="006B28B8" w:rsidRPr="00E23423">
        <w:t xml:space="preserve"> </w:t>
      </w:r>
      <w:r w:rsidR="003B07AF" w:rsidRPr="00E23423">
        <w:t xml:space="preserve">a </w:t>
      </w:r>
      <w:r w:rsidR="00E23423">
        <w:t xml:space="preserve">complex </w:t>
      </w:r>
      <w:r w:rsidR="003B07AF" w:rsidRPr="00E23423">
        <w:t>disability</w:t>
      </w:r>
      <w:r w:rsidR="00001AAD">
        <w:t>.</w:t>
      </w:r>
      <w:r w:rsidR="005C06EE" w:rsidRPr="00C133AC">
        <w:rPr>
          <w:rStyle w:val="FootnoteReference"/>
          <w:sz w:val="24"/>
          <w:szCs w:val="24"/>
        </w:rPr>
        <w:footnoteReference w:id="9"/>
      </w:r>
      <w:r w:rsidR="001A01F0" w:rsidRPr="007E5932">
        <w:t xml:space="preserve"> </w:t>
      </w:r>
      <w:r w:rsidR="001A01F0">
        <w:t>These people will be</w:t>
      </w:r>
      <w:r w:rsidR="003B07AF" w:rsidRPr="00E23423">
        <w:t xml:space="preserve"> </w:t>
      </w:r>
      <w:r w:rsidR="00652602">
        <w:t xml:space="preserve">considered as the core cohort. </w:t>
      </w:r>
      <w:r w:rsidR="003B07AF" w:rsidRPr="00E23423">
        <w:t>This represents an implied disability rate of 1.5</w:t>
      </w:r>
      <w:r w:rsidR="003700D9" w:rsidRPr="00E23423">
        <w:t xml:space="preserve">% </w:t>
      </w:r>
      <w:r w:rsidR="003B07AF" w:rsidRPr="00E23423">
        <w:t>of the total Australian population</w:t>
      </w:r>
      <w:r w:rsidR="002C15FD">
        <w:t>.</w:t>
      </w:r>
    </w:p>
    <w:p w:rsidR="003B07AF" w:rsidRDefault="0048763C" w:rsidP="005A0B1C">
      <w:pPr>
        <w:pStyle w:val="EYBulletedText1"/>
      </w:pPr>
      <w:r w:rsidRPr="00DB1504">
        <w:rPr>
          <w:b/>
        </w:rPr>
        <w:t xml:space="preserve">Non-core cohort: </w:t>
      </w:r>
      <w:r w:rsidR="003B07AF" w:rsidRPr="00060304">
        <w:t xml:space="preserve">There are a range of people outside of the core cohort who will also potentially benefit from </w:t>
      </w:r>
      <w:r w:rsidR="006E4362">
        <w:t xml:space="preserve">the provision of </w:t>
      </w:r>
      <w:r w:rsidR="00CA796D">
        <w:t>AACFs</w:t>
      </w:r>
      <w:r w:rsidR="003B07AF" w:rsidRPr="00060304">
        <w:t xml:space="preserve">. </w:t>
      </w:r>
      <w:r w:rsidR="00E23423">
        <w:t xml:space="preserve">These </w:t>
      </w:r>
      <w:r w:rsidR="003B07AF" w:rsidRPr="00060304">
        <w:t>might include car</w:t>
      </w:r>
      <w:r w:rsidR="003B07AF" w:rsidRPr="00E23423">
        <w:t xml:space="preserve">ers, non-users </w:t>
      </w:r>
      <w:r w:rsidR="004B1446">
        <w:t>of the facility, and government.</w:t>
      </w:r>
    </w:p>
    <w:p w:rsidR="003B07AF" w:rsidRDefault="003B07AF" w:rsidP="005A0B1C">
      <w:pPr>
        <w:pStyle w:val="EYAppendixHeading2"/>
      </w:pPr>
      <w:r>
        <w:t>M</w:t>
      </w:r>
      <w:r w:rsidRPr="002C13F4">
        <w:t>easuring the costs and benefits</w:t>
      </w:r>
    </w:p>
    <w:p w:rsidR="003B07AF" w:rsidRPr="00E075B1" w:rsidRDefault="00E075B1" w:rsidP="00D47F77">
      <w:pPr>
        <w:pStyle w:val="EYBodytextwithparaspace"/>
      </w:pPr>
      <w:r>
        <w:t xml:space="preserve">For the purposes of this </w:t>
      </w:r>
      <w:r w:rsidR="00C63B79">
        <w:t xml:space="preserve">Final </w:t>
      </w:r>
      <w:r>
        <w:t>RIS, t</w:t>
      </w:r>
      <w:r w:rsidR="003B07AF" w:rsidRPr="00E075B1">
        <w:t xml:space="preserve">he costs and benefits </w:t>
      </w:r>
      <w:r w:rsidR="0048763C">
        <w:t>are as follows</w:t>
      </w:r>
      <w:r w:rsidR="003B07AF" w:rsidRPr="00E075B1">
        <w:t xml:space="preserve">: </w:t>
      </w:r>
    </w:p>
    <w:p w:rsidR="003B07AF" w:rsidRPr="008C3B1D" w:rsidRDefault="003B07AF" w:rsidP="005A0B1C">
      <w:pPr>
        <w:pStyle w:val="EYBulletedText1"/>
      </w:pPr>
      <w:r w:rsidRPr="00E075B1">
        <w:rPr>
          <w:b/>
        </w:rPr>
        <w:t>Costs:</w:t>
      </w:r>
      <w:r w:rsidRPr="008C3B1D">
        <w:t xml:space="preserve"> The costs of this proposal are divided into capital expenses and ongoing operating expenses</w:t>
      </w:r>
      <w:r w:rsidR="005F359F">
        <w:t xml:space="preserve"> associated with </w:t>
      </w:r>
      <w:r w:rsidR="00DB2FD8">
        <w:t xml:space="preserve">the installation and maintenance </w:t>
      </w:r>
      <w:r w:rsidR="005F359F">
        <w:t xml:space="preserve">of </w:t>
      </w:r>
      <w:r w:rsidR="00CA796D">
        <w:t xml:space="preserve">an </w:t>
      </w:r>
      <w:r w:rsidR="006E4362">
        <w:t>AACF</w:t>
      </w:r>
      <w:r w:rsidR="0077521C">
        <w:t>.</w:t>
      </w:r>
    </w:p>
    <w:p w:rsidR="00E86C1B" w:rsidRDefault="003B07AF" w:rsidP="00E42D9D">
      <w:pPr>
        <w:pStyle w:val="EYBulletedText1"/>
      </w:pPr>
      <w:r w:rsidRPr="004B1446">
        <w:rPr>
          <w:b/>
        </w:rPr>
        <w:t>Quantifiable benefits:</w:t>
      </w:r>
      <w:r w:rsidRPr="008C3B1D">
        <w:t xml:space="preserve"> </w:t>
      </w:r>
    </w:p>
    <w:p w:rsidR="00E86C1B" w:rsidRDefault="00E86C1B" w:rsidP="00E30DB1">
      <w:pPr>
        <w:pStyle w:val="EYBulletedText2"/>
      </w:pPr>
      <w:r>
        <w:t>For shopping centres, museums and stadiums, w</w:t>
      </w:r>
      <w:r w:rsidR="004B1446">
        <w:t xml:space="preserve">e estimate the direct (or ‘use’) value of an additional trip to a Class 6 shopping centre or </w:t>
      </w:r>
      <w:r w:rsidR="006B28B8">
        <w:t>Class 9b</w:t>
      </w:r>
      <w:r w:rsidR="004B1446">
        <w:t xml:space="preserve"> </w:t>
      </w:r>
      <w:r>
        <w:t>museum or stadium</w:t>
      </w:r>
      <w:r w:rsidR="004B1446">
        <w:t xml:space="preserve"> for a person with a complex disability as a result of AACFs</w:t>
      </w:r>
      <w:r w:rsidR="00DB2FD8">
        <w:t xml:space="preserve"> being provided</w:t>
      </w:r>
      <w:r w:rsidR="004B1446">
        <w:t>. Our analysis initially calculates the ‘break</w:t>
      </w:r>
      <w:r w:rsidR="001440BA">
        <w:t>-</w:t>
      </w:r>
      <w:r w:rsidR="004B1446">
        <w:t>even’ value of utility; the value of utility at which the estimated use values are just enough to cover the estimated capital and operating costs of an AACF</w:t>
      </w:r>
      <w:r w:rsidR="00481A90">
        <w:t xml:space="preserve"> for all case studies</w:t>
      </w:r>
      <w:r w:rsidR="004B1446">
        <w:t>. Following that, estimates of the potential benefits that the trip may generate are applied to the same analysis in order to calculate a range of benefits that may accrue</w:t>
      </w:r>
      <w:r>
        <w:t xml:space="preserve">. </w:t>
      </w:r>
    </w:p>
    <w:p w:rsidR="00D3560A" w:rsidRPr="0038078D" w:rsidRDefault="00D3560A" w:rsidP="00D3560A">
      <w:pPr>
        <w:pStyle w:val="EYBulletedText2"/>
      </w:pPr>
      <w:r w:rsidRPr="0038078D">
        <w:t xml:space="preserve">In the case of </w:t>
      </w:r>
      <w:r w:rsidR="00FA4840">
        <w:t>a</w:t>
      </w:r>
      <w:r w:rsidR="00FA4840" w:rsidRPr="0038078D">
        <w:t>irports</w:t>
      </w:r>
      <w:r w:rsidRPr="0038078D">
        <w:t>, the analysis focussed on a range of different patronage figures from a selection of small, medium and large airports across Australia</w:t>
      </w:r>
      <w:r w:rsidR="00015B4F">
        <w:t>,</w:t>
      </w:r>
      <w:r w:rsidRPr="00C133AC">
        <w:rPr>
          <w:rStyle w:val="FootnoteReference"/>
          <w:sz w:val="24"/>
          <w:szCs w:val="24"/>
        </w:rPr>
        <w:footnoteReference w:id="10"/>
      </w:r>
      <w:r w:rsidRPr="0038078D">
        <w:t xml:space="preserve"> combined with estimates of the travel propensity for people with a disability</w:t>
      </w:r>
      <w:r w:rsidRPr="00C133AC">
        <w:rPr>
          <w:rStyle w:val="FootnoteReference"/>
          <w:sz w:val="24"/>
          <w:szCs w:val="24"/>
        </w:rPr>
        <w:footnoteReference w:id="11"/>
      </w:r>
      <w:r w:rsidRPr="0038078D">
        <w:t xml:space="preserve"> to </w:t>
      </w:r>
      <w:r w:rsidRPr="0038078D">
        <w:lastRenderedPageBreak/>
        <w:t>provide an indication of the benefit per trip that would be required in order for the installation of an AACF to be justified from a cost-benefit perspective.</w:t>
      </w:r>
    </w:p>
    <w:p w:rsidR="00E86C1B" w:rsidRPr="0038078D" w:rsidRDefault="00E86C1B" w:rsidP="00E30DB1">
      <w:pPr>
        <w:pStyle w:val="EYBulletedText2"/>
      </w:pPr>
      <w:r w:rsidRPr="0038078D">
        <w:t xml:space="preserve">For public aquatic facilities, estimates of the therapeutic benefits of hydrotherapy were combined with assumptions regarding the frequency of use of the facility, in order to generate estimates of the </w:t>
      </w:r>
      <w:r w:rsidR="006305FB" w:rsidRPr="0038078D">
        <w:t>whole</w:t>
      </w:r>
      <w:r w:rsidR="006305FB">
        <w:t>-</w:t>
      </w:r>
      <w:r w:rsidR="006305FB" w:rsidRPr="0038078D">
        <w:t>of</w:t>
      </w:r>
      <w:r w:rsidR="006305FB">
        <w:t>-</w:t>
      </w:r>
      <w:r w:rsidRPr="0038078D">
        <w:t>economy benefits from extending the requirement to these facilities, as well as an estimate of the ‘break</w:t>
      </w:r>
      <w:r w:rsidR="001440BA">
        <w:t>-</w:t>
      </w:r>
      <w:r w:rsidRPr="0038078D">
        <w:t xml:space="preserve">even’ </w:t>
      </w:r>
      <w:r w:rsidR="009835AD" w:rsidRPr="0038078D">
        <w:t>feeder population</w:t>
      </w:r>
      <w:r w:rsidRPr="0038078D">
        <w:t>; the amount of benefit that would be required on a per trip basis in order to just cover the estimated capital and operating costs of installing an AACF.</w:t>
      </w:r>
    </w:p>
    <w:p w:rsidR="00390C5A" w:rsidRPr="0038078D" w:rsidRDefault="001B5E73" w:rsidP="00A10C5E">
      <w:pPr>
        <w:pStyle w:val="EYBulletedText2"/>
      </w:pPr>
      <w:r w:rsidRPr="0038078D">
        <w:t xml:space="preserve">For </w:t>
      </w:r>
      <w:r w:rsidR="009835AD" w:rsidRPr="0038078D">
        <w:t>major public transport buildings</w:t>
      </w:r>
      <w:r w:rsidRPr="0038078D">
        <w:t xml:space="preserve">, a variety of factors led to a recommendation of AACFs not being mandated for installation in prospective train stations. </w:t>
      </w:r>
      <w:r w:rsidR="009835AD" w:rsidRPr="0038078D">
        <w:t>This recommendation should not be interpreted as a suggestion that the potential benefits of greater public transport accessibility are unimportant; merely that the installation of an AACF is not considered to be the best catalyst for the</w:t>
      </w:r>
      <w:r w:rsidR="002772CB">
        <w:t xml:space="preserve"> realisation of those benefits.</w:t>
      </w:r>
      <w:r w:rsidR="009835AD" w:rsidRPr="0038078D">
        <w:t xml:space="preserve"> </w:t>
      </w:r>
      <w:r w:rsidRPr="0038078D">
        <w:t xml:space="preserve">The reasons for this are described in </w:t>
      </w:r>
      <w:r w:rsidR="007C69BF">
        <w:t>S</w:t>
      </w:r>
      <w:r w:rsidR="007C69BF" w:rsidRPr="0038078D">
        <w:t xml:space="preserve">ection </w:t>
      </w:r>
      <w:r w:rsidR="00C50D89" w:rsidRPr="0038078D">
        <w:fldChar w:fldCharType="begin"/>
      </w:r>
      <w:r w:rsidR="00C50D89" w:rsidRPr="0038078D">
        <w:instrText xml:space="preserve"> REF _Ref517092069 \r \h </w:instrText>
      </w:r>
      <w:r w:rsidR="0068071B" w:rsidRPr="0038078D">
        <w:instrText xml:space="preserve"> \* MERGEFORMAT </w:instrText>
      </w:r>
      <w:r w:rsidR="00C50D89" w:rsidRPr="0038078D">
        <w:fldChar w:fldCharType="separate"/>
      </w:r>
      <w:r w:rsidR="00910A73">
        <w:t>7.1.2</w:t>
      </w:r>
      <w:r w:rsidR="00C50D89" w:rsidRPr="0038078D">
        <w:fldChar w:fldCharType="end"/>
      </w:r>
      <w:r w:rsidR="00C50D89" w:rsidRPr="0038078D">
        <w:t>.</w:t>
      </w:r>
    </w:p>
    <w:p w:rsidR="003B07AF" w:rsidRPr="004B1446" w:rsidRDefault="00E63653" w:rsidP="00D128AA">
      <w:pPr>
        <w:pStyle w:val="EYBulletedText1"/>
        <w:rPr>
          <w:i/>
        </w:rPr>
      </w:pPr>
      <w:r w:rsidRPr="004B1446">
        <w:rPr>
          <w:b/>
        </w:rPr>
        <w:t xml:space="preserve">Qualitative </w:t>
      </w:r>
      <w:r w:rsidR="003B07AF" w:rsidRPr="004B1446">
        <w:rPr>
          <w:b/>
        </w:rPr>
        <w:t>benefits:</w:t>
      </w:r>
      <w:r w:rsidR="003B07AF" w:rsidRPr="008C3B1D">
        <w:t xml:space="preserve"> </w:t>
      </w:r>
      <w:r w:rsidR="005C06EE">
        <w:t>in addition to the usage values described above, t</w:t>
      </w:r>
      <w:r w:rsidR="003B07AF" w:rsidRPr="008C3B1D">
        <w:t xml:space="preserve">he </w:t>
      </w:r>
      <w:r w:rsidR="006E4362">
        <w:t xml:space="preserve">provision </w:t>
      </w:r>
      <w:r w:rsidR="003B07AF" w:rsidRPr="008C3B1D">
        <w:t xml:space="preserve">of </w:t>
      </w:r>
      <w:r w:rsidR="006E4362">
        <w:t>AACF</w:t>
      </w:r>
      <w:r w:rsidR="006B28B8">
        <w:t>s</w:t>
      </w:r>
      <w:r w:rsidR="00DC0BD0">
        <w:t xml:space="preserve"> has the potential to deliver </w:t>
      </w:r>
      <w:r w:rsidR="005C06EE">
        <w:t>a variety of</w:t>
      </w:r>
      <w:r w:rsidR="005C06EE" w:rsidRPr="008C3B1D">
        <w:t xml:space="preserve"> </w:t>
      </w:r>
      <w:r w:rsidR="003B07AF" w:rsidRPr="008C3B1D">
        <w:t>long-term benefits for a person with a disability</w:t>
      </w:r>
      <w:r w:rsidR="00DC0BD0">
        <w:t xml:space="preserve"> and their </w:t>
      </w:r>
      <w:r w:rsidR="005C06EE">
        <w:t>carers. The</w:t>
      </w:r>
      <w:r w:rsidR="00DC0BD0">
        <w:t xml:space="preserve"> expected benefits </w:t>
      </w:r>
      <w:r w:rsidR="005C06EE">
        <w:t>are numerous and</w:t>
      </w:r>
      <w:r w:rsidR="0038078D">
        <w:t xml:space="preserve"> include</w:t>
      </w:r>
      <w:r w:rsidR="00DC0BD0">
        <w:t xml:space="preserve"> </w:t>
      </w:r>
      <w:r w:rsidR="003B07AF" w:rsidRPr="008C3B1D">
        <w:t>improved quality of life, improved community</w:t>
      </w:r>
      <w:r w:rsidR="003B07AF">
        <w:t xml:space="preserve"> and social participation</w:t>
      </w:r>
      <w:r w:rsidR="005F359F">
        <w:t xml:space="preserve">, and improved </w:t>
      </w:r>
      <w:r w:rsidR="005F359F" w:rsidRPr="008C3B1D">
        <w:t>wellbein</w:t>
      </w:r>
      <w:r w:rsidR="005F359F">
        <w:t>g and mental health outcomes</w:t>
      </w:r>
      <w:r w:rsidR="005C06EE">
        <w:t>.</w:t>
      </w:r>
      <w:r w:rsidR="00F15732">
        <w:t xml:space="preserve"> </w:t>
      </w:r>
      <w:r w:rsidR="005C06EE">
        <w:t>These benefits</w:t>
      </w:r>
      <w:r w:rsidR="00F15732">
        <w:t xml:space="preserve"> are considered qualitative</w:t>
      </w:r>
      <w:r w:rsidR="00CC3603">
        <w:t>ly</w:t>
      </w:r>
      <w:r w:rsidR="005C06EE">
        <w:t xml:space="preserve"> throughout this report</w:t>
      </w:r>
      <w:r w:rsidR="00FA4840">
        <w:t xml:space="preserve"> drawing on feedback from those impacted by the problem</w:t>
      </w:r>
      <w:r w:rsidR="003B07AF">
        <w:t xml:space="preserve">. </w:t>
      </w:r>
    </w:p>
    <w:p w:rsidR="003B07AF" w:rsidRDefault="00EF52A1" w:rsidP="005A0B1C">
      <w:pPr>
        <w:pStyle w:val="EYAppendixHeading2"/>
      </w:pPr>
      <w:r>
        <w:t>Quantitative</w:t>
      </w:r>
      <w:r w:rsidRPr="008C3B1D">
        <w:t xml:space="preserve"> </w:t>
      </w:r>
      <w:r w:rsidR="003B07AF" w:rsidRPr="008C3B1D">
        <w:t>results</w:t>
      </w:r>
    </w:p>
    <w:p w:rsidR="00B412C7" w:rsidRPr="0038078D" w:rsidRDefault="00B412C7" w:rsidP="00D47F77">
      <w:pPr>
        <w:pStyle w:val="EYBodytextwithparaspace"/>
      </w:pPr>
      <w:bookmarkStart w:id="14" w:name="_Ref504058651"/>
      <w:bookmarkStart w:id="15" w:name="_Toc504063138"/>
      <w:bookmarkStart w:id="16" w:name="_Toc504401737"/>
      <w:r w:rsidRPr="0038078D">
        <w:t xml:space="preserve">The estimated net </w:t>
      </w:r>
      <w:r w:rsidR="00AC5912" w:rsidRPr="0038078D">
        <w:t>benefits</w:t>
      </w:r>
      <w:r w:rsidRPr="0038078D">
        <w:t xml:space="preserve"> and costs from a </w:t>
      </w:r>
      <w:r w:rsidR="006305FB" w:rsidRPr="0038078D">
        <w:t>whole</w:t>
      </w:r>
      <w:r w:rsidR="006305FB">
        <w:t>-</w:t>
      </w:r>
      <w:r w:rsidR="006305FB" w:rsidRPr="0038078D">
        <w:t>of</w:t>
      </w:r>
      <w:r w:rsidR="006305FB">
        <w:t>-</w:t>
      </w:r>
      <w:r w:rsidRPr="0038078D">
        <w:t xml:space="preserve">economy perspective of mandating the installation of AACFs in the quantifiable cases are presented in the table below. </w:t>
      </w:r>
      <w:r w:rsidR="00FA4840">
        <w:t>I</w:t>
      </w:r>
      <w:r w:rsidRPr="0038078D">
        <w:t xml:space="preserve">t is worth noting that, as will be discussed at </w:t>
      </w:r>
      <w:r w:rsidR="00AC5912" w:rsidRPr="0038078D">
        <w:t>length</w:t>
      </w:r>
      <w:r w:rsidRPr="0038078D">
        <w:t xml:space="preserve"> throughout this Final RIS, the benefits quantified relate only to the value of individual trips made to the </w:t>
      </w:r>
      <w:r w:rsidR="00AC5912" w:rsidRPr="0038078D">
        <w:t>respective</w:t>
      </w:r>
      <w:r w:rsidRPr="0038078D">
        <w:t xml:space="preserve"> </w:t>
      </w:r>
      <w:r w:rsidR="00AC5912" w:rsidRPr="0038078D">
        <w:t>buildings</w:t>
      </w:r>
      <w:r w:rsidRPr="0038078D">
        <w:t xml:space="preserve">. They do not capture longer term </w:t>
      </w:r>
      <w:r w:rsidR="00AC5912" w:rsidRPr="0038078D">
        <w:t>benefits</w:t>
      </w:r>
      <w:r w:rsidRPr="0038078D">
        <w:t xml:space="preserve"> such as improved psychological health or social equality. The</w:t>
      </w:r>
      <w:r w:rsidR="00AC5912" w:rsidRPr="0038078D">
        <w:t xml:space="preserve"> quantified benefit</w:t>
      </w:r>
      <w:r w:rsidRPr="0038078D">
        <w:t>s in all likelihood, represent</w:t>
      </w:r>
      <w:r w:rsidR="009A2528" w:rsidRPr="0038078D">
        <w:t xml:space="preserve"> </w:t>
      </w:r>
      <w:r w:rsidRPr="0038078D">
        <w:t>only a fraction of the total benefits.</w:t>
      </w:r>
    </w:p>
    <w:p w:rsidR="00B412C7" w:rsidRPr="0038078D" w:rsidRDefault="00AC5912" w:rsidP="00D47F77">
      <w:pPr>
        <w:pStyle w:val="EYBodytextwithparaspace"/>
      </w:pPr>
      <w:r w:rsidRPr="0038078D">
        <w:t>Notwithstanding</w:t>
      </w:r>
      <w:r w:rsidR="00B412C7" w:rsidRPr="0038078D">
        <w:t xml:space="preserve"> the </w:t>
      </w:r>
      <w:r w:rsidRPr="0038078D">
        <w:t>limitations</w:t>
      </w:r>
      <w:r w:rsidR="00B412C7" w:rsidRPr="0038078D">
        <w:t>, a few key points can be made with respect to the findings below:</w:t>
      </w:r>
    </w:p>
    <w:p w:rsidR="00AC5912" w:rsidRPr="0038078D" w:rsidRDefault="00B412C7" w:rsidP="0038078D">
      <w:pPr>
        <w:pStyle w:val="EYBulletedText1"/>
      </w:pPr>
      <w:r w:rsidRPr="0038078D">
        <w:t xml:space="preserve">First, it is clear that the benefits are more </w:t>
      </w:r>
      <w:r w:rsidR="00AC5912" w:rsidRPr="0038078D">
        <w:t>pronounced</w:t>
      </w:r>
      <w:r w:rsidRPr="0038078D">
        <w:t xml:space="preserve"> for shopping </w:t>
      </w:r>
      <w:r w:rsidR="00AC5912" w:rsidRPr="0038078D">
        <w:t>centres</w:t>
      </w:r>
      <w:r w:rsidRPr="0038078D">
        <w:t xml:space="preserve"> than for other buildings. This reflects the far greater usage of shopping centres</w:t>
      </w:r>
      <w:r w:rsidR="0038078D" w:rsidRPr="0038078D">
        <w:t xml:space="preserve"> </w:t>
      </w:r>
      <w:r w:rsidRPr="0038078D">
        <w:t xml:space="preserve">- a shopping centre is more of a ‘day to day’ like </w:t>
      </w:r>
      <w:r w:rsidR="00AC5912" w:rsidRPr="0038078D">
        <w:t xml:space="preserve">venue, whereas museums, stadiums and swimming pools tend to be attended less frequently.  </w:t>
      </w:r>
    </w:p>
    <w:p w:rsidR="00AC5912" w:rsidRPr="0038078D" w:rsidRDefault="00AC5912" w:rsidP="0038078D">
      <w:pPr>
        <w:pStyle w:val="EYBulletedText1"/>
      </w:pPr>
      <w:r w:rsidRPr="0038078D">
        <w:t>Public aquatic facilities generate the next highest benefits in an overall sense, which reflects the potentially considerable benefits gained fr</w:t>
      </w:r>
      <w:r w:rsidR="00DA4AB1">
        <w:t>o</w:t>
      </w:r>
      <w:r w:rsidRPr="0038078D">
        <w:t>m hydrotherapy and immersion in water for people with disability.</w:t>
      </w:r>
    </w:p>
    <w:p w:rsidR="00AC5912" w:rsidRPr="0038078D" w:rsidRDefault="009A2528" w:rsidP="0038078D">
      <w:pPr>
        <w:pStyle w:val="EYBulletedText1"/>
      </w:pPr>
      <w:r w:rsidRPr="0038078D">
        <w:t>Extending the requirements to museums with a design occupancy exceeding 1,500 and stadiums</w:t>
      </w:r>
      <w:r w:rsidR="00246473" w:rsidRPr="0038078D">
        <w:t xml:space="preserve"> with a</w:t>
      </w:r>
      <w:r w:rsidRPr="003C4379">
        <w:t xml:space="preserve"> design occupancy exceeding 35,000 is estimated to generate </w:t>
      </w:r>
      <w:r w:rsidR="002B423F">
        <w:t xml:space="preserve">small </w:t>
      </w:r>
      <w:r w:rsidRPr="003C4379">
        <w:t>net benefits</w:t>
      </w:r>
      <w:r w:rsidRPr="00490C3C">
        <w:t>.</w:t>
      </w:r>
    </w:p>
    <w:p w:rsidR="00536887" w:rsidRPr="00566C92" w:rsidRDefault="00325A73" w:rsidP="00B661BB">
      <w:pPr>
        <w:pStyle w:val="Caption"/>
      </w:pPr>
      <w:bookmarkStart w:id="17" w:name="_Toc525897810"/>
      <w:r>
        <w:lastRenderedPageBreak/>
        <w:t xml:space="preserve">Table </w:t>
      </w:r>
      <w:r w:rsidR="0093097C">
        <w:rPr>
          <w:noProof/>
        </w:rPr>
        <w:fldChar w:fldCharType="begin"/>
      </w:r>
      <w:r w:rsidR="0093097C">
        <w:rPr>
          <w:noProof/>
        </w:rPr>
        <w:instrText xml:space="preserve"> STYLEREF 1 \s </w:instrText>
      </w:r>
      <w:r w:rsidR="0093097C">
        <w:rPr>
          <w:noProof/>
        </w:rPr>
        <w:fldChar w:fldCharType="separate"/>
      </w:r>
      <w:r w:rsidR="00910A73">
        <w:rPr>
          <w:noProof/>
        </w:rPr>
        <w:t>0</w:t>
      </w:r>
      <w:r w:rsidR="0093097C">
        <w:rPr>
          <w:noProof/>
        </w:rPr>
        <w:fldChar w:fldCharType="end"/>
      </w:r>
      <w:r w:rsidRPr="00D21773">
        <w:noBreakHyphen/>
      </w:r>
      <w:r w:rsidR="0093097C">
        <w:rPr>
          <w:noProof/>
        </w:rPr>
        <w:fldChar w:fldCharType="begin"/>
      </w:r>
      <w:r w:rsidR="0093097C">
        <w:rPr>
          <w:noProof/>
        </w:rPr>
        <w:instrText xml:space="preserve"> SEQ Table \* ARABIC \s 1 </w:instrText>
      </w:r>
      <w:r w:rsidR="0093097C">
        <w:rPr>
          <w:noProof/>
        </w:rPr>
        <w:fldChar w:fldCharType="separate"/>
      </w:r>
      <w:r w:rsidR="00910A73">
        <w:rPr>
          <w:noProof/>
        </w:rPr>
        <w:t>1</w:t>
      </w:r>
      <w:r w:rsidR="0093097C">
        <w:rPr>
          <w:noProof/>
        </w:rPr>
        <w:fldChar w:fldCharType="end"/>
      </w:r>
      <w:r>
        <w:t>:</w:t>
      </w:r>
      <w:r w:rsidR="00536887" w:rsidRPr="0038078D">
        <w:t xml:space="preserve"> Illustrative whole</w:t>
      </w:r>
      <w:r w:rsidR="00CC6F6D">
        <w:t>-</w:t>
      </w:r>
      <w:r w:rsidR="00536887" w:rsidRPr="0038078D">
        <w:t>of</w:t>
      </w:r>
      <w:r w:rsidR="00CC6F6D">
        <w:t>-</w:t>
      </w:r>
      <w:r w:rsidR="00536887" w:rsidRPr="0038078D">
        <w:t xml:space="preserve">economy </w:t>
      </w:r>
      <w:r w:rsidR="006A1131" w:rsidRPr="0038078D">
        <w:t>impacts</w:t>
      </w:r>
      <w:r w:rsidR="00536887" w:rsidRPr="0038078D">
        <w:t xml:space="preserve"> –</w:t>
      </w:r>
      <w:r w:rsidR="0038078D">
        <w:t xml:space="preserve"> </w:t>
      </w:r>
      <w:r w:rsidR="00536887">
        <w:t xml:space="preserve">Net Present </w:t>
      </w:r>
      <w:r w:rsidR="009B5649">
        <w:t xml:space="preserve">Value </w:t>
      </w:r>
      <w:r w:rsidR="009B5649" w:rsidRPr="0038078D">
        <w:t>(</w:t>
      </w:r>
      <w:r w:rsidR="0038078D" w:rsidRPr="0038078D">
        <w:t>Regulatory Option A)</w:t>
      </w:r>
      <w:bookmarkEnd w:id="17"/>
      <w:r w:rsidR="0038078D" w:rsidRPr="0038078D">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Table 0 1: Illustrative whole of economy impacts – Net Present Value (Regulatory Option A)"/>
        <w:tblDescription w:val="The Net Present Value Illustrative whole of economy impacts for Regulatory Option A."/>
      </w:tblPr>
      <w:tblGrid>
        <w:gridCol w:w="1925"/>
        <w:gridCol w:w="1925"/>
        <w:gridCol w:w="1925"/>
        <w:gridCol w:w="1926"/>
        <w:gridCol w:w="1792"/>
      </w:tblGrid>
      <w:tr w:rsidR="00B412C7" w:rsidRPr="00C44987" w:rsidTr="00602F49">
        <w:trPr>
          <w:trHeight w:val="57"/>
        </w:trPr>
        <w:tc>
          <w:tcPr>
            <w:tcW w:w="1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rsidR="00B412C7" w:rsidRPr="00C83556" w:rsidRDefault="00B412C7" w:rsidP="00602F49">
            <w:pPr>
              <w:pStyle w:val="EYAppendixHeading2"/>
              <w:spacing w:before="60" w:after="60"/>
              <w:rPr>
                <w:b w:val="0"/>
                <w:color w:val="FFFFFF" w:themeColor="background1"/>
                <w:sz w:val="20"/>
                <w:szCs w:val="20"/>
                <w:lang w:eastAsia="en-AU"/>
              </w:rPr>
            </w:pPr>
            <w:r w:rsidRPr="00C83556">
              <w:rPr>
                <w:b w:val="0"/>
                <w:color w:val="FFFFFF" w:themeColor="background1"/>
                <w:sz w:val="20"/>
                <w:szCs w:val="20"/>
                <w:lang w:eastAsia="en-AU"/>
              </w:rPr>
              <w:t>Building Type</w:t>
            </w:r>
          </w:p>
        </w:tc>
        <w:tc>
          <w:tcPr>
            <w:tcW w:w="1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rsidR="00B412C7" w:rsidRPr="00C83556" w:rsidRDefault="00B412C7" w:rsidP="00602F49">
            <w:pPr>
              <w:pStyle w:val="EYAppendixHeading2"/>
              <w:spacing w:before="60" w:after="60"/>
              <w:rPr>
                <w:b w:val="0"/>
                <w:color w:val="FFFFFF" w:themeColor="background1"/>
                <w:sz w:val="20"/>
                <w:szCs w:val="20"/>
                <w:lang w:eastAsia="en-AU"/>
              </w:rPr>
            </w:pPr>
            <w:r w:rsidRPr="00C83556">
              <w:rPr>
                <w:b w:val="0"/>
                <w:color w:val="FFFFFF" w:themeColor="background1"/>
                <w:sz w:val="20"/>
                <w:szCs w:val="20"/>
                <w:lang w:eastAsia="en-AU"/>
              </w:rPr>
              <w:t>PV Benefits</w:t>
            </w:r>
          </w:p>
        </w:tc>
        <w:tc>
          <w:tcPr>
            <w:tcW w:w="1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rsidR="00B412C7" w:rsidRPr="00602F49" w:rsidRDefault="00B412C7" w:rsidP="00602F49">
            <w:pPr>
              <w:pStyle w:val="EYAppendixHeading2"/>
              <w:spacing w:before="60" w:after="60"/>
              <w:rPr>
                <w:b w:val="0"/>
                <w:color w:val="FFFFFF" w:themeColor="background1"/>
                <w:sz w:val="20"/>
                <w:szCs w:val="20"/>
                <w:lang w:eastAsia="en-AU"/>
              </w:rPr>
            </w:pPr>
            <w:r w:rsidRPr="00602F49">
              <w:rPr>
                <w:b w:val="0"/>
                <w:color w:val="FFFFFF" w:themeColor="background1"/>
                <w:sz w:val="20"/>
                <w:szCs w:val="20"/>
                <w:lang w:eastAsia="en-AU"/>
              </w:rPr>
              <w:t>PV Costs</w:t>
            </w:r>
          </w:p>
        </w:tc>
        <w:tc>
          <w:tcPr>
            <w:tcW w:w="1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rsidR="00B412C7" w:rsidRPr="00602F49" w:rsidRDefault="00AC5912" w:rsidP="00602F49">
            <w:pPr>
              <w:pStyle w:val="EYAppendixHeading2"/>
              <w:spacing w:before="60" w:after="60"/>
              <w:rPr>
                <w:b w:val="0"/>
                <w:color w:val="FFFFFF" w:themeColor="background1"/>
                <w:sz w:val="20"/>
                <w:szCs w:val="20"/>
                <w:lang w:eastAsia="en-AU"/>
              </w:rPr>
            </w:pPr>
            <w:r w:rsidRPr="00602F49">
              <w:rPr>
                <w:b w:val="0"/>
                <w:color w:val="FFFFFF" w:themeColor="background1"/>
                <w:sz w:val="20"/>
                <w:szCs w:val="20"/>
                <w:lang w:eastAsia="en-AU"/>
              </w:rPr>
              <w:t xml:space="preserve">Net </w:t>
            </w:r>
            <w:r w:rsidR="005E7D80">
              <w:rPr>
                <w:b w:val="0"/>
                <w:color w:val="FFFFFF" w:themeColor="background1"/>
                <w:sz w:val="20"/>
                <w:szCs w:val="20"/>
                <w:lang w:eastAsia="en-AU"/>
              </w:rPr>
              <w:t>B</w:t>
            </w:r>
            <w:r w:rsidRPr="00602F49">
              <w:rPr>
                <w:b w:val="0"/>
                <w:color w:val="FFFFFF" w:themeColor="background1"/>
                <w:sz w:val="20"/>
                <w:szCs w:val="20"/>
                <w:lang w:eastAsia="en-AU"/>
              </w:rPr>
              <w:t>enefits</w:t>
            </w:r>
          </w:p>
        </w:tc>
        <w:tc>
          <w:tcPr>
            <w:tcW w:w="17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rsidR="00B412C7" w:rsidRPr="00602F49" w:rsidRDefault="00B412C7" w:rsidP="00602F49">
            <w:pPr>
              <w:pStyle w:val="EYAppendixHeading2"/>
              <w:spacing w:before="60" w:after="60"/>
              <w:rPr>
                <w:b w:val="0"/>
                <w:color w:val="FFFFFF" w:themeColor="background1"/>
                <w:sz w:val="20"/>
                <w:szCs w:val="20"/>
                <w:lang w:eastAsia="en-AU"/>
              </w:rPr>
            </w:pPr>
            <w:r w:rsidRPr="00602F49">
              <w:rPr>
                <w:b w:val="0"/>
                <w:color w:val="FFFFFF" w:themeColor="background1"/>
                <w:sz w:val="20"/>
                <w:szCs w:val="20"/>
                <w:lang w:eastAsia="en-AU"/>
              </w:rPr>
              <w:t>Benefit Cost Ratio</w:t>
            </w:r>
          </w:p>
        </w:tc>
      </w:tr>
      <w:tr w:rsidR="00E14718" w:rsidRPr="00C44987" w:rsidTr="00602F49">
        <w:tc>
          <w:tcPr>
            <w:tcW w:w="1925" w:type="dxa"/>
            <w:tcBorders>
              <w:top w:val="single" w:sz="4" w:space="0" w:color="FFFFFF" w:themeColor="background1"/>
            </w:tcBorders>
            <w:vAlign w:val="bottom"/>
          </w:tcPr>
          <w:p w:rsidR="00E14718" w:rsidRPr="00602F49" w:rsidRDefault="00E14718" w:rsidP="00E14718">
            <w:pPr>
              <w:pStyle w:val="EYAppendixHeading2"/>
              <w:rPr>
                <w:b w:val="0"/>
                <w:color w:val="000000"/>
                <w:sz w:val="20"/>
                <w:szCs w:val="20"/>
                <w:lang w:eastAsia="en-AU"/>
              </w:rPr>
            </w:pPr>
            <w:r w:rsidRPr="00602F49">
              <w:rPr>
                <w:color w:val="000000"/>
                <w:sz w:val="20"/>
                <w:szCs w:val="20"/>
              </w:rPr>
              <w:t>Shopping Centres (&gt;10,000 sqm)</w:t>
            </w:r>
          </w:p>
        </w:tc>
        <w:tc>
          <w:tcPr>
            <w:tcW w:w="1925" w:type="dxa"/>
            <w:tcBorders>
              <w:top w:val="single" w:sz="4" w:space="0" w:color="FFFFFF" w:themeColor="background1"/>
            </w:tcBorders>
          </w:tcPr>
          <w:p w:rsidR="00E14718" w:rsidRPr="00602F49" w:rsidRDefault="00E14718" w:rsidP="00621623">
            <w:pPr>
              <w:pStyle w:val="EYTableText"/>
              <w:keepNext/>
              <w:jc w:val="right"/>
              <w:rPr>
                <w:color w:val="000000"/>
                <w:sz w:val="20"/>
                <w:szCs w:val="20"/>
              </w:rPr>
            </w:pPr>
            <w:r w:rsidRPr="00602F49">
              <w:rPr>
                <w:color w:val="000000"/>
                <w:sz w:val="20"/>
                <w:szCs w:val="20"/>
              </w:rPr>
              <w:t>$163,747,755</w:t>
            </w:r>
          </w:p>
        </w:tc>
        <w:tc>
          <w:tcPr>
            <w:tcW w:w="1925" w:type="dxa"/>
            <w:tcBorders>
              <w:top w:val="single" w:sz="4" w:space="0" w:color="FFFFFF" w:themeColor="background1"/>
            </w:tcBorders>
          </w:tcPr>
          <w:p w:rsidR="00E14718" w:rsidRPr="00602F49" w:rsidRDefault="00E14718" w:rsidP="00621623">
            <w:pPr>
              <w:pStyle w:val="EYTableText"/>
              <w:keepNext/>
              <w:jc w:val="right"/>
              <w:rPr>
                <w:color w:val="000000"/>
                <w:sz w:val="20"/>
                <w:szCs w:val="20"/>
              </w:rPr>
            </w:pPr>
            <w:r w:rsidRPr="00602F49">
              <w:rPr>
                <w:color w:val="000000"/>
                <w:sz w:val="20"/>
                <w:szCs w:val="20"/>
              </w:rPr>
              <w:t>$9,113,399</w:t>
            </w:r>
          </w:p>
        </w:tc>
        <w:tc>
          <w:tcPr>
            <w:tcW w:w="1926" w:type="dxa"/>
            <w:tcBorders>
              <w:top w:val="single" w:sz="4" w:space="0" w:color="FFFFFF" w:themeColor="background1"/>
            </w:tcBorders>
          </w:tcPr>
          <w:p w:rsidR="00E14718" w:rsidRPr="00602F49" w:rsidRDefault="00E14718" w:rsidP="00621623">
            <w:pPr>
              <w:pStyle w:val="EYTableText"/>
              <w:keepNext/>
              <w:jc w:val="right"/>
              <w:rPr>
                <w:color w:val="000000"/>
                <w:sz w:val="20"/>
                <w:szCs w:val="20"/>
              </w:rPr>
            </w:pPr>
            <w:r w:rsidRPr="00602F49">
              <w:rPr>
                <w:color w:val="000000"/>
                <w:sz w:val="20"/>
                <w:szCs w:val="20"/>
              </w:rPr>
              <w:t>$154,634,356</w:t>
            </w:r>
          </w:p>
        </w:tc>
        <w:tc>
          <w:tcPr>
            <w:tcW w:w="1792" w:type="dxa"/>
            <w:tcBorders>
              <w:top w:val="single" w:sz="4" w:space="0" w:color="FFFFFF" w:themeColor="background1"/>
            </w:tcBorders>
          </w:tcPr>
          <w:p w:rsidR="00E14718" w:rsidRPr="00602F49" w:rsidRDefault="00E14718" w:rsidP="00621623">
            <w:pPr>
              <w:pStyle w:val="EYTableText"/>
              <w:keepNext/>
              <w:jc w:val="right"/>
              <w:rPr>
                <w:color w:val="000000"/>
                <w:sz w:val="20"/>
                <w:szCs w:val="20"/>
              </w:rPr>
            </w:pPr>
            <w:r w:rsidRPr="00602F49">
              <w:rPr>
                <w:color w:val="000000"/>
                <w:sz w:val="20"/>
                <w:szCs w:val="20"/>
              </w:rPr>
              <w:t>18.0</w:t>
            </w:r>
          </w:p>
        </w:tc>
      </w:tr>
      <w:tr w:rsidR="00E14718" w:rsidRPr="00C44987" w:rsidTr="00602F49">
        <w:tc>
          <w:tcPr>
            <w:tcW w:w="1925" w:type="dxa"/>
            <w:vAlign w:val="bottom"/>
          </w:tcPr>
          <w:p w:rsidR="00E14718" w:rsidRPr="00C83556" w:rsidRDefault="00E14718" w:rsidP="00E14718">
            <w:pPr>
              <w:pStyle w:val="EYAppendixHeading2"/>
              <w:rPr>
                <w:b w:val="0"/>
                <w:color w:val="000000"/>
                <w:sz w:val="20"/>
                <w:szCs w:val="20"/>
                <w:lang w:eastAsia="en-AU"/>
              </w:rPr>
            </w:pPr>
            <w:r w:rsidRPr="00C83556">
              <w:rPr>
                <w:color w:val="000000"/>
                <w:sz w:val="20"/>
                <w:szCs w:val="20"/>
              </w:rPr>
              <w:t xml:space="preserve">Museums </w:t>
            </w:r>
          </w:p>
        </w:tc>
        <w:tc>
          <w:tcPr>
            <w:tcW w:w="1925" w:type="dxa"/>
          </w:tcPr>
          <w:p w:rsidR="00E14718" w:rsidRPr="00C83556" w:rsidRDefault="00E14718" w:rsidP="00621623">
            <w:pPr>
              <w:pStyle w:val="EYTableText"/>
              <w:keepNext/>
              <w:jc w:val="right"/>
              <w:rPr>
                <w:color w:val="000000"/>
                <w:sz w:val="20"/>
                <w:szCs w:val="20"/>
              </w:rPr>
            </w:pPr>
            <w:r w:rsidRPr="00C83556">
              <w:rPr>
                <w:color w:val="000000"/>
                <w:sz w:val="20"/>
                <w:szCs w:val="20"/>
              </w:rPr>
              <w:t>$4,017,786</w:t>
            </w:r>
          </w:p>
        </w:tc>
        <w:tc>
          <w:tcPr>
            <w:tcW w:w="1925" w:type="dxa"/>
          </w:tcPr>
          <w:p w:rsidR="00E14718" w:rsidRPr="00602F49" w:rsidRDefault="00E14718" w:rsidP="00621623">
            <w:pPr>
              <w:pStyle w:val="EYTableText"/>
              <w:keepNext/>
              <w:jc w:val="right"/>
              <w:rPr>
                <w:color w:val="000000"/>
                <w:sz w:val="20"/>
                <w:szCs w:val="20"/>
              </w:rPr>
            </w:pPr>
            <w:r w:rsidRPr="00602F49">
              <w:rPr>
                <w:color w:val="000000"/>
                <w:sz w:val="20"/>
                <w:szCs w:val="20"/>
              </w:rPr>
              <w:t>$1,306,110</w:t>
            </w:r>
          </w:p>
        </w:tc>
        <w:tc>
          <w:tcPr>
            <w:tcW w:w="1926" w:type="dxa"/>
          </w:tcPr>
          <w:p w:rsidR="00E14718" w:rsidRPr="00602F49" w:rsidRDefault="00E14718" w:rsidP="00621623">
            <w:pPr>
              <w:pStyle w:val="EYTableText"/>
              <w:keepNext/>
              <w:jc w:val="right"/>
              <w:rPr>
                <w:color w:val="000000"/>
                <w:sz w:val="20"/>
                <w:szCs w:val="20"/>
              </w:rPr>
            </w:pPr>
            <w:r w:rsidRPr="00602F49">
              <w:rPr>
                <w:color w:val="000000"/>
                <w:sz w:val="20"/>
                <w:szCs w:val="20"/>
              </w:rPr>
              <w:t>$2,711,676</w:t>
            </w:r>
          </w:p>
        </w:tc>
        <w:tc>
          <w:tcPr>
            <w:tcW w:w="1792" w:type="dxa"/>
          </w:tcPr>
          <w:p w:rsidR="00E14718" w:rsidRPr="00602F49" w:rsidRDefault="00E14718" w:rsidP="00621623">
            <w:pPr>
              <w:pStyle w:val="EYTableText"/>
              <w:keepNext/>
              <w:jc w:val="right"/>
              <w:rPr>
                <w:color w:val="000000"/>
                <w:sz w:val="20"/>
                <w:szCs w:val="20"/>
              </w:rPr>
            </w:pPr>
            <w:r w:rsidRPr="00602F49">
              <w:rPr>
                <w:color w:val="000000"/>
                <w:sz w:val="20"/>
                <w:szCs w:val="20"/>
              </w:rPr>
              <w:t>3.1</w:t>
            </w:r>
          </w:p>
        </w:tc>
      </w:tr>
      <w:tr w:rsidR="00E14718" w:rsidRPr="00C44987" w:rsidTr="00602F49">
        <w:tc>
          <w:tcPr>
            <w:tcW w:w="1925" w:type="dxa"/>
            <w:vAlign w:val="bottom"/>
          </w:tcPr>
          <w:p w:rsidR="00E14718" w:rsidRPr="00C83556" w:rsidRDefault="00E14718" w:rsidP="00E14718">
            <w:pPr>
              <w:pStyle w:val="EYAppendixHeading2"/>
              <w:rPr>
                <w:b w:val="0"/>
                <w:color w:val="000000"/>
                <w:sz w:val="20"/>
                <w:szCs w:val="20"/>
                <w:lang w:eastAsia="en-AU"/>
              </w:rPr>
            </w:pPr>
            <w:r w:rsidRPr="00C83556">
              <w:rPr>
                <w:color w:val="000000"/>
                <w:sz w:val="20"/>
                <w:szCs w:val="20"/>
              </w:rPr>
              <w:t>Stadiums</w:t>
            </w:r>
          </w:p>
        </w:tc>
        <w:tc>
          <w:tcPr>
            <w:tcW w:w="1925" w:type="dxa"/>
          </w:tcPr>
          <w:p w:rsidR="00E14718" w:rsidRPr="00C83556" w:rsidRDefault="00E14718" w:rsidP="00621623">
            <w:pPr>
              <w:pStyle w:val="EYTableText"/>
              <w:keepNext/>
              <w:jc w:val="right"/>
              <w:rPr>
                <w:color w:val="000000"/>
                <w:sz w:val="20"/>
                <w:szCs w:val="20"/>
              </w:rPr>
            </w:pPr>
            <w:r w:rsidRPr="00C83556">
              <w:rPr>
                <w:color w:val="000000"/>
                <w:sz w:val="20"/>
                <w:szCs w:val="20"/>
              </w:rPr>
              <w:t>$4,209,345</w:t>
            </w:r>
          </w:p>
        </w:tc>
        <w:tc>
          <w:tcPr>
            <w:tcW w:w="1925" w:type="dxa"/>
          </w:tcPr>
          <w:p w:rsidR="00E14718" w:rsidRPr="00602F49" w:rsidRDefault="00E14718" w:rsidP="00621623">
            <w:pPr>
              <w:pStyle w:val="EYTableText"/>
              <w:keepNext/>
              <w:jc w:val="right"/>
              <w:rPr>
                <w:color w:val="000000"/>
                <w:sz w:val="20"/>
                <w:szCs w:val="20"/>
              </w:rPr>
            </w:pPr>
            <w:r w:rsidRPr="00602F49">
              <w:rPr>
                <w:color w:val="000000"/>
                <w:sz w:val="20"/>
                <w:szCs w:val="20"/>
              </w:rPr>
              <w:t>$996,768</w:t>
            </w:r>
          </w:p>
        </w:tc>
        <w:tc>
          <w:tcPr>
            <w:tcW w:w="1926" w:type="dxa"/>
          </w:tcPr>
          <w:p w:rsidR="00E14718" w:rsidRPr="00602F49" w:rsidRDefault="00E14718" w:rsidP="00621623">
            <w:pPr>
              <w:pStyle w:val="EYTableText"/>
              <w:keepNext/>
              <w:jc w:val="right"/>
              <w:rPr>
                <w:color w:val="000000"/>
                <w:sz w:val="20"/>
                <w:szCs w:val="20"/>
              </w:rPr>
            </w:pPr>
            <w:r w:rsidRPr="00602F49">
              <w:rPr>
                <w:color w:val="000000"/>
                <w:sz w:val="20"/>
                <w:szCs w:val="20"/>
              </w:rPr>
              <w:t>$3,212,577</w:t>
            </w:r>
          </w:p>
        </w:tc>
        <w:tc>
          <w:tcPr>
            <w:tcW w:w="1792" w:type="dxa"/>
          </w:tcPr>
          <w:p w:rsidR="00E14718" w:rsidRPr="00602F49" w:rsidRDefault="00E14718" w:rsidP="00621623">
            <w:pPr>
              <w:pStyle w:val="EYTableText"/>
              <w:keepNext/>
              <w:jc w:val="right"/>
              <w:rPr>
                <w:color w:val="000000"/>
                <w:sz w:val="20"/>
                <w:szCs w:val="20"/>
              </w:rPr>
            </w:pPr>
            <w:r w:rsidRPr="00602F49">
              <w:rPr>
                <w:color w:val="000000"/>
                <w:sz w:val="20"/>
                <w:szCs w:val="20"/>
              </w:rPr>
              <w:t>4.2</w:t>
            </w:r>
          </w:p>
        </w:tc>
      </w:tr>
      <w:tr w:rsidR="00E14718" w:rsidRPr="00C44987" w:rsidTr="00602F49">
        <w:tc>
          <w:tcPr>
            <w:tcW w:w="1925" w:type="dxa"/>
            <w:vAlign w:val="bottom"/>
          </w:tcPr>
          <w:p w:rsidR="00E14718" w:rsidRPr="00C83556" w:rsidRDefault="00E14718" w:rsidP="00E14718">
            <w:pPr>
              <w:pStyle w:val="EYAppendixHeading2"/>
              <w:rPr>
                <w:b w:val="0"/>
                <w:color w:val="000000"/>
                <w:sz w:val="20"/>
                <w:szCs w:val="20"/>
                <w:lang w:eastAsia="en-AU"/>
              </w:rPr>
            </w:pPr>
            <w:r w:rsidRPr="00C83556">
              <w:rPr>
                <w:color w:val="000000"/>
                <w:sz w:val="20"/>
                <w:szCs w:val="20"/>
              </w:rPr>
              <w:t xml:space="preserve">Public </w:t>
            </w:r>
            <w:r w:rsidR="005E7D80">
              <w:rPr>
                <w:color w:val="000000"/>
                <w:sz w:val="20"/>
                <w:szCs w:val="20"/>
              </w:rPr>
              <w:t>A</w:t>
            </w:r>
            <w:r w:rsidRPr="00C83556">
              <w:rPr>
                <w:color w:val="000000"/>
                <w:sz w:val="20"/>
                <w:szCs w:val="20"/>
              </w:rPr>
              <w:t xml:space="preserve">quatic </w:t>
            </w:r>
            <w:r w:rsidR="005E7D80">
              <w:rPr>
                <w:color w:val="000000"/>
                <w:sz w:val="20"/>
                <w:szCs w:val="20"/>
              </w:rPr>
              <w:t>F</w:t>
            </w:r>
            <w:r w:rsidRPr="00C83556">
              <w:rPr>
                <w:color w:val="000000"/>
                <w:sz w:val="20"/>
                <w:szCs w:val="20"/>
              </w:rPr>
              <w:t>acilities</w:t>
            </w:r>
          </w:p>
        </w:tc>
        <w:tc>
          <w:tcPr>
            <w:tcW w:w="1925" w:type="dxa"/>
          </w:tcPr>
          <w:p w:rsidR="00E14718" w:rsidRPr="00C83556" w:rsidRDefault="00E14718" w:rsidP="00621623">
            <w:pPr>
              <w:pStyle w:val="EYTableText"/>
              <w:keepNext/>
              <w:jc w:val="right"/>
              <w:rPr>
                <w:color w:val="000000"/>
                <w:sz w:val="20"/>
                <w:szCs w:val="20"/>
              </w:rPr>
            </w:pPr>
            <w:r w:rsidRPr="00C83556">
              <w:rPr>
                <w:color w:val="000000"/>
                <w:sz w:val="20"/>
                <w:szCs w:val="20"/>
              </w:rPr>
              <w:t>$22,226,290</w:t>
            </w:r>
          </w:p>
        </w:tc>
        <w:tc>
          <w:tcPr>
            <w:tcW w:w="1925" w:type="dxa"/>
          </w:tcPr>
          <w:p w:rsidR="00E14718" w:rsidRPr="00602F49" w:rsidRDefault="00E14718" w:rsidP="00621623">
            <w:pPr>
              <w:pStyle w:val="EYTableText"/>
              <w:keepNext/>
              <w:jc w:val="right"/>
              <w:rPr>
                <w:color w:val="000000"/>
                <w:sz w:val="20"/>
                <w:szCs w:val="20"/>
              </w:rPr>
            </w:pPr>
            <w:r w:rsidRPr="00602F49">
              <w:rPr>
                <w:color w:val="000000"/>
                <w:sz w:val="20"/>
                <w:szCs w:val="20"/>
              </w:rPr>
              <w:t>$6,049,351</w:t>
            </w:r>
          </w:p>
        </w:tc>
        <w:tc>
          <w:tcPr>
            <w:tcW w:w="1926" w:type="dxa"/>
          </w:tcPr>
          <w:p w:rsidR="00E14718" w:rsidRPr="00602F49" w:rsidRDefault="00E14718" w:rsidP="00621623">
            <w:pPr>
              <w:pStyle w:val="EYTableText"/>
              <w:keepNext/>
              <w:jc w:val="right"/>
              <w:rPr>
                <w:color w:val="000000"/>
                <w:sz w:val="20"/>
                <w:szCs w:val="20"/>
              </w:rPr>
            </w:pPr>
            <w:r w:rsidRPr="00602F49">
              <w:rPr>
                <w:color w:val="000000"/>
                <w:sz w:val="20"/>
                <w:szCs w:val="20"/>
              </w:rPr>
              <w:t>$16,176,940</w:t>
            </w:r>
          </w:p>
        </w:tc>
        <w:tc>
          <w:tcPr>
            <w:tcW w:w="1792" w:type="dxa"/>
          </w:tcPr>
          <w:p w:rsidR="00E14718" w:rsidRPr="00602F49" w:rsidRDefault="00E14718" w:rsidP="00621623">
            <w:pPr>
              <w:pStyle w:val="EYTableText"/>
              <w:keepNext/>
              <w:jc w:val="right"/>
              <w:rPr>
                <w:color w:val="000000"/>
                <w:sz w:val="20"/>
                <w:szCs w:val="20"/>
              </w:rPr>
            </w:pPr>
            <w:r w:rsidRPr="00602F49">
              <w:rPr>
                <w:color w:val="000000"/>
                <w:sz w:val="20"/>
                <w:szCs w:val="20"/>
              </w:rPr>
              <w:t>3.7</w:t>
            </w:r>
          </w:p>
        </w:tc>
      </w:tr>
      <w:tr w:rsidR="00E14718" w:rsidRPr="00C44987" w:rsidTr="00602F49">
        <w:tc>
          <w:tcPr>
            <w:tcW w:w="1925" w:type="dxa"/>
            <w:vAlign w:val="bottom"/>
          </w:tcPr>
          <w:p w:rsidR="00E14718" w:rsidRPr="00C83556" w:rsidRDefault="00E14718" w:rsidP="00E14718">
            <w:pPr>
              <w:pStyle w:val="EYAppendixHeading2"/>
              <w:rPr>
                <w:b w:val="0"/>
                <w:color w:val="000000"/>
                <w:sz w:val="20"/>
                <w:szCs w:val="20"/>
                <w:lang w:eastAsia="en-AU"/>
              </w:rPr>
            </w:pPr>
            <w:r w:rsidRPr="00C83556">
              <w:rPr>
                <w:color w:val="000000"/>
                <w:sz w:val="20"/>
                <w:szCs w:val="20"/>
              </w:rPr>
              <w:t xml:space="preserve">Total </w:t>
            </w:r>
          </w:p>
        </w:tc>
        <w:tc>
          <w:tcPr>
            <w:tcW w:w="1925" w:type="dxa"/>
          </w:tcPr>
          <w:p w:rsidR="00E14718" w:rsidRPr="00602F49" w:rsidRDefault="00E14718" w:rsidP="00621623">
            <w:pPr>
              <w:pStyle w:val="EYTableText"/>
              <w:keepNext/>
              <w:jc w:val="right"/>
              <w:rPr>
                <w:color w:val="000000"/>
                <w:sz w:val="20"/>
                <w:szCs w:val="20"/>
              </w:rPr>
            </w:pPr>
            <w:r w:rsidRPr="00602F49">
              <w:rPr>
                <w:color w:val="000000"/>
                <w:sz w:val="20"/>
                <w:szCs w:val="20"/>
              </w:rPr>
              <w:t>$194,201,176</w:t>
            </w:r>
          </w:p>
        </w:tc>
        <w:tc>
          <w:tcPr>
            <w:tcW w:w="1925" w:type="dxa"/>
          </w:tcPr>
          <w:p w:rsidR="00E14718" w:rsidRPr="00602F49" w:rsidRDefault="00E14718" w:rsidP="00621623">
            <w:pPr>
              <w:pStyle w:val="EYTableText"/>
              <w:keepNext/>
              <w:jc w:val="right"/>
              <w:rPr>
                <w:color w:val="000000"/>
                <w:sz w:val="20"/>
                <w:szCs w:val="20"/>
              </w:rPr>
            </w:pPr>
            <w:r w:rsidRPr="00602F49">
              <w:rPr>
                <w:color w:val="000000"/>
                <w:sz w:val="20"/>
                <w:szCs w:val="20"/>
              </w:rPr>
              <w:t>$17,465,628</w:t>
            </w:r>
          </w:p>
        </w:tc>
        <w:tc>
          <w:tcPr>
            <w:tcW w:w="1926" w:type="dxa"/>
          </w:tcPr>
          <w:p w:rsidR="00E14718" w:rsidRPr="00602F49" w:rsidRDefault="00E14718" w:rsidP="00621623">
            <w:pPr>
              <w:pStyle w:val="EYTableText"/>
              <w:keepNext/>
              <w:jc w:val="right"/>
              <w:rPr>
                <w:color w:val="000000"/>
                <w:sz w:val="20"/>
                <w:szCs w:val="20"/>
              </w:rPr>
            </w:pPr>
            <w:r w:rsidRPr="00602F49">
              <w:rPr>
                <w:color w:val="000000"/>
                <w:sz w:val="20"/>
                <w:szCs w:val="20"/>
              </w:rPr>
              <w:t>$176,735,548</w:t>
            </w:r>
          </w:p>
        </w:tc>
        <w:tc>
          <w:tcPr>
            <w:tcW w:w="1792" w:type="dxa"/>
          </w:tcPr>
          <w:p w:rsidR="00E14718" w:rsidRPr="00602F49" w:rsidRDefault="00E14718" w:rsidP="00621623">
            <w:pPr>
              <w:pStyle w:val="EYTableText"/>
              <w:keepNext/>
              <w:jc w:val="right"/>
              <w:rPr>
                <w:color w:val="000000"/>
                <w:sz w:val="20"/>
                <w:szCs w:val="20"/>
              </w:rPr>
            </w:pPr>
            <w:r w:rsidRPr="00602F49">
              <w:rPr>
                <w:color w:val="000000"/>
                <w:sz w:val="20"/>
                <w:szCs w:val="20"/>
              </w:rPr>
              <w:t>11.1</w:t>
            </w:r>
          </w:p>
        </w:tc>
      </w:tr>
    </w:tbl>
    <w:p w:rsidR="006A1131" w:rsidRPr="00C133AC" w:rsidRDefault="00727FEF" w:rsidP="00191C4B">
      <w:pPr>
        <w:spacing w:after="0"/>
        <w:rPr>
          <w:rFonts w:cs="Arial"/>
          <w:sz w:val="20"/>
          <w:szCs w:val="20"/>
        </w:rPr>
      </w:pPr>
      <w:r>
        <w:rPr>
          <w:rFonts w:cs="Arial"/>
          <w:sz w:val="20"/>
          <w:szCs w:val="20"/>
        </w:rPr>
        <w:br/>
      </w:r>
      <w:r w:rsidR="006A1131" w:rsidRPr="00C133AC">
        <w:rPr>
          <w:rFonts w:cs="Arial"/>
          <w:sz w:val="20"/>
          <w:szCs w:val="20"/>
        </w:rPr>
        <w:t>Notes:</w:t>
      </w:r>
    </w:p>
    <w:p w:rsidR="00191C4B" w:rsidRPr="000A6E1B" w:rsidRDefault="006A1131" w:rsidP="00A15416">
      <w:pPr>
        <w:pStyle w:val="ListParagraph"/>
        <w:numPr>
          <w:ilvl w:val="0"/>
          <w:numId w:val="28"/>
        </w:numPr>
        <w:spacing w:after="0"/>
        <w:jc w:val="left"/>
        <w:rPr>
          <w:rFonts w:cs="Arial"/>
          <w:sz w:val="20"/>
          <w:szCs w:val="20"/>
        </w:rPr>
      </w:pPr>
      <w:r w:rsidRPr="007C0ED5">
        <w:rPr>
          <w:rFonts w:cs="Arial"/>
          <w:sz w:val="20"/>
          <w:szCs w:val="20"/>
        </w:rPr>
        <w:t>Present Values have been calculated over a ten year period for both costs and benefits using a real discount</w:t>
      </w:r>
      <w:r w:rsidRPr="000A6E1B">
        <w:rPr>
          <w:rFonts w:cs="Arial"/>
          <w:sz w:val="20"/>
          <w:szCs w:val="20"/>
        </w:rPr>
        <w:t xml:space="preserve"> rate of 7%.</w:t>
      </w:r>
      <w:r w:rsidR="0038220A">
        <w:rPr>
          <w:rStyle w:val="FootnoteReference"/>
        </w:rPr>
        <w:footnoteReference w:id="12"/>
      </w:r>
    </w:p>
    <w:p w:rsidR="008C69C0" w:rsidRPr="00E6187D" w:rsidRDefault="00AC5912" w:rsidP="008C69C0">
      <w:pPr>
        <w:pStyle w:val="ListParagraph"/>
        <w:numPr>
          <w:ilvl w:val="0"/>
          <w:numId w:val="28"/>
        </w:numPr>
        <w:spacing w:after="0"/>
        <w:jc w:val="left"/>
        <w:rPr>
          <w:szCs w:val="24"/>
        </w:rPr>
      </w:pPr>
      <w:r w:rsidRPr="000A6E1B">
        <w:rPr>
          <w:rFonts w:cs="Arial"/>
          <w:sz w:val="20"/>
          <w:szCs w:val="20"/>
        </w:rPr>
        <w:t xml:space="preserve">The findings above should be read in conjunction with the assumptions detailed in </w:t>
      </w:r>
      <w:r w:rsidRPr="00B661BB">
        <w:rPr>
          <w:rFonts w:cs="Arial"/>
          <w:sz w:val="20"/>
          <w:szCs w:val="20"/>
        </w:rPr>
        <w:fldChar w:fldCharType="begin"/>
      </w:r>
      <w:r w:rsidRPr="00B661BB">
        <w:rPr>
          <w:rFonts w:cs="Arial"/>
          <w:sz w:val="20"/>
          <w:szCs w:val="20"/>
        </w:rPr>
        <w:instrText xml:space="preserve"> REF _Ref506811113 \r \h </w:instrText>
      </w:r>
      <w:r w:rsidR="0038078D" w:rsidRPr="00B661BB">
        <w:rPr>
          <w:rFonts w:cs="Arial"/>
          <w:sz w:val="20"/>
          <w:szCs w:val="20"/>
        </w:rPr>
        <w:instrText xml:space="preserve"> \* MERGEFORMAT </w:instrText>
      </w:r>
      <w:r w:rsidRPr="00B661BB">
        <w:rPr>
          <w:rFonts w:cs="Arial"/>
          <w:sz w:val="20"/>
          <w:szCs w:val="20"/>
        </w:rPr>
      </w:r>
      <w:r w:rsidRPr="00B661BB">
        <w:rPr>
          <w:rFonts w:cs="Arial"/>
          <w:sz w:val="20"/>
          <w:szCs w:val="20"/>
        </w:rPr>
        <w:fldChar w:fldCharType="separate"/>
      </w:r>
      <w:r w:rsidR="00910A73">
        <w:rPr>
          <w:rFonts w:cs="Arial"/>
          <w:sz w:val="20"/>
          <w:szCs w:val="20"/>
        </w:rPr>
        <w:t>Appendix A</w:t>
      </w:r>
      <w:r w:rsidRPr="00B661BB">
        <w:rPr>
          <w:rFonts w:cs="Arial"/>
          <w:sz w:val="20"/>
          <w:szCs w:val="20"/>
        </w:rPr>
        <w:fldChar w:fldCharType="end"/>
      </w:r>
      <w:r w:rsidR="000F6016" w:rsidRPr="00B661BB">
        <w:rPr>
          <w:rFonts w:cs="Arial"/>
          <w:sz w:val="20"/>
          <w:szCs w:val="20"/>
        </w:rPr>
        <w:t>.</w:t>
      </w:r>
    </w:p>
    <w:p w:rsidR="008C69C0" w:rsidRPr="008C69C0" w:rsidRDefault="00CC6F6D" w:rsidP="008C69C0">
      <w:pPr>
        <w:pStyle w:val="ListParagraph"/>
        <w:numPr>
          <w:ilvl w:val="0"/>
          <w:numId w:val="28"/>
        </w:numPr>
        <w:spacing w:after="0"/>
        <w:jc w:val="left"/>
        <w:rPr>
          <w:szCs w:val="24"/>
        </w:rPr>
      </w:pPr>
      <w:r w:rsidRPr="00CC6F6D">
        <w:rPr>
          <w:rFonts w:cs="Arial"/>
          <w:sz w:val="20"/>
          <w:szCs w:val="20"/>
        </w:rPr>
        <w:t>Whole-of-</w:t>
      </w:r>
      <w:r w:rsidR="008C69C0" w:rsidRPr="00E6187D">
        <w:rPr>
          <w:rFonts w:cs="Arial"/>
          <w:sz w:val="20"/>
          <w:szCs w:val="20"/>
        </w:rPr>
        <w:t xml:space="preserve">economy </w:t>
      </w:r>
      <w:r>
        <w:rPr>
          <w:rFonts w:cs="Arial"/>
          <w:sz w:val="20"/>
          <w:szCs w:val="20"/>
        </w:rPr>
        <w:t>impacts</w:t>
      </w:r>
      <w:r w:rsidR="008C69C0" w:rsidRPr="00E6187D">
        <w:rPr>
          <w:rFonts w:cs="Arial"/>
          <w:sz w:val="20"/>
          <w:szCs w:val="20"/>
        </w:rPr>
        <w:t xml:space="preserve"> are derived by multiplying the estimated benefits per trip and break-even points from the case studies by the assumed number of buildings of each type expected to be developed over the next 10 years</w:t>
      </w:r>
    </w:p>
    <w:p w:rsidR="0042716B" w:rsidRDefault="0042716B" w:rsidP="009260BA">
      <w:pPr>
        <w:pStyle w:val="EYAppendixHeading2"/>
      </w:pPr>
    </w:p>
    <w:p w:rsidR="00EF52A1" w:rsidRDefault="00EF52A1" w:rsidP="009260BA">
      <w:pPr>
        <w:pStyle w:val="EYAppendixHeading2"/>
      </w:pPr>
      <w:r>
        <w:t>Qualitative Results</w:t>
      </w:r>
    </w:p>
    <w:p w:rsidR="00325A73" w:rsidRDefault="00C9723C" w:rsidP="0022711B">
      <w:pPr>
        <w:pStyle w:val="EYBodytextwithparaspace"/>
      </w:pPr>
      <w:r>
        <w:t>Based on</w:t>
      </w:r>
      <w:r w:rsidR="005B7B54">
        <w:t xml:space="preserve"> </w:t>
      </w:r>
      <w:r w:rsidR="00D54B46">
        <w:t>in</w:t>
      </w:r>
      <w:r w:rsidR="00E00517">
        <w:t>-</w:t>
      </w:r>
      <w:r w:rsidR="00D54B46">
        <w:t>depth consultations</w:t>
      </w:r>
      <w:r w:rsidR="005B7B54">
        <w:t xml:space="preserve"> and stakeholder feedback</w:t>
      </w:r>
      <w:r w:rsidR="00D54B46">
        <w:t>, t</w:t>
      </w:r>
      <w:r w:rsidR="00EF52A1">
        <w:t xml:space="preserve">he qualitative benefits that </w:t>
      </w:r>
      <w:r w:rsidR="009A2528">
        <w:t xml:space="preserve">might </w:t>
      </w:r>
      <w:r w:rsidR="00EF52A1">
        <w:t xml:space="preserve">result from the provision of </w:t>
      </w:r>
      <w:r w:rsidR="009A2528">
        <w:t>AACFs</w:t>
      </w:r>
      <w:r w:rsidR="00EF52A1">
        <w:t xml:space="preserve"> being mandated </w:t>
      </w:r>
      <w:r w:rsidR="009A2528">
        <w:t xml:space="preserve">in selected buildings </w:t>
      </w:r>
      <w:r w:rsidR="00EF52A1">
        <w:t xml:space="preserve">are listed in </w:t>
      </w:r>
      <w:r w:rsidR="005537A1">
        <w:fldChar w:fldCharType="begin"/>
      </w:r>
      <w:r w:rsidR="005537A1">
        <w:instrText xml:space="preserve"> REF _Ref521486952 \h </w:instrText>
      </w:r>
      <w:r w:rsidR="005537A1">
        <w:fldChar w:fldCharType="separate"/>
      </w:r>
      <w:r w:rsidR="00910A73" w:rsidRPr="001B6099">
        <w:t xml:space="preserve">Table </w:t>
      </w:r>
      <w:r w:rsidR="00910A73">
        <w:rPr>
          <w:noProof/>
        </w:rPr>
        <w:t>0</w:t>
      </w:r>
      <w:r w:rsidR="00910A73" w:rsidRPr="001B6099">
        <w:noBreakHyphen/>
      </w:r>
      <w:r w:rsidR="00910A73">
        <w:rPr>
          <w:noProof/>
        </w:rPr>
        <w:t>2</w:t>
      </w:r>
      <w:r w:rsidR="005537A1">
        <w:fldChar w:fldCharType="end"/>
      </w:r>
      <w:r w:rsidR="00B0678D">
        <w:t>.</w:t>
      </w:r>
    </w:p>
    <w:p w:rsidR="00EF52A1" w:rsidRPr="001B6099" w:rsidRDefault="00325A73" w:rsidP="001B6099">
      <w:pPr>
        <w:pStyle w:val="Caption"/>
      </w:pPr>
      <w:bookmarkStart w:id="18" w:name="_Ref521486952"/>
      <w:bookmarkStart w:id="19" w:name="_Toc525897811"/>
      <w:r w:rsidRPr="001B6099">
        <w:t xml:space="preserve">Table </w:t>
      </w:r>
      <w:r w:rsidR="0093097C">
        <w:rPr>
          <w:noProof/>
        </w:rPr>
        <w:fldChar w:fldCharType="begin"/>
      </w:r>
      <w:r w:rsidR="0093097C">
        <w:rPr>
          <w:noProof/>
        </w:rPr>
        <w:instrText xml:space="preserve"> STYLEREF 1 \s </w:instrText>
      </w:r>
      <w:r w:rsidR="0093097C">
        <w:rPr>
          <w:noProof/>
        </w:rPr>
        <w:fldChar w:fldCharType="separate"/>
      </w:r>
      <w:r w:rsidR="00910A73">
        <w:rPr>
          <w:noProof/>
        </w:rPr>
        <w:t>0</w:t>
      </w:r>
      <w:r w:rsidR="0093097C">
        <w:rPr>
          <w:noProof/>
        </w:rPr>
        <w:fldChar w:fldCharType="end"/>
      </w:r>
      <w:r w:rsidRPr="001B6099">
        <w:noBreakHyphen/>
      </w:r>
      <w:r w:rsidR="0093097C">
        <w:rPr>
          <w:noProof/>
        </w:rPr>
        <w:fldChar w:fldCharType="begin"/>
      </w:r>
      <w:r w:rsidR="0093097C">
        <w:rPr>
          <w:noProof/>
        </w:rPr>
        <w:instrText xml:space="preserve"> SEQ Table \* ARABIC \s 1 </w:instrText>
      </w:r>
      <w:r w:rsidR="0093097C">
        <w:rPr>
          <w:noProof/>
        </w:rPr>
        <w:fldChar w:fldCharType="separate"/>
      </w:r>
      <w:r w:rsidR="00910A73">
        <w:rPr>
          <w:noProof/>
        </w:rPr>
        <w:t>2</w:t>
      </w:r>
      <w:r w:rsidR="0093097C">
        <w:rPr>
          <w:noProof/>
        </w:rPr>
        <w:fldChar w:fldCharType="end"/>
      </w:r>
      <w:bookmarkEnd w:id="18"/>
      <w:r w:rsidR="00EF52A1" w:rsidRPr="001B6099">
        <w:t>: Summary of qualitative benefits</w:t>
      </w:r>
      <w:bookmarkEnd w:id="19"/>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57" w:type="dxa"/>
          <w:right w:w="57" w:type="dxa"/>
        </w:tblCellMar>
        <w:tblLook w:val="04A0" w:firstRow="1" w:lastRow="0" w:firstColumn="1" w:lastColumn="0" w:noHBand="0" w:noVBand="1"/>
        <w:tblCaption w:val="Table 0 2: Summary of qualitative benefits"/>
        <w:tblDescription w:val="A summary of the qualitative benefits."/>
      </w:tblPr>
      <w:tblGrid>
        <w:gridCol w:w="1211"/>
        <w:gridCol w:w="4536"/>
        <w:gridCol w:w="3880"/>
      </w:tblGrid>
      <w:tr w:rsidR="00EF52A1" w:rsidRPr="00145D1B" w:rsidTr="001B6099">
        <w:trPr>
          <w:tblHeader/>
        </w:trPr>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rsidR="00EF52A1" w:rsidRPr="00602F49" w:rsidRDefault="00EF52A1" w:rsidP="001B6099">
            <w:pPr>
              <w:pStyle w:val="EYTableHeadingWhite"/>
              <w:rPr>
                <w:sz w:val="20"/>
                <w:szCs w:val="20"/>
              </w:rPr>
            </w:pPr>
            <w:r w:rsidRPr="00602F49">
              <w:rPr>
                <w:sz w:val="20"/>
                <w:szCs w:val="20"/>
              </w:rPr>
              <w:t>Group</w:t>
            </w:r>
          </w:p>
        </w:tc>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rsidR="00EF52A1" w:rsidRPr="00602F49" w:rsidRDefault="00EF52A1" w:rsidP="001B6099">
            <w:pPr>
              <w:pStyle w:val="EYTableHeadingWhite"/>
              <w:rPr>
                <w:sz w:val="20"/>
                <w:szCs w:val="20"/>
              </w:rPr>
            </w:pPr>
            <w:r w:rsidRPr="00602F49">
              <w:rPr>
                <w:sz w:val="20"/>
                <w:szCs w:val="20"/>
              </w:rPr>
              <w:t>Short term benefits</w:t>
            </w:r>
          </w:p>
        </w:tc>
        <w:tc>
          <w:tcPr>
            <w:tcW w:w="36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rsidR="00EF52A1" w:rsidRPr="00602F49" w:rsidRDefault="00EF52A1" w:rsidP="001B6099">
            <w:pPr>
              <w:pStyle w:val="EYTableHeadingWhite"/>
              <w:rPr>
                <w:sz w:val="20"/>
                <w:szCs w:val="20"/>
              </w:rPr>
            </w:pPr>
            <w:r w:rsidRPr="00602F49">
              <w:rPr>
                <w:sz w:val="20"/>
                <w:szCs w:val="20"/>
              </w:rPr>
              <w:t>Long term benefits</w:t>
            </w:r>
          </w:p>
        </w:tc>
      </w:tr>
      <w:tr w:rsidR="00EF52A1" w:rsidRPr="00145D1B" w:rsidTr="001B6099">
        <w:tc>
          <w:tcPr>
            <w:tcW w:w="1134" w:type="dxa"/>
            <w:tcBorders>
              <w:top w:val="single" w:sz="4" w:space="0" w:color="FFFFFF" w:themeColor="background1"/>
            </w:tcBorders>
            <w:shd w:val="clear" w:color="auto" w:fill="D9D9D9" w:themeFill="background1" w:themeFillShade="D9"/>
          </w:tcPr>
          <w:p w:rsidR="00EF52A1" w:rsidRPr="00C83556" w:rsidRDefault="00EF52A1" w:rsidP="001B6099">
            <w:pPr>
              <w:jc w:val="left"/>
              <w:rPr>
                <w:rFonts w:cs="Arial"/>
                <w:b/>
                <w:sz w:val="20"/>
                <w:szCs w:val="20"/>
              </w:rPr>
            </w:pPr>
            <w:r w:rsidRPr="00C83556">
              <w:rPr>
                <w:rFonts w:cs="Arial"/>
                <w:b/>
                <w:sz w:val="20"/>
                <w:szCs w:val="20"/>
              </w:rPr>
              <w:t xml:space="preserve">Person with a </w:t>
            </w:r>
            <w:r w:rsidR="006B28B8" w:rsidRPr="00C83556">
              <w:rPr>
                <w:rFonts w:cs="Arial"/>
                <w:b/>
                <w:sz w:val="20"/>
                <w:szCs w:val="20"/>
              </w:rPr>
              <w:t>d</w:t>
            </w:r>
            <w:r w:rsidRPr="00C83556">
              <w:rPr>
                <w:rFonts w:cs="Arial"/>
                <w:b/>
                <w:sz w:val="20"/>
                <w:szCs w:val="20"/>
              </w:rPr>
              <w:t>isability</w:t>
            </w:r>
          </w:p>
        </w:tc>
        <w:tc>
          <w:tcPr>
            <w:tcW w:w="4248" w:type="dxa"/>
            <w:tcBorders>
              <w:top w:val="single" w:sz="4" w:space="0" w:color="FFFFFF" w:themeColor="background1"/>
            </w:tcBorders>
            <w:shd w:val="clear" w:color="auto" w:fill="auto"/>
          </w:tcPr>
          <w:p w:rsidR="00EF52A1" w:rsidRPr="00602F49" w:rsidRDefault="00EF52A1" w:rsidP="001B6099">
            <w:pPr>
              <w:pStyle w:val="EYTablebullet1"/>
              <w:rPr>
                <w:sz w:val="20"/>
                <w:szCs w:val="20"/>
              </w:rPr>
            </w:pPr>
            <w:r w:rsidRPr="00602F49">
              <w:rPr>
                <w:sz w:val="20"/>
                <w:szCs w:val="20"/>
              </w:rPr>
              <w:t>Toileting needs are met and equal access to facilities is provided</w:t>
            </w:r>
            <w:r w:rsidR="00C87C18" w:rsidRPr="00602F49">
              <w:rPr>
                <w:sz w:val="20"/>
                <w:szCs w:val="20"/>
              </w:rPr>
              <w:t>.</w:t>
            </w:r>
          </w:p>
          <w:p w:rsidR="00EF52A1" w:rsidRPr="00602F49" w:rsidRDefault="00EF52A1" w:rsidP="001B6099">
            <w:pPr>
              <w:pStyle w:val="EYTablebullet1"/>
              <w:rPr>
                <w:sz w:val="20"/>
                <w:szCs w:val="20"/>
              </w:rPr>
            </w:pPr>
            <w:r w:rsidRPr="00602F49">
              <w:rPr>
                <w:sz w:val="20"/>
                <w:szCs w:val="20"/>
              </w:rPr>
              <w:t xml:space="preserve">Longer attendance at Class 6 shopping centres or </w:t>
            </w:r>
            <w:r w:rsidR="006B28B8" w:rsidRPr="00602F49">
              <w:rPr>
                <w:sz w:val="20"/>
                <w:szCs w:val="20"/>
              </w:rPr>
              <w:t>Class 9b</w:t>
            </w:r>
            <w:r w:rsidRPr="00602F49">
              <w:rPr>
                <w:sz w:val="20"/>
                <w:szCs w:val="20"/>
              </w:rPr>
              <w:t xml:space="preserve"> assembly buildings</w:t>
            </w:r>
            <w:r w:rsidR="005E7D80">
              <w:rPr>
                <w:sz w:val="20"/>
                <w:szCs w:val="20"/>
              </w:rPr>
              <w:t>.</w:t>
            </w:r>
          </w:p>
          <w:p w:rsidR="00EF52A1" w:rsidRPr="00602F49" w:rsidRDefault="00C87C18" w:rsidP="001B6099">
            <w:pPr>
              <w:pStyle w:val="EYTablebullet1"/>
              <w:rPr>
                <w:sz w:val="20"/>
                <w:szCs w:val="20"/>
              </w:rPr>
            </w:pPr>
            <w:r w:rsidRPr="00602F49">
              <w:rPr>
                <w:sz w:val="20"/>
                <w:szCs w:val="20"/>
              </w:rPr>
              <w:t>Increased dignity.</w:t>
            </w:r>
          </w:p>
          <w:p w:rsidR="00EF52A1" w:rsidRPr="00602F49" w:rsidRDefault="00EF52A1" w:rsidP="001B6099">
            <w:pPr>
              <w:pStyle w:val="EYTablebullet1"/>
              <w:rPr>
                <w:sz w:val="20"/>
                <w:szCs w:val="20"/>
              </w:rPr>
            </w:pPr>
            <w:r w:rsidRPr="00602F49">
              <w:rPr>
                <w:sz w:val="20"/>
                <w:szCs w:val="20"/>
              </w:rPr>
              <w:t>Reduced social isolation and increased social cohesion</w:t>
            </w:r>
            <w:r w:rsidR="00C87C18" w:rsidRPr="00602F49">
              <w:rPr>
                <w:sz w:val="20"/>
                <w:szCs w:val="20"/>
              </w:rPr>
              <w:t>.</w:t>
            </w:r>
          </w:p>
          <w:p w:rsidR="00EF52A1" w:rsidRPr="00602F49" w:rsidRDefault="00EF52A1" w:rsidP="001B6099">
            <w:pPr>
              <w:pStyle w:val="EYTablebullet1"/>
              <w:rPr>
                <w:sz w:val="20"/>
                <w:szCs w:val="20"/>
              </w:rPr>
            </w:pPr>
            <w:r w:rsidRPr="00602F49">
              <w:rPr>
                <w:sz w:val="20"/>
                <w:szCs w:val="20"/>
              </w:rPr>
              <w:t>Reduced stress and anxiety</w:t>
            </w:r>
            <w:r w:rsidR="00C87C18" w:rsidRPr="00602F49">
              <w:rPr>
                <w:sz w:val="20"/>
                <w:szCs w:val="20"/>
              </w:rPr>
              <w:t>.</w:t>
            </w:r>
          </w:p>
          <w:p w:rsidR="00EF52A1" w:rsidRPr="00602F49" w:rsidRDefault="00EF52A1" w:rsidP="001B6099">
            <w:pPr>
              <w:pStyle w:val="EYTablebullet1"/>
              <w:rPr>
                <w:sz w:val="20"/>
                <w:szCs w:val="20"/>
              </w:rPr>
            </w:pPr>
            <w:r w:rsidRPr="00602F49">
              <w:rPr>
                <w:sz w:val="20"/>
                <w:szCs w:val="20"/>
              </w:rPr>
              <w:t>Psychological benefits for people</w:t>
            </w:r>
            <w:r w:rsidR="00C87C18" w:rsidRPr="00602F49">
              <w:rPr>
                <w:sz w:val="20"/>
                <w:szCs w:val="20"/>
              </w:rPr>
              <w:t xml:space="preserve"> with a disability from outings.</w:t>
            </w:r>
          </w:p>
          <w:p w:rsidR="00277950" w:rsidRPr="00602F49" w:rsidRDefault="00E47273" w:rsidP="001B6099">
            <w:pPr>
              <w:pStyle w:val="EYTablebullet1"/>
              <w:rPr>
                <w:sz w:val="20"/>
                <w:szCs w:val="20"/>
              </w:rPr>
            </w:pPr>
            <w:r w:rsidRPr="00602F49">
              <w:rPr>
                <w:sz w:val="20"/>
                <w:szCs w:val="20"/>
              </w:rPr>
              <w:t>Enables an i</w:t>
            </w:r>
            <w:r w:rsidR="00277950" w:rsidRPr="00602F49">
              <w:rPr>
                <w:sz w:val="20"/>
                <w:szCs w:val="20"/>
              </w:rPr>
              <w:t>ncrease in discretionary time</w:t>
            </w:r>
            <w:r w:rsidR="00C87C18" w:rsidRPr="00602F49">
              <w:rPr>
                <w:sz w:val="20"/>
                <w:szCs w:val="20"/>
              </w:rPr>
              <w:t>.</w:t>
            </w:r>
          </w:p>
        </w:tc>
        <w:tc>
          <w:tcPr>
            <w:tcW w:w="3634" w:type="dxa"/>
            <w:tcBorders>
              <w:top w:val="single" w:sz="4" w:space="0" w:color="FFFFFF" w:themeColor="background1"/>
            </w:tcBorders>
            <w:shd w:val="clear" w:color="auto" w:fill="auto"/>
          </w:tcPr>
          <w:p w:rsidR="00EF52A1" w:rsidRPr="00602F49" w:rsidRDefault="00EF52A1" w:rsidP="001B6099">
            <w:pPr>
              <w:pStyle w:val="EYTablebullet1"/>
              <w:rPr>
                <w:sz w:val="20"/>
                <w:szCs w:val="20"/>
              </w:rPr>
            </w:pPr>
            <w:r w:rsidRPr="00602F49">
              <w:rPr>
                <w:sz w:val="20"/>
                <w:szCs w:val="20"/>
              </w:rPr>
              <w:t>Improved quality of life, wellbeing and mental health outcomes</w:t>
            </w:r>
            <w:r w:rsidR="00C87C18" w:rsidRPr="00602F49">
              <w:rPr>
                <w:sz w:val="20"/>
                <w:szCs w:val="20"/>
              </w:rPr>
              <w:t>.</w:t>
            </w:r>
          </w:p>
          <w:p w:rsidR="00EF52A1" w:rsidRPr="00602F49" w:rsidRDefault="00C87C18" w:rsidP="001B6099">
            <w:pPr>
              <w:pStyle w:val="EYTablebullet1"/>
              <w:rPr>
                <w:sz w:val="20"/>
                <w:szCs w:val="20"/>
              </w:rPr>
            </w:pPr>
            <w:r w:rsidRPr="00602F49">
              <w:rPr>
                <w:sz w:val="20"/>
                <w:szCs w:val="20"/>
              </w:rPr>
              <w:t>Improved community inclusion.</w:t>
            </w:r>
          </w:p>
          <w:p w:rsidR="00EF52A1" w:rsidRPr="00602F49" w:rsidRDefault="00EF52A1" w:rsidP="001B6099">
            <w:pPr>
              <w:pStyle w:val="EYTablebullet1"/>
              <w:rPr>
                <w:sz w:val="20"/>
                <w:szCs w:val="20"/>
              </w:rPr>
            </w:pPr>
            <w:r w:rsidRPr="00602F49">
              <w:rPr>
                <w:sz w:val="20"/>
                <w:szCs w:val="20"/>
              </w:rPr>
              <w:t>Improved social participation</w:t>
            </w:r>
            <w:r w:rsidR="00C87C18" w:rsidRPr="00602F49">
              <w:rPr>
                <w:sz w:val="20"/>
                <w:szCs w:val="20"/>
              </w:rPr>
              <w:t>.</w:t>
            </w:r>
          </w:p>
          <w:p w:rsidR="00EF52A1" w:rsidRPr="00602F49" w:rsidRDefault="00EF52A1" w:rsidP="001B6099">
            <w:pPr>
              <w:pStyle w:val="EYTablebullet1"/>
              <w:rPr>
                <w:sz w:val="20"/>
                <w:szCs w:val="20"/>
              </w:rPr>
            </w:pPr>
            <w:r w:rsidRPr="00602F49">
              <w:rPr>
                <w:sz w:val="20"/>
                <w:szCs w:val="20"/>
              </w:rPr>
              <w:t>Increased opportunities to engage with the workforce</w:t>
            </w:r>
            <w:r w:rsidR="00C87C18" w:rsidRPr="00602F49">
              <w:rPr>
                <w:sz w:val="20"/>
                <w:szCs w:val="20"/>
              </w:rPr>
              <w:t>.</w:t>
            </w:r>
          </w:p>
          <w:p w:rsidR="00EF52A1" w:rsidRPr="00602F49" w:rsidRDefault="00EF52A1" w:rsidP="001B6099">
            <w:pPr>
              <w:pStyle w:val="EYTablebullet1"/>
              <w:rPr>
                <w:sz w:val="20"/>
                <w:szCs w:val="20"/>
              </w:rPr>
            </w:pPr>
            <w:r w:rsidRPr="00602F49">
              <w:rPr>
                <w:sz w:val="20"/>
                <w:szCs w:val="20"/>
              </w:rPr>
              <w:t>Reduced reliance on social welfare and / or insurance</w:t>
            </w:r>
            <w:r w:rsidR="00C87C18" w:rsidRPr="00602F49">
              <w:rPr>
                <w:sz w:val="20"/>
                <w:szCs w:val="20"/>
              </w:rPr>
              <w:t>.</w:t>
            </w:r>
          </w:p>
          <w:p w:rsidR="00A013C6" w:rsidRPr="00602F49" w:rsidRDefault="00A013C6" w:rsidP="001B6099">
            <w:pPr>
              <w:pStyle w:val="EYTablebullet1"/>
              <w:rPr>
                <w:sz w:val="20"/>
                <w:szCs w:val="20"/>
              </w:rPr>
            </w:pPr>
            <w:r w:rsidRPr="00602F49">
              <w:rPr>
                <w:sz w:val="20"/>
                <w:szCs w:val="20"/>
              </w:rPr>
              <w:t>Greater personal freedom and empowerment</w:t>
            </w:r>
            <w:r w:rsidR="00C87C18" w:rsidRPr="00602F49">
              <w:rPr>
                <w:sz w:val="20"/>
                <w:szCs w:val="20"/>
              </w:rPr>
              <w:t>.</w:t>
            </w:r>
          </w:p>
        </w:tc>
      </w:tr>
      <w:tr w:rsidR="00EF52A1" w:rsidRPr="00145D1B" w:rsidTr="001B6099">
        <w:tc>
          <w:tcPr>
            <w:tcW w:w="1134" w:type="dxa"/>
            <w:shd w:val="clear" w:color="auto" w:fill="D9D9D9" w:themeFill="background1" w:themeFillShade="D9"/>
          </w:tcPr>
          <w:p w:rsidR="00EF52A1" w:rsidRPr="00C83556" w:rsidRDefault="00EF52A1" w:rsidP="001B6099">
            <w:pPr>
              <w:jc w:val="left"/>
              <w:rPr>
                <w:rFonts w:cs="Arial"/>
                <w:b/>
                <w:sz w:val="20"/>
                <w:szCs w:val="20"/>
              </w:rPr>
            </w:pPr>
            <w:r w:rsidRPr="00C83556">
              <w:rPr>
                <w:rFonts w:cs="Arial"/>
                <w:b/>
                <w:sz w:val="20"/>
                <w:szCs w:val="20"/>
              </w:rPr>
              <w:t>Carer</w:t>
            </w:r>
          </w:p>
        </w:tc>
        <w:tc>
          <w:tcPr>
            <w:tcW w:w="4248" w:type="dxa"/>
            <w:shd w:val="clear" w:color="auto" w:fill="auto"/>
          </w:tcPr>
          <w:p w:rsidR="00EF52A1" w:rsidRPr="00602F49" w:rsidRDefault="00EF52A1" w:rsidP="001B6099">
            <w:pPr>
              <w:pStyle w:val="EYTablebullet1"/>
              <w:rPr>
                <w:sz w:val="20"/>
                <w:szCs w:val="20"/>
              </w:rPr>
            </w:pPr>
            <w:r w:rsidRPr="00602F49">
              <w:rPr>
                <w:sz w:val="20"/>
                <w:szCs w:val="20"/>
              </w:rPr>
              <w:t>Reduced stress and anxiety</w:t>
            </w:r>
            <w:r w:rsidR="00C87C18" w:rsidRPr="00602F49">
              <w:rPr>
                <w:sz w:val="20"/>
                <w:szCs w:val="20"/>
              </w:rPr>
              <w:t>.</w:t>
            </w:r>
          </w:p>
          <w:p w:rsidR="00EF52A1" w:rsidRPr="00602F49" w:rsidRDefault="00EF52A1" w:rsidP="001B6099">
            <w:pPr>
              <w:pStyle w:val="EYTablebullet1"/>
              <w:rPr>
                <w:sz w:val="20"/>
                <w:szCs w:val="20"/>
              </w:rPr>
            </w:pPr>
            <w:r w:rsidRPr="00602F49">
              <w:rPr>
                <w:sz w:val="20"/>
                <w:szCs w:val="20"/>
              </w:rPr>
              <w:t xml:space="preserve">Reduced need to change person with a </w:t>
            </w:r>
            <w:r w:rsidR="00421FCC" w:rsidRPr="00602F49">
              <w:rPr>
                <w:sz w:val="20"/>
                <w:szCs w:val="20"/>
              </w:rPr>
              <w:t xml:space="preserve">complex </w:t>
            </w:r>
            <w:r w:rsidRPr="00602F49">
              <w:rPr>
                <w:sz w:val="20"/>
                <w:szCs w:val="20"/>
              </w:rPr>
              <w:t xml:space="preserve">disability </w:t>
            </w:r>
            <w:r w:rsidR="00421FCC" w:rsidRPr="00602F49">
              <w:rPr>
                <w:sz w:val="20"/>
                <w:szCs w:val="20"/>
              </w:rPr>
              <w:t>in unsuitable environments</w:t>
            </w:r>
            <w:r w:rsidR="00C87C18" w:rsidRPr="00602F49">
              <w:rPr>
                <w:sz w:val="20"/>
                <w:szCs w:val="20"/>
              </w:rPr>
              <w:t>.</w:t>
            </w:r>
          </w:p>
          <w:p w:rsidR="00EF52A1" w:rsidRPr="00602F49" w:rsidRDefault="00EF52A1" w:rsidP="001B6099">
            <w:pPr>
              <w:pStyle w:val="EYTablebullet1"/>
              <w:rPr>
                <w:sz w:val="20"/>
                <w:szCs w:val="20"/>
              </w:rPr>
            </w:pPr>
            <w:r w:rsidRPr="00602F49">
              <w:rPr>
                <w:sz w:val="20"/>
                <w:szCs w:val="20"/>
              </w:rPr>
              <w:t xml:space="preserve">Longer attendance at Class 6 shopping centres or </w:t>
            </w:r>
            <w:r w:rsidR="006B28B8" w:rsidRPr="00602F49">
              <w:rPr>
                <w:sz w:val="20"/>
                <w:szCs w:val="20"/>
              </w:rPr>
              <w:t>Class 9b</w:t>
            </w:r>
            <w:r w:rsidRPr="00602F49">
              <w:rPr>
                <w:sz w:val="20"/>
                <w:szCs w:val="20"/>
              </w:rPr>
              <w:t xml:space="preserve"> assembly buildings</w:t>
            </w:r>
            <w:r w:rsidR="00C87C18" w:rsidRPr="00602F49">
              <w:rPr>
                <w:sz w:val="20"/>
                <w:szCs w:val="20"/>
              </w:rPr>
              <w:t>.</w:t>
            </w:r>
          </w:p>
          <w:p w:rsidR="00EF52A1" w:rsidRPr="00602F49" w:rsidRDefault="00EF52A1" w:rsidP="001B6099">
            <w:pPr>
              <w:pStyle w:val="EYTablebullet1"/>
              <w:rPr>
                <w:sz w:val="20"/>
                <w:szCs w:val="20"/>
              </w:rPr>
            </w:pPr>
            <w:r w:rsidRPr="00602F49">
              <w:rPr>
                <w:sz w:val="20"/>
                <w:szCs w:val="20"/>
              </w:rPr>
              <w:lastRenderedPageBreak/>
              <w:t>Improved social inclusion and inclusion in daily life / family activities for informal carers leading to reduced isolation</w:t>
            </w:r>
            <w:r w:rsidR="00C87C18" w:rsidRPr="00602F49">
              <w:rPr>
                <w:sz w:val="20"/>
                <w:szCs w:val="20"/>
              </w:rPr>
              <w:t>.</w:t>
            </w:r>
          </w:p>
          <w:p w:rsidR="00EF52A1" w:rsidRPr="00602F49" w:rsidRDefault="00EF52A1" w:rsidP="001B6099">
            <w:pPr>
              <w:pStyle w:val="EYTablebullet1"/>
              <w:rPr>
                <w:sz w:val="20"/>
                <w:szCs w:val="20"/>
              </w:rPr>
            </w:pPr>
            <w:r w:rsidRPr="00602F49">
              <w:rPr>
                <w:sz w:val="20"/>
                <w:szCs w:val="20"/>
              </w:rPr>
              <w:t xml:space="preserve">Reduced potential for injury in assisting person with a </w:t>
            </w:r>
            <w:r w:rsidR="00421FCC" w:rsidRPr="00602F49">
              <w:rPr>
                <w:sz w:val="20"/>
                <w:szCs w:val="20"/>
              </w:rPr>
              <w:t>complex</w:t>
            </w:r>
            <w:r w:rsidRPr="00602F49">
              <w:rPr>
                <w:sz w:val="20"/>
                <w:szCs w:val="20"/>
              </w:rPr>
              <w:t xml:space="preserve"> disability with their toileting needs</w:t>
            </w:r>
            <w:r w:rsidR="00C87C18" w:rsidRPr="00602F49">
              <w:rPr>
                <w:sz w:val="20"/>
                <w:szCs w:val="20"/>
              </w:rPr>
              <w:t>.</w:t>
            </w:r>
          </w:p>
          <w:p w:rsidR="00D01E32" w:rsidRPr="00602F49" w:rsidRDefault="00E47273" w:rsidP="001B6099">
            <w:pPr>
              <w:pStyle w:val="EYTablebullet1"/>
              <w:rPr>
                <w:sz w:val="20"/>
                <w:szCs w:val="20"/>
              </w:rPr>
            </w:pPr>
            <w:r w:rsidRPr="00602F49">
              <w:rPr>
                <w:sz w:val="20"/>
                <w:szCs w:val="20"/>
              </w:rPr>
              <w:t>Enables an i</w:t>
            </w:r>
            <w:r w:rsidR="00A013C6" w:rsidRPr="00602F49">
              <w:rPr>
                <w:sz w:val="20"/>
                <w:szCs w:val="20"/>
              </w:rPr>
              <w:t>ncrease in discretionary time</w:t>
            </w:r>
            <w:r w:rsidR="00C87C18" w:rsidRPr="00602F49">
              <w:rPr>
                <w:sz w:val="20"/>
                <w:szCs w:val="20"/>
              </w:rPr>
              <w:t>.</w:t>
            </w:r>
          </w:p>
        </w:tc>
        <w:tc>
          <w:tcPr>
            <w:tcW w:w="3634" w:type="dxa"/>
            <w:shd w:val="clear" w:color="auto" w:fill="auto"/>
          </w:tcPr>
          <w:p w:rsidR="00EF52A1" w:rsidRPr="00602F49" w:rsidRDefault="00EF52A1" w:rsidP="001B6099">
            <w:pPr>
              <w:pStyle w:val="EYTablebullet1"/>
              <w:rPr>
                <w:sz w:val="20"/>
                <w:szCs w:val="20"/>
              </w:rPr>
            </w:pPr>
            <w:r w:rsidRPr="00602F49">
              <w:rPr>
                <w:sz w:val="20"/>
                <w:szCs w:val="20"/>
              </w:rPr>
              <w:lastRenderedPageBreak/>
              <w:t>Reduced stress from caring for person with a disability</w:t>
            </w:r>
            <w:r w:rsidR="00C87C18" w:rsidRPr="00602F49">
              <w:rPr>
                <w:sz w:val="20"/>
                <w:szCs w:val="20"/>
              </w:rPr>
              <w:t>.</w:t>
            </w:r>
          </w:p>
          <w:p w:rsidR="00EF52A1" w:rsidRPr="00602F49" w:rsidRDefault="00EF52A1" w:rsidP="001B6099">
            <w:pPr>
              <w:pStyle w:val="EYTablebullet1"/>
              <w:rPr>
                <w:sz w:val="20"/>
                <w:szCs w:val="20"/>
              </w:rPr>
            </w:pPr>
            <w:r w:rsidRPr="00602F49">
              <w:rPr>
                <w:sz w:val="20"/>
                <w:szCs w:val="20"/>
              </w:rPr>
              <w:t>Improved quality of life, wellbeing and mental health outcomes for informal carers</w:t>
            </w:r>
            <w:r w:rsidR="00C87C18" w:rsidRPr="00602F49">
              <w:rPr>
                <w:sz w:val="20"/>
                <w:szCs w:val="20"/>
              </w:rPr>
              <w:t>.</w:t>
            </w:r>
          </w:p>
          <w:p w:rsidR="00EF52A1" w:rsidRPr="00602F49" w:rsidRDefault="00EF52A1" w:rsidP="001B6099">
            <w:pPr>
              <w:pStyle w:val="EYTablebullet1"/>
              <w:rPr>
                <w:sz w:val="20"/>
                <w:szCs w:val="20"/>
              </w:rPr>
            </w:pPr>
            <w:r w:rsidRPr="00602F49">
              <w:rPr>
                <w:sz w:val="20"/>
                <w:szCs w:val="20"/>
              </w:rPr>
              <w:lastRenderedPageBreak/>
              <w:t>Improved social participation for informal carers</w:t>
            </w:r>
            <w:r w:rsidR="00C87C18" w:rsidRPr="00602F49">
              <w:rPr>
                <w:sz w:val="20"/>
                <w:szCs w:val="20"/>
              </w:rPr>
              <w:t>.</w:t>
            </w:r>
          </w:p>
          <w:p w:rsidR="00D01E32" w:rsidRPr="00602F49" w:rsidRDefault="00F9234A" w:rsidP="001B6099">
            <w:pPr>
              <w:pStyle w:val="EYTablebullet1"/>
              <w:rPr>
                <w:sz w:val="20"/>
                <w:szCs w:val="20"/>
              </w:rPr>
            </w:pPr>
            <w:r w:rsidRPr="00602F49">
              <w:rPr>
                <w:sz w:val="20"/>
                <w:szCs w:val="20"/>
              </w:rPr>
              <w:t>O</w:t>
            </w:r>
            <w:r w:rsidR="00D01E32" w:rsidRPr="00602F49">
              <w:rPr>
                <w:sz w:val="20"/>
                <w:szCs w:val="20"/>
              </w:rPr>
              <w:t>pportunity to in</w:t>
            </w:r>
            <w:r w:rsidR="00C87C18" w:rsidRPr="00602F49">
              <w:rPr>
                <w:sz w:val="20"/>
                <w:szCs w:val="20"/>
              </w:rPr>
              <w:t>crease employment participation.</w:t>
            </w:r>
          </w:p>
        </w:tc>
      </w:tr>
      <w:tr w:rsidR="00EF52A1" w:rsidRPr="00145D1B" w:rsidTr="001B6099">
        <w:tc>
          <w:tcPr>
            <w:tcW w:w="1134" w:type="dxa"/>
            <w:shd w:val="clear" w:color="auto" w:fill="D9D9D9" w:themeFill="background1" w:themeFillShade="D9"/>
          </w:tcPr>
          <w:p w:rsidR="00EF52A1" w:rsidRPr="00C83556" w:rsidRDefault="00EF52A1" w:rsidP="001B6099">
            <w:pPr>
              <w:jc w:val="left"/>
              <w:rPr>
                <w:rFonts w:cs="Arial"/>
                <w:b/>
                <w:sz w:val="20"/>
                <w:szCs w:val="20"/>
              </w:rPr>
            </w:pPr>
            <w:r w:rsidRPr="00C83556">
              <w:rPr>
                <w:rFonts w:cs="Arial"/>
                <w:b/>
                <w:sz w:val="20"/>
                <w:szCs w:val="20"/>
              </w:rPr>
              <w:lastRenderedPageBreak/>
              <w:t xml:space="preserve">Society </w:t>
            </w:r>
          </w:p>
        </w:tc>
        <w:tc>
          <w:tcPr>
            <w:tcW w:w="4248" w:type="dxa"/>
            <w:shd w:val="clear" w:color="auto" w:fill="auto"/>
          </w:tcPr>
          <w:p w:rsidR="00EF52A1" w:rsidRPr="00602F49" w:rsidRDefault="00EF52A1" w:rsidP="001B6099">
            <w:pPr>
              <w:pStyle w:val="EYTablebullet1"/>
              <w:rPr>
                <w:sz w:val="20"/>
                <w:szCs w:val="20"/>
              </w:rPr>
            </w:pPr>
            <w:r w:rsidRPr="00602F49">
              <w:rPr>
                <w:sz w:val="20"/>
                <w:szCs w:val="20"/>
              </w:rPr>
              <w:t xml:space="preserve">Increased awareness of the special needs and challenges associated with living with a </w:t>
            </w:r>
            <w:r w:rsidR="002C768A" w:rsidRPr="00602F49">
              <w:rPr>
                <w:sz w:val="20"/>
                <w:szCs w:val="20"/>
              </w:rPr>
              <w:t>complex</w:t>
            </w:r>
            <w:r w:rsidRPr="00602F49">
              <w:rPr>
                <w:sz w:val="20"/>
                <w:szCs w:val="20"/>
              </w:rPr>
              <w:t xml:space="preserve"> disability</w:t>
            </w:r>
            <w:r w:rsidR="00C87C18" w:rsidRPr="00602F49">
              <w:rPr>
                <w:sz w:val="20"/>
                <w:szCs w:val="20"/>
              </w:rPr>
              <w:t>.</w:t>
            </w:r>
          </w:p>
          <w:p w:rsidR="00EF52A1" w:rsidRPr="00602F49" w:rsidRDefault="009A2528" w:rsidP="001B6099">
            <w:pPr>
              <w:pStyle w:val="EYTablebullet1"/>
              <w:rPr>
                <w:sz w:val="20"/>
                <w:szCs w:val="20"/>
              </w:rPr>
            </w:pPr>
            <w:r w:rsidRPr="00602F49">
              <w:rPr>
                <w:sz w:val="20"/>
                <w:szCs w:val="20"/>
              </w:rPr>
              <w:t>Extension of benefits to</w:t>
            </w:r>
            <w:r w:rsidR="00EF52A1" w:rsidRPr="00602F49">
              <w:rPr>
                <w:sz w:val="20"/>
                <w:szCs w:val="20"/>
              </w:rPr>
              <w:t xml:space="preserve"> </w:t>
            </w:r>
            <w:r w:rsidR="00FB05B9" w:rsidRPr="00602F49">
              <w:rPr>
                <w:sz w:val="20"/>
                <w:szCs w:val="20"/>
              </w:rPr>
              <w:t xml:space="preserve">people outside of the core cohort who nevertheless might benefit from AACFs including the </w:t>
            </w:r>
            <w:r w:rsidR="00EF52A1" w:rsidRPr="00602F49">
              <w:rPr>
                <w:sz w:val="20"/>
                <w:szCs w:val="20"/>
              </w:rPr>
              <w:t>elderly or people using wheelchairs, mobility scooters</w:t>
            </w:r>
            <w:r w:rsidR="005E7D80">
              <w:rPr>
                <w:sz w:val="20"/>
                <w:szCs w:val="20"/>
              </w:rPr>
              <w:t>,</w:t>
            </w:r>
            <w:r w:rsidR="00EF52A1" w:rsidRPr="00602F49">
              <w:rPr>
                <w:sz w:val="20"/>
                <w:szCs w:val="20"/>
              </w:rPr>
              <w:t xml:space="preserve"> etc. </w:t>
            </w:r>
          </w:p>
          <w:p w:rsidR="00C05CCE" w:rsidRPr="00602F49" w:rsidRDefault="00C05CCE" w:rsidP="001B6099">
            <w:pPr>
              <w:pStyle w:val="EYTablebullet1"/>
              <w:rPr>
                <w:sz w:val="20"/>
                <w:szCs w:val="20"/>
              </w:rPr>
            </w:pPr>
            <w:r w:rsidRPr="00602F49">
              <w:rPr>
                <w:sz w:val="20"/>
                <w:szCs w:val="20"/>
              </w:rPr>
              <w:t>Promote</w:t>
            </w:r>
            <w:r w:rsidR="00F9234A" w:rsidRPr="00602F49">
              <w:rPr>
                <w:sz w:val="20"/>
                <w:szCs w:val="20"/>
              </w:rPr>
              <w:t>s</w:t>
            </w:r>
            <w:r w:rsidRPr="00602F49">
              <w:rPr>
                <w:sz w:val="20"/>
                <w:szCs w:val="20"/>
              </w:rPr>
              <w:t xml:space="preserve"> acceptance within the community of the principle that persons with disabilities have the same fundamental righ</w:t>
            </w:r>
            <w:r w:rsidR="00D01E32" w:rsidRPr="00602F49">
              <w:rPr>
                <w:sz w:val="20"/>
                <w:szCs w:val="20"/>
              </w:rPr>
              <w:t>ts as the rest of the community</w:t>
            </w:r>
            <w:r w:rsidR="00C87C18" w:rsidRPr="00602F49">
              <w:rPr>
                <w:sz w:val="20"/>
                <w:szCs w:val="20"/>
              </w:rPr>
              <w:t xml:space="preserve">. </w:t>
            </w:r>
          </w:p>
        </w:tc>
        <w:tc>
          <w:tcPr>
            <w:tcW w:w="3634" w:type="dxa"/>
            <w:shd w:val="clear" w:color="auto" w:fill="auto"/>
          </w:tcPr>
          <w:p w:rsidR="00EF52A1" w:rsidRPr="00602F49" w:rsidRDefault="00D54B46" w:rsidP="001B6099">
            <w:pPr>
              <w:pStyle w:val="EYTablebullet1"/>
              <w:rPr>
                <w:sz w:val="20"/>
                <w:szCs w:val="20"/>
              </w:rPr>
            </w:pPr>
            <w:r w:rsidRPr="00602F49">
              <w:rPr>
                <w:sz w:val="20"/>
                <w:szCs w:val="20"/>
              </w:rPr>
              <w:t xml:space="preserve">Better </w:t>
            </w:r>
            <w:r w:rsidR="00EF52A1" w:rsidRPr="00602F49">
              <w:rPr>
                <w:sz w:val="20"/>
                <w:szCs w:val="20"/>
              </w:rPr>
              <w:t>inclusivity and awareness in society</w:t>
            </w:r>
            <w:r w:rsidR="00C87C18" w:rsidRPr="00602F49">
              <w:rPr>
                <w:sz w:val="20"/>
                <w:szCs w:val="20"/>
              </w:rPr>
              <w:t xml:space="preserve">. </w:t>
            </w:r>
          </w:p>
          <w:p w:rsidR="00EF52A1" w:rsidRPr="00602F49" w:rsidRDefault="00EF52A1" w:rsidP="001B6099">
            <w:pPr>
              <w:pStyle w:val="EYTablebullet1"/>
              <w:rPr>
                <w:sz w:val="20"/>
                <w:szCs w:val="20"/>
              </w:rPr>
            </w:pPr>
            <w:r w:rsidRPr="00602F49">
              <w:rPr>
                <w:sz w:val="20"/>
                <w:szCs w:val="20"/>
              </w:rPr>
              <w:t>Reduced health system costs</w:t>
            </w:r>
            <w:r w:rsidR="00C87C18" w:rsidRPr="00602F49">
              <w:rPr>
                <w:sz w:val="20"/>
                <w:szCs w:val="20"/>
              </w:rPr>
              <w:t>.</w:t>
            </w:r>
          </w:p>
          <w:p w:rsidR="00EF52A1" w:rsidRPr="00602F49" w:rsidRDefault="00EF52A1" w:rsidP="001B6099">
            <w:pPr>
              <w:pStyle w:val="EYTablebullet1"/>
              <w:rPr>
                <w:sz w:val="20"/>
                <w:szCs w:val="20"/>
              </w:rPr>
            </w:pPr>
            <w:r w:rsidRPr="00602F49">
              <w:rPr>
                <w:sz w:val="20"/>
                <w:szCs w:val="20"/>
              </w:rPr>
              <w:t>Increased engagement in human rights and social impact</w:t>
            </w:r>
            <w:r w:rsidR="00C87C18" w:rsidRPr="00602F49">
              <w:rPr>
                <w:sz w:val="20"/>
                <w:szCs w:val="20"/>
              </w:rPr>
              <w:t>.</w:t>
            </w:r>
          </w:p>
          <w:p w:rsidR="00EF52A1" w:rsidRPr="00602F49" w:rsidRDefault="00EF52A1" w:rsidP="001B6099">
            <w:pPr>
              <w:pStyle w:val="EYTablebullet1"/>
              <w:rPr>
                <w:sz w:val="20"/>
                <w:szCs w:val="20"/>
              </w:rPr>
            </w:pPr>
            <w:r w:rsidRPr="00602F49">
              <w:rPr>
                <w:sz w:val="20"/>
                <w:szCs w:val="20"/>
              </w:rPr>
              <w:t>More equitable society</w:t>
            </w:r>
            <w:r w:rsidR="00C87C18" w:rsidRPr="00602F49">
              <w:rPr>
                <w:sz w:val="20"/>
                <w:szCs w:val="20"/>
              </w:rPr>
              <w:t>.</w:t>
            </w:r>
          </w:p>
          <w:p w:rsidR="00EF52A1" w:rsidRPr="00602F49" w:rsidRDefault="00EF52A1" w:rsidP="001B6099">
            <w:pPr>
              <w:pStyle w:val="EYTablebullet1"/>
              <w:rPr>
                <w:sz w:val="20"/>
                <w:szCs w:val="20"/>
              </w:rPr>
            </w:pPr>
            <w:r w:rsidRPr="00602F49">
              <w:rPr>
                <w:sz w:val="20"/>
                <w:szCs w:val="20"/>
              </w:rPr>
              <w:t>Needs of those with progressive diseases / disorders addressed</w:t>
            </w:r>
            <w:r w:rsidR="00C87C18" w:rsidRPr="00602F49">
              <w:rPr>
                <w:sz w:val="20"/>
                <w:szCs w:val="20"/>
              </w:rPr>
              <w:t>.</w:t>
            </w:r>
          </w:p>
          <w:p w:rsidR="00EF52A1" w:rsidRPr="00602F49" w:rsidRDefault="00EF52A1" w:rsidP="001B6099">
            <w:pPr>
              <w:pStyle w:val="EYTablebullet1"/>
              <w:rPr>
                <w:sz w:val="20"/>
                <w:szCs w:val="20"/>
              </w:rPr>
            </w:pPr>
            <w:r w:rsidRPr="00602F49">
              <w:rPr>
                <w:sz w:val="20"/>
                <w:szCs w:val="20"/>
              </w:rPr>
              <w:t>Tourism dollars increase due to availability of suitable facilities</w:t>
            </w:r>
            <w:r w:rsidR="00C87C18" w:rsidRPr="00602F49">
              <w:rPr>
                <w:sz w:val="20"/>
                <w:szCs w:val="20"/>
              </w:rPr>
              <w:t>.</w:t>
            </w:r>
          </w:p>
          <w:p w:rsidR="00C05CCE" w:rsidRPr="00602F49" w:rsidRDefault="00F9234A" w:rsidP="001B6099">
            <w:pPr>
              <w:pStyle w:val="EYTablebullet1"/>
              <w:rPr>
                <w:sz w:val="20"/>
                <w:szCs w:val="20"/>
              </w:rPr>
            </w:pPr>
            <w:r w:rsidRPr="00602F49">
              <w:rPr>
                <w:sz w:val="20"/>
                <w:szCs w:val="20"/>
              </w:rPr>
              <w:t>Increased</w:t>
            </w:r>
            <w:r w:rsidR="00C05CCE" w:rsidRPr="00602F49">
              <w:rPr>
                <w:sz w:val="20"/>
                <w:szCs w:val="20"/>
              </w:rPr>
              <w:t xml:space="preserve"> productivity </w:t>
            </w:r>
            <w:r w:rsidR="00A96093" w:rsidRPr="00602F49">
              <w:rPr>
                <w:sz w:val="20"/>
                <w:szCs w:val="20"/>
              </w:rPr>
              <w:t>by enabling greater employment participation</w:t>
            </w:r>
            <w:r w:rsidR="00FB05B9" w:rsidRPr="00602F49">
              <w:rPr>
                <w:sz w:val="20"/>
                <w:szCs w:val="20"/>
              </w:rPr>
              <w:t xml:space="preserve"> by both people with a disability and their carers</w:t>
            </w:r>
            <w:r w:rsidR="00C87C18" w:rsidRPr="00602F49">
              <w:rPr>
                <w:sz w:val="20"/>
                <w:szCs w:val="20"/>
              </w:rPr>
              <w:t>.</w:t>
            </w:r>
          </w:p>
          <w:p w:rsidR="00A96093" w:rsidRPr="00602F49" w:rsidRDefault="00A96093" w:rsidP="001B6099">
            <w:pPr>
              <w:pStyle w:val="EYTablebullet1"/>
              <w:rPr>
                <w:sz w:val="20"/>
                <w:szCs w:val="20"/>
              </w:rPr>
            </w:pPr>
            <w:r w:rsidRPr="00602F49">
              <w:rPr>
                <w:sz w:val="20"/>
                <w:szCs w:val="20"/>
              </w:rPr>
              <w:t>E</w:t>
            </w:r>
            <w:r w:rsidR="00E47273" w:rsidRPr="00602F49">
              <w:rPr>
                <w:sz w:val="20"/>
                <w:szCs w:val="20"/>
              </w:rPr>
              <w:t>nables</w:t>
            </w:r>
            <w:r w:rsidRPr="00602F49">
              <w:rPr>
                <w:sz w:val="20"/>
                <w:szCs w:val="20"/>
              </w:rPr>
              <w:t xml:space="preserve"> greater consumption and an increase in the taxation base</w:t>
            </w:r>
            <w:r w:rsidR="00C87C18" w:rsidRPr="00602F49">
              <w:rPr>
                <w:sz w:val="20"/>
                <w:szCs w:val="20"/>
              </w:rPr>
              <w:t>.</w:t>
            </w:r>
          </w:p>
          <w:p w:rsidR="00277950" w:rsidRPr="00602F49" w:rsidRDefault="00277950" w:rsidP="001B6099">
            <w:pPr>
              <w:pStyle w:val="EYTablebullet1"/>
              <w:rPr>
                <w:sz w:val="20"/>
                <w:szCs w:val="20"/>
              </w:rPr>
            </w:pPr>
            <w:r w:rsidRPr="00602F49">
              <w:rPr>
                <w:sz w:val="20"/>
                <w:szCs w:val="20"/>
              </w:rPr>
              <w:t>Potentially decreasing social welfare expenditure</w:t>
            </w:r>
            <w:r w:rsidR="00C87C18" w:rsidRPr="00602F49">
              <w:rPr>
                <w:sz w:val="20"/>
                <w:szCs w:val="20"/>
              </w:rPr>
              <w:t>.</w:t>
            </w:r>
          </w:p>
        </w:tc>
      </w:tr>
    </w:tbl>
    <w:p w:rsidR="001B6099" w:rsidRPr="00DE7B63" w:rsidRDefault="00DE7B63" w:rsidP="00D3560A">
      <w:pPr>
        <w:jc w:val="left"/>
        <w:rPr>
          <w:rFonts w:eastAsia="Times New Roman" w:cs="Arial"/>
          <w:szCs w:val="24"/>
        </w:rPr>
      </w:pPr>
      <w:r>
        <w:rPr>
          <w:rFonts w:eastAsia="Times New Roman" w:cs="Arial"/>
          <w:szCs w:val="24"/>
        </w:rPr>
        <w:t xml:space="preserve"> </w:t>
      </w:r>
    </w:p>
    <w:p w:rsidR="00D3560A" w:rsidRDefault="00D3560A" w:rsidP="00D3560A">
      <w:pPr>
        <w:jc w:val="left"/>
      </w:pPr>
      <w:r w:rsidRPr="006646EB">
        <w:rPr>
          <w:rFonts w:eastAsia="Times New Roman" w:cs="Arial"/>
          <w:b/>
          <w:sz w:val="28"/>
          <w:szCs w:val="24"/>
        </w:rPr>
        <w:t>Recommendations</w:t>
      </w:r>
      <w:r>
        <w:t xml:space="preserve"> </w:t>
      </w:r>
    </w:p>
    <w:p w:rsidR="00D3560A" w:rsidRPr="00793D1C" w:rsidRDefault="00D3560A" w:rsidP="00681E1A">
      <w:pPr>
        <w:pStyle w:val="EYBodytextwithparaspace"/>
        <w:spacing w:after="200"/>
      </w:pPr>
      <w:r w:rsidRPr="00793D1C">
        <w:t>The findings of this report support the following amendments to the National Construction Code in respect of Class 6 shopping centres and Class 9b public buildings:</w:t>
      </w:r>
    </w:p>
    <w:p w:rsidR="00D3560A" w:rsidRPr="00793D1C" w:rsidRDefault="00D3560A" w:rsidP="00D3560A">
      <w:pPr>
        <w:pStyle w:val="EYBulletedText1"/>
      </w:pPr>
      <w:r w:rsidRPr="00793D1C">
        <w:t xml:space="preserve">The installation of an AACF </w:t>
      </w:r>
      <w:r w:rsidR="007A36E4">
        <w:t xml:space="preserve">is required </w:t>
      </w:r>
      <w:r w:rsidR="00923FEE">
        <w:t>for</w:t>
      </w:r>
      <w:r w:rsidR="00923FEE" w:rsidRPr="00793D1C">
        <w:t xml:space="preserve"> </w:t>
      </w:r>
      <w:r w:rsidRPr="00793D1C">
        <w:t>a</w:t>
      </w:r>
      <w:r w:rsidR="007A36E4">
        <w:t>ll</w:t>
      </w:r>
      <w:r w:rsidRPr="00793D1C">
        <w:t xml:space="preserve"> new shopping centres or redevelopment</w:t>
      </w:r>
      <w:r w:rsidR="007A36E4">
        <w:t>s</w:t>
      </w:r>
      <w:r w:rsidRPr="00793D1C">
        <w:t xml:space="preserve"> with a design occupancy greater than 3,500</w:t>
      </w:r>
      <w:r w:rsidR="002B6FD4">
        <w:t>.</w:t>
      </w:r>
      <w:r w:rsidRPr="00793D1C">
        <w:t xml:space="preserve"> </w:t>
      </w:r>
    </w:p>
    <w:p w:rsidR="00534AF1" w:rsidRDefault="00D3560A" w:rsidP="00D3560A">
      <w:pPr>
        <w:pStyle w:val="EYBulletedText1"/>
      </w:pPr>
      <w:r w:rsidRPr="00793D1C">
        <w:t xml:space="preserve">The installation of an AACF is required for all </w:t>
      </w:r>
      <w:r w:rsidR="008E5C4A">
        <w:t xml:space="preserve">new </w:t>
      </w:r>
      <w:r w:rsidRPr="00793D1C">
        <w:t xml:space="preserve">museums </w:t>
      </w:r>
      <w:r w:rsidR="000A7DF9">
        <w:t xml:space="preserve">or redevelopments </w:t>
      </w:r>
      <w:r w:rsidRPr="00793D1C">
        <w:t>with a design occupancy greater than 1,500</w:t>
      </w:r>
      <w:r w:rsidR="002B6FD4">
        <w:t>.</w:t>
      </w:r>
      <w:r w:rsidRPr="00793D1C">
        <w:t xml:space="preserve"> </w:t>
      </w:r>
    </w:p>
    <w:p w:rsidR="008E5C4A" w:rsidRDefault="008E5C4A" w:rsidP="00D3560A">
      <w:pPr>
        <w:pStyle w:val="EYBulletedText1"/>
      </w:pPr>
      <w:r w:rsidRPr="00793D1C">
        <w:t xml:space="preserve">The installation of an AACF is required for all </w:t>
      </w:r>
      <w:r>
        <w:t>new theatres</w:t>
      </w:r>
      <w:r w:rsidRPr="00793D1C">
        <w:t xml:space="preserve"> </w:t>
      </w:r>
      <w:r w:rsidR="000A7DF9">
        <w:t xml:space="preserve">or redevelopments </w:t>
      </w:r>
      <w:r w:rsidRPr="00793D1C">
        <w:t>with a design occupancy greater than 1,500</w:t>
      </w:r>
      <w:r w:rsidR="00E304F2">
        <w:t>.</w:t>
      </w:r>
    </w:p>
    <w:p w:rsidR="00D3560A" w:rsidRPr="00793D1C" w:rsidRDefault="00D3560A" w:rsidP="00D3560A">
      <w:pPr>
        <w:pStyle w:val="EYBulletedText1"/>
      </w:pPr>
      <w:r w:rsidRPr="00793D1C">
        <w:t xml:space="preserve">The installation of an AACF is required for all </w:t>
      </w:r>
      <w:r w:rsidR="008E5C4A">
        <w:t xml:space="preserve">new </w:t>
      </w:r>
      <w:r w:rsidRPr="00793D1C">
        <w:t>stadiums</w:t>
      </w:r>
      <w:r w:rsidR="000A7DF9">
        <w:t xml:space="preserve"> or redevelopments</w:t>
      </w:r>
      <w:r w:rsidRPr="00793D1C">
        <w:t xml:space="preserve"> with a design occupancy greater than 35,000.</w:t>
      </w:r>
    </w:p>
    <w:p w:rsidR="00D3560A" w:rsidRPr="00793D1C" w:rsidRDefault="00D3560A" w:rsidP="00D3560A">
      <w:pPr>
        <w:pStyle w:val="EYBulletedText1"/>
      </w:pPr>
      <w:r w:rsidRPr="00793D1C">
        <w:t xml:space="preserve">The installation of an AACF is required for all </w:t>
      </w:r>
      <w:r w:rsidR="008E5C4A">
        <w:t xml:space="preserve">new </w:t>
      </w:r>
      <w:r w:rsidRPr="00793D1C">
        <w:t xml:space="preserve">indoor aquatic facilities where the main </w:t>
      </w:r>
      <w:r w:rsidR="00311261">
        <w:t xml:space="preserve">swimming </w:t>
      </w:r>
      <w:r w:rsidRPr="00793D1C">
        <w:t>pool area’s perimeter exceeds 70m (</w:t>
      </w:r>
      <w:r w:rsidR="00585FC3" w:rsidRPr="00793D1C">
        <w:t xml:space="preserve">typically </w:t>
      </w:r>
      <w:r w:rsidRPr="00793D1C">
        <w:t xml:space="preserve">sufficient to capture a 25m </w:t>
      </w:r>
      <w:r w:rsidR="00311261">
        <w:t xml:space="preserve">swimming </w:t>
      </w:r>
      <w:r w:rsidRPr="00793D1C">
        <w:t>pool and above)</w:t>
      </w:r>
      <w:r w:rsidR="005F6B90">
        <w:t>.</w:t>
      </w:r>
    </w:p>
    <w:p w:rsidR="006C5E89" w:rsidRPr="00592D84" w:rsidRDefault="00D3560A" w:rsidP="00E6187D">
      <w:pPr>
        <w:pStyle w:val="EYBulletedText1"/>
        <w:rPr>
          <w:b/>
          <w:bCs/>
          <w:sz w:val="36"/>
        </w:rPr>
      </w:pPr>
      <w:r w:rsidRPr="00793D1C">
        <w:t xml:space="preserve">The installation of an AACF </w:t>
      </w:r>
      <w:r w:rsidR="00BF031A" w:rsidRPr="00793D1C">
        <w:t>is</w:t>
      </w:r>
      <w:r w:rsidRPr="00793D1C">
        <w:t xml:space="preserve"> required for all new airports or airport redevelopments</w:t>
      </w:r>
      <w:r w:rsidR="002B6FD4">
        <w:t>.</w:t>
      </w:r>
      <w:r w:rsidR="006C5E89">
        <w:br w:type="page"/>
      </w:r>
    </w:p>
    <w:p w:rsidR="003A1173" w:rsidRPr="002B6FD4" w:rsidRDefault="00592D84" w:rsidP="003A1173">
      <w:pPr>
        <w:pStyle w:val="Heading1"/>
        <w:numPr>
          <w:ilvl w:val="0"/>
          <w:numId w:val="0"/>
        </w:numPr>
        <w:ind w:left="851" w:hanging="851"/>
      </w:pPr>
      <w:bookmarkStart w:id="20" w:name="_Toc525897776"/>
      <w:r>
        <w:lastRenderedPageBreak/>
        <w:t>Themes</w:t>
      </w:r>
      <w:r w:rsidRPr="002B6FD4">
        <w:t xml:space="preserve"> </w:t>
      </w:r>
      <w:r w:rsidR="003A1173" w:rsidRPr="002B6FD4">
        <w:t>of consultation responses</w:t>
      </w:r>
      <w:bookmarkEnd w:id="20"/>
    </w:p>
    <w:p w:rsidR="004431D4" w:rsidRDefault="00EC3968" w:rsidP="00727FEF">
      <w:pPr>
        <w:pStyle w:val="EYBodytextwithparaspace"/>
      </w:pPr>
      <w:r w:rsidRPr="002B6FD4">
        <w:t xml:space="preserve">Following the release of the Consultation RIS stakeholders were invited to provide their feedback from the period 1 March 2018 to 12 April 2018. Stakeholders were asked not only to provide answers to specific consultation questions </w:t>
      </w:r>
      <w:r w:rsidR="003B068B" w:rsidRPr="002B6FD4">
        <w:t xml:space="preserve">(refer </w:t>
      </w:r>
      <w:r w:rsidR="003B068B" w:rsidRPr="002B6FD4">
        <w:fldChar w:fldCharType="begin"/>
      </w:r>
      <w:r w:rsidR="003B068B" w:rsidRPr="002B6FD4">
        <w:instrText xml:space="preserve"> REF _Ref518725398 \r \h </w:instrText>
      </w:r>
      <w:r w:rsidR="002B6FD4">
        <w:instrText xml:space="preserve"> \* MERGEFORMAT </w:instrText>
      </w:r>
      <w:r w:rsidR="003B068B" w:rsidRPr="002B6FD4">
        <w:fldChar w:fldCharType="separate"/>
      </w:r>
      <w:r w:rsidR="00910A73">
        <w:t>Appendix E</w:t>
      </w:r>
      <w:r w:rsidR="003B068B" w:rsidRPr="002B6FD4">
        <w:fldChar w:fldCharType="end"/>
      </w:r>
      <w:r w:rsidR="003B068B" w:rsidRPr="002B6FD4">
        <w:t>)</w:t>
      </w:r>
      <w:r w:rsidR="004431D4">
        <w:t xml:space="preserve">, but </w:t>
      </w:r>
      <w:r w:rsidR="00ED313B">
        <w:t xml:space="preserve">to </w:t>
      </w:r>
      <w:r w:rsidR="004431D4">
        <w:t>also provide general feedback and commentary in relation to the problem and analysis described throughout the Consultation RIS</w:t>
      </w:r>
      <w:r w:rsidR="003B068B" w:rsidRPr="002B6FD4">
        <w:t>.</w:t>
      </w:r>
    </w:p>
    <w:p w:rsidR="003B068B" w:rsidRPr="002B6FD4" w:rsidRDefault="000B6898" w:rsidP="00727FEF">
      <w:pPr>
        <w:pStyle w:val="EYBodytextwithparaspace"/>
      </w:pPr>
      <w:r w:rsidRPr="002B6FD4">
        <w:t>Approximately 70 submissions were received from a range of government agencies, industry bodies, special interest groups, people with disability and carers.</w:t>
      </w:r>
    </w:p>
    <w:p w:rsidR="003B068B" w:rsidRPr="002B6FD4" w:rsidRDefault="00EC3968" w:rsidP="00727FEF">
      <w:pPr>
        <w:pStyle w:val="EYBodytextwithparaspace"/>
      </w:pPr>
      <w:r w:rsidRPr="002B6FD4">
        <w:t>Throughout this Final RIS, sp</w:t>
      </w:r>
      <w:r w:rsidR="003B068B" w:rsidRPr="002B6FD4">
        <w:t>ecific consultation questions, along with stakeholders’ commentary against those questions, are provided in grey call out boxes in the relevant sections of the report. The intent is that the document can be read without reference to the call out boxes, with the latter being provided so as to enable the reader to easily identify the views of stakeholders against specific questions</w:t>
      </w:r>
      <w:r w:rsidR="00642B0F" w:rsidRPr="002B6FD4">
        <w:t>.</w:t>
      </w:r>
    </w:p>
    <w:p w:rsidR="0042716B" w:rsidRDefault="003A1173" w:rsidP="00727FEF">
      <w:pPr>
        <w:pStyle w:val="EYBodytextwithparaspace"/>
      </w:pPr>
      <w:r w:rsidRPr="002B6FD4">
        <w:t>The</w:t>
      </w:r>
      <w:r w:rsidR="00A64050">
        <w:t xml:space="preserve"> below</w:t>
      </w:r>
      <w:r w:rsidRPr="002B6FD4">
        <w:t xml:space="preserve"> themes were often present across responses to multiple consultation questions. It is acknowledged the frequency of their discussion may be influenced by the purpose and function of organisations that submitted responses. The themes are p</w:t>
      </w:r>
      <w:r w:rsidR="00652602">
        <w:t>resented in alphabetical order.</w:t>
      </w:r>
    </w:p>
    <w:p w:rsidR="003A1173" w:rsidRPr="002B6FD4" w:rsidRDefault="003A1173" w:rsidP="003A1173">
      <w:pPr>
        <w:pStyle w:val="EYAppendixHeading2"/>
      </w:pPr>
      <w:r w:rsidRPr="002B6FD4">
        <w:t xml:space="preserve">Accessibility and existing utilisation </w:t>
      </w:r>
    </w:p>
    <w:p w:rsidR="003A1173" w:rsidRPr="002B6FD4" w:rsidRDefault="003A1173" w:rsidP="003A1173">
      <w:pPr>
        <w:pStyle w:val="EYBulletedText1"/>
      </w:pPr>
      <w:r w:rsidRPr="002B6FD4">
        <w:t xml:space="preserve">The operational costs attributed to </w:t>
      </w:r>
      <w:r w:rsidR="007C69BF" w:rsidRPr="002B6FD4">
        <w:t>A</w:t>
      </w:r>
      <w:r w:rsidR="007C69BF">
        <w:t>A</w:t>
      </w:r>
      <w:r w:rsidR="007C69BF" w:rsidRPr="002B6FD4">
        <w:t xml:space="preserve">CFs </w:t>
      </w:r>
      <w:r w:rsidRPr="002B6FD4">
        <w:t>in public transport buildings are considered to significantly increase due to vandalism and misuse when accessibility is not restricted.</w:t>
      </w:r>
    </w:p>
    <w:p w:rsidR="003A1173" w:rsidRPr="002B6FD4" w:rsidRDefault="003A1173" w:rsidP="003A1173">
      <w:pPr>
        <w:pStyle w:val="EYBulletedText1"/>
      </w:pPr>
      <w:r w:rsidRPr="002B6FD4">
        <w:t xml:space="preserve">Existing utilisation estimates of AACFs in public transport buildings indicate that notwithstanding awareness of facilities and other factors, usage of existing facilities </w:t>
      </w:r>
      <w:r w:rsidR="007C7802">
        <w:t>i</w:t>
      </w:r>
      <w:r w:rsidR="007C7802" w:rsidRPr="002B6FD4">
        <w:t xml:space="preserve">s </w:t>
      </w:r>
      <w:r w:rsidRPr="002B6FD4">
        <w:t>low, with the AACF at Flinders Street Station</w:t>
      </w:r>
      <w:r w:rsidR="00ED313B">
        <w:t xml:space="preserve"> in Melbourne</w:t>
      </w:r>
      <w:r w:rsidRPr="002B6FD4">
        <w:t xml:space="preserve"> being used on average only three </w:t>
      </w:r>
      <w:r w:rsidR="002B6FD4">
        <w:t>times</w:t>
      </w:r>
      <w:r w:rsidR="002B6FD4" w:rsidRPr="002B6FD4">
        <w:t xml:space="preserve"> </w:t>
      </w:r>
      <w:r w:rsidRPr="002B6FD4">
        <w:t>per day.</w:t>
      </w:r>
    </w:p>
    <w:p w:rsidR="003A1173" w:rsidRPr="002B6FD4" w:rsidRDefault="003A1173" w:rsidP="003A1173">
      <w:pPr>
        <w:pStyle w:val="EYAppendixHeading2"/>
      </w:pPr>
      <w:r w:rsidRPr="002B6FD4">
        <w:t>Equity in assessment and delivery</w:t>
      </w:r>
    </w:p>
    <w:p w:rsidR="003A1173" w:rsidRPr="002B6FD4" w:rsidRDefault="003A1173" w:rsidP="003A1173">
      <w:pPr>
        <w:pStyle w:val="EYBulletedText1"/>
      </w:pPr>
      <w:r w:rsidRPr="002B6FD4">
        <w:t>The provision of AACFs in public buildings was often noted as a social justice or human rights issue with qualitative dignity, wellbeing, disability awareness and discrimination reduction benefits commonly noted as superseding the</w:t>
      </w:r>
      <w:r w:rsidR="00652602">
        <w:t xml:space="preserve"> results of economic analysis.</w:t>
      </w:r>
    </w:p>
    <w:p w:rsidR="003A1173" w:rsidRPr="002B6FD4" w:rsidRDefault="003A1173" w:rsidP="003A1173">
      <w:pPr>
        <w:pStyle w:val="EYBulletedText1"/>
      </w:pPr>
      <w:r w:rsidRPr="002B6FD4">
        <w:t>Provision of AACFs in regional, rural and remote areas was often considered an area in need of further consideration in the future.</w:t>
      </w:r>
    </w:p>
    <w:p w:rsidR="003A1173" w:rsidRPr="002B6FD4" w:rsidRDefault="003A1173" w:rsidP="003A1173">
      <w:pPr>
        <w:pStyle w:val="EYAppendixHeading2"/>
      </w:pPr>
      <w:r w:rsidRPr="002B6FD4">
        <w:t>Feasibility of introducing AACFs to rail stations</w:t>
      </w:r>
    </w:p>
    <w:p w:rsidR="003A1173" w:rsidRPr="002B6FD4" w:rsidRDefault="003A1173" w:rsidP="003A1173">
      <w:pPr>
        <w:pStyle w:val="EYBulletedText1"/>
      </w:pPr>
      <w:r w:rsidRPr="002B6FD4">
        <w:t>Infrastructure, space, cost and operational constraints were commonly noted when discussing the feasibility of introducing AACFs to rail stations.</w:t>
      </w:r>
    </w:p>
    <w:p w:rsidR="003A1173" w:rsidRPr="002B6FD4" w:rsidRDefault="003A1173" w:rsidP="003A1173">
      <w:pPr>
        <w:pStyle w:val="EYBulletedText1"/>
      </w:pPr>
      <w:r w:rsidRPr="002B6FD4">
        <w:t>It was also commented that usage of existing facilities is quite low, and that public transport buildings are transitory destinations, not destinations in their own right.</w:t>
      </w:r>
    </w:p>
    <w:p w:rsidR="003A1173" w:rsidRPr="002B6FD4" w:rsidRDefault="003A1173" w:rsidP="003A1173">
      <w:pPr>
        <w:pStyle w:val="EYAppendixHeading2"/>
      </w:pPr>
      <w:r w:rsidRPr="002B6FD4">
        <w:lastRenderedPageBreak/>
        <w:t>Inclusive features</w:t>
      </w:r>
    </w:p>
    <w:p w:rsidR="004431D4" w:rsidRDefault="003A1173" w:rsidP="00096C1B">
      <w:pPr>
        <w:pStyle w:val="EYBodytextwithparaspace"/>
      </w:pPr>
      <w:r w:rsidRPr="002B6FD4">
        <w:t>Peninsula toilets as specified in the Changing Places design were noted by some stakeholders as exclusionary to large numbers of people with a disability.</w:t>
      </w:r>
      <w:bookmarkStart w:id="21" w:name="_Toc504063154"/>
      <w:bookmarkStart w:id="22" w:name="_Toc504388845"/>
      <w:bookmarkStart w:id="23" w:name="_Toc504401696"/>
      <w:bookmarkStart w:id="24" w:name="_Toc504649902"/>
      <w:bookmarkStart w:id="25" w:name="_Ref505945971"/>
      <w:bookmarkEnd w:id="14"/>
      <w:bookmarkEnd w:id="15"/>
      <w:bookmarkEnd w:id="16"/>
    </w:p>
    <w:p w:rsidR="004431D4" w:rsidRDefault="004431D4" w:rsidP="00A15416">
      <w:pPr>
        <w:pStyle w:val="Heading1"/>
        <w:numPr>
          <w:ilvl w:val="0"/>
          <w:numId w:val="26"/>
        </w:numPr>
      </w:pPr>
      <w:r>
        <w:br w:type="page"/>
      </w:r>
    </w:p>
    <w:p w:rsidR="006747C0" w:rsidRPr="00294059" w:rsidRDefault="006747C0" w:rsidP="00A15416">
      <w:pPr>
        <w:pStyle w:val="Heading1"/>
        <w:numPr>
          <w:ilvl w:val="0"/>
          <w:numId w:val="45"/>
        </w:numPr>
      </w:pPr>
      <w:bookmarkStart w:id="26" w:name="_Toc525897777"/>
      <w:r w:rsidRPr="00294059">
        <w:lastRenderedPageBreak/>
        <w:t>Introduction</w:t>
      </w:r>
      <w:bookmarkEnd w:id="5"/>
      <w:bookmarkEnd w:id="6"/>
      <w:bookmarkEnd w:id="7"/>
      <w:bookmarkEnd w:id="21"/>
      <w:bookmarkEnd w:id="22"/>
      <w:bookmarkEnd w:id="23"/>
      <w:bookmarkEnd w:id="24"/>
      <w:bookmarkEnd w:id="25"/>
      <w:bookmarkEnd w:id="26"/>
    </w:p>
    <w:p w:rsidR="006E4362" w:rsidRPr="000B2C47" w:rsidRDefault="006E4362" w:rsidP="009260BA">
      <w:pPr>
        <w:pStyle w:val="EYBodytextwithparaspace"/>
      </w:pPr>
      <w:bookmarkStart w:id="27" w:name="_Toc384886078"/>
      <w:bookmarkStart w:id="28" w:name="_Toc408237925"/>
      <w:bookmarkStart w:id="29" w:name="_Toc408314118"/>
      <w:r w:rsidRPr="000B2C47">
        <w:t xml:space="preserve">The </w:t>
      </w:r>
      <w:r w:rsidRPr="00677A08">
        <w:rPr>
          <w:i/>
        </w:rPr>
        <w:t>Disability (Access to Premises – Buildings) Standards 2010</w:t>
      </w:r>
      <w:r w:rsidRPr="000B2C47">
        <w:t xml:space="preserve"> (‘Premises Standards’) have been subject to a </w:t>
      </w:r>
      <w:r w:rsidR="005D385E">
        <w:t>five</w:t>
      </w:r>
      <w:r w:rsidRPr="000B2C47">
        <w:t xml:space="preserve"> yearly review that commenced in 2015 and was completed in May 2016. The review was undertaken by the Commonwealth Department of Industry, Innovation and Science</w:t>
      </w:r>
      <w:r w:rsidR="006061C8">
        <w:t xml:space="preserve"> (the Department)</w:t>
      </w:r>
      <w:r w:rsidRPr="000B2C47">
        <w:t xml:space="preserve"> in consultation with the Attorney-General’s Department, with input provided by the A</w:t>
      </w:r>
      <w:r w:rsidR="00D54B46">
        <w:t xml:space="preserve">ustralian </w:t>
      </w:r>
      <w:r w:rsidRPr="000B2C47">
        <w:t>B</w:t>
      </w:r>
      <w:r w:rsidR="00D54B46">
        <w:t xml:space="preserve">uilding </w:t>
      </w:r>
      <w:r w:rsidRPr="000B2C47">
        <w:t>C</w:t>
      </w:r>
      <w:r w:rsidR="00D54B46">
        <w:t xml:space="preserve">odes </w:t>
      </w:r>
      <w:r w:rsidRPr="000B2C47">
        <w:t>B</w:t>
      </w:r>
      <w:r w:rsidR="00D54B46">
        <w:t>oard (ABCB)</w:t>
      </w:r>
      <w:r w:rsidRPr="000B2C47">
        <w:t xml:space="preserve">. A copy of the report can be found on the </w:t>
      </w:r>
      <w:hyperlink r:id="rId11" w:history="1">
        <w:r w:rsidRPr="009260BA">
          <w:t>Department's website</w:t>
        </w:r>
      </w:hyperlink>
      <w:r w:rsidRPr="000B2C47">
        <w:t>.</w:t>
      </w:r>
      <w:r w:rsidRPr="00677A08">
        <w:rPr>
          <w:vertAlign w:val="superscript"/>
        </w:rPr>
        <w:footnoteReference w:id="13"/>
      </w:r>
    </w:p>
    <w:p w:rsidR="006E4362" w:rsidRPr="000B2C47" w:rsidRDefault="006E4362" w:rsidP="009260BA">
      <w:pPr>
        <w:pStyle w:val="EYBodytextwithparaspace"/>
      </w:pPr>
      <w:r w:rsidRPr="000B2C47">
        <w:t xml:space="preserve">The Premises Standards are made under </w:t>
      </w:r>
      <w:r w:rsidR="007C69BF">
        <w:t>S</w:t>
      </w:r>
      <w:r w:rsidR="007C69BF" w:rsidRPr="000B2C47">
        <w:t xml:space="preserve">ection </w:t>
      </w:r>
      <w:r w:rsidRPr="000B2C47">
        <w:t xml:space="preserve">31(1) of the </w:t>
      </w:r>
      <w:r w:rsidRPr="00E6187D">
        <w:rPr>
          <w:i/>
        </w:rPr>
        <w:t>Disability Discrimination Act 1992</w:t>
      </w:r>
      <w:r>
        <w:t xml:space="preserve"> (</w:t>
      </w:r>
      <w:r w:rsidR="006061C8">
        <w:t>C</w:t>
      </w:r>
      <w:r w:rsidR="00774F1C">
        <w:t>’</w:t>
      </w:r>
      <w:r w:rsidR="006061C8">
        <w:t>th</w:t>
      </w:r>
      <w:r w:rsidRPr="000B2C47">
        <w:t xml:space="preserve">). The requirements of Schedule 1 of the Premises Standards are reflected in the </w:t>
      </w:r>
      <w:r w:rsidR="0039300E">
        <w:t>National Construction Code (</w:t>
      </w:r>
      <w:r w:rsidRPr="000B2C47">
        <w:t>NCC</w:t>
      </w:r>
      <w:r w:rsidR="0039300E">
        <w:t>)</w:t>
      </w:r>
      <w:r w:rsidRPr="000B2C47">
        <w:t>. The NCC is given legal effect by relevant building, plumbing and related legislation in each State and Territory.</w:t>
      </w:r>
    </w:p>
    <w:p w:rsidR="006E4362" w:rsidRDefault="006E4362" w:rsidP="009260BA">
      <w:pPr>
        <w:pStyle w:val="EYBodytextwithparaspace"/>
      </w:pPr>
      <w:r w:rsidRPr="000B2C47">
        <w:t>Recommendation</w:t>
      </w:r>
      <w:r w:rsidR="008F7688">
        <w:t>s</w:t>
      </w:r>
      <w:r w:rsidRPr="000B2C47">
        <w:t xml:space="preserve"> 6b </w:t>
      </w:r>
      <w:r>
        <w:t xml:space="preserve">and 6f </w:t>
      </w:r>
      <w:r w:rsidRPr="000B2C47">
        <w:t xml:space="preserve">of the </w:t>
      </w:r>
      <w:r w:rsidR="008F7688">
        <w:t>Premises Standards</w:t>
      </w:r>
      <w:r w:rsidR="008F7688" w:rsidRPr="000B2C47">
        <w:t xml:space="preserve"> </w:t>
      </w:r>
      <w:r w:rsidR="00ED313B">
        <w:t>r</w:t>
      </w:r>
      <w:r w:rsidR="0039300E">
        <w:t xml:space="preserve">eview </w:t>
      </w:r>
      <w:r w:rsidRPr="000B2C47">
        <w:t xml:space="preserve">relate to the provision of </w:t>
      </w:r>
      <w:r w:rsidR="00ED313B">
        <w:t>a</w:t>
      </w:r>
      <w:r w:rsidR="0039300E">
        <w:t xml:space="preserve">ccessible </w:t>
      </w:r>
      <w:r w:rsidR="00ED313B">
        <w:t>a</w:t>
      </w:r>
      <w:r w:rsidR="0039300E">
        <w:t xml:space="preserve">dult </w:t>
      </w:r>
      <w:r w:rsidR="00ED313B">
        <w:t>c</w:t>
      </w:r>
      <w:r w:rsidR="0039300E">
        <w:t xml:space="preserve">hange </w:t>
      </w:r>
      <w:r w:rsidR="00ED313B">
        <w:t>f</w:t>
      </w:r>
      <w:r w:rsidR="0039300E">
        <w:t>acilities (</w:t>
      </w:r>
      <w:r w:rsidR="00895DA1">
        <w:t>AACFs</w:t>
      </w:r>
      <w:r w:rsidR="0039300E">
        <w:t>)</w:t>
      </w:r>
      <w:r w:rsidRPr="000B2C47">
        <w:t xml:space="preserve"> in public buildings. It recommends that the Australian Government “investigate whether, and how, accessible adult chang</w:t>
      </w:r>
      <w:r w:rsidR="008F7688">
        <w:t>ing</w:t>
      </w:r>
      <w:r w:rsidRPr="000B2C47">
        <w:t xml:space="preserve"> facilities should be included in the Standards</w:t>
      </w:r>
      <w:r w:rsidR="00CE10DD">
        <w:t>.</w:t>
      </w:r>
      <w:r w:rsidRPr="000B2C47">
        <w:t>”</w:t>
      </w:r>
      <w:r w:rsidRPr="00677A08">
        <w:rPr>
          <w:vertAlign w:val="superscript"/>
        </w:rPr>
        <w:footnoteReference w:id="14"/>
      </w:r>
      <w:r w:rsidRPr="009260BA">
        <w:rPr>
          <w:vertAlign w:val="superscript"/>
        </w:rPr>
        <w:t xml:space="preserve"> </w:t>
      </w:r>
    </w:p>
    <w:p w:rsidR="006E4362" w:rsidRPr="009260BA" w:rsidRDefault="006E4362" w:rsidP="009260BA">
      <w:pPr>
        <w:pStyle w:val="EYBodytextwithparaspace"/>
      </w:pPr>
      <w:r>
        <w:t xml:space="preserve">At </w:t>
      </w:r>
      <w:r w:rsidR="005D385E">
        <w:t>the</w:t>
      </w:r>
      <w:r>
        <w:t xml:space="preserve"> Building Ministers</w:t>
      </w:r>
      <w:r w:rsidR="008F7688">
        <w:t>’</w:t>
      </w:r>
      <w:r w:rsidR="00CD1D83">
        <w:t xml:space="preserve"> Forum </w:t>
      </w:r>
      <w:r w:rsidR="005D385E">
        <w:t>held in</w:t>
      </w:r>
      <w:r>
        <w:t xml:space="preserve"> </w:t>
      </w:r>
      <w:r w:rsidR="005D385E">
        <w:t>April 2017</w:t>
      </w:r>
      <w:r w:rsidR="00895DA1">
        <w:t>,</w:t>
      </w:r>
      <w:r w:rsidR="005D385E">
        <w:t xml:space="preserve"> </w:t>
      </w:r>
      <w:r>
        <w:t xml:space="preserve">Building Ministers agreed that a </w:t>
      </w:r>
      <w:r w:rsidR="0039300E">
        <w:t>Regulation Impact Statement (</w:t>
      </w:r>
      <w:r>
        <w:t>RIS</w:t>
      </w:r>
      <w:r w:rsidR="0039300E">
        <w:t>)</w:t>
      </w:r>
      <w:r>
        <w:t xml:space="preserve"> be undertaken to consider expanding the </w:t>
      </w:r>
      <w:r w:rsidR="00A4332A" w:rsidRPr="00A4332A">
        <w:t>NCC</w:t>
      </w:r>
      <w:r w:rsidR="00A4332A">
        <w:t xml:space="preserve"> </w:t>
      </w:r>
      <w:r>
        <w:t xml:space="preserve">to include requirements for </w:t>
      </w:r>
      <w:r w:rsidR="0039300E">
        <w:t>AACFs to be provided</w:t>
      </w:r>
      <w:r>
        <w:t xml:space="preserve"> for people with </w:t>
      </w:r>
      <w:r w:rsidR="0039300E">
        <w:t>complex disabilities</w:t>
      </w:r>
      <w:r w:rsidR="006061C8">
        <w:t>.</w:t>
      </w:r>
      <w:r w:rsidRPr="00C133AC">
        <w:rPr>
          <w:rStyle w:val="FootnoteReference"/>
          <w:rFonts w:eastAsiaTheme="minorHAnsi"/>
          <w:sz w:val="24"/>
          <w:szCs w:val="24"/>
        </w:rPr>
        <w:footnoteReference w:id="15"/>
      </w:r>
    </w:p>
    <w:p w:rsidR="00515BBD" w:rsidRDefault="006E4362" w:rsidP="00DB4984">
      <w:pPr>
        <w:pStyle w:val="EYBodytextwithparaspace"/>
      </w:pPr>
      <w:r w:rsidRPr="002B6FD4">
        <w:t xml:space="preserve">EY </w:t>
      </w:r>
      <w:r w:rsidR="001B5E73" w:rsidRPr="002B6FD4">
        <w:t>was</w:t>
      </w:r>
      <w:r w:rsidRPr="002B6FD4">
        <w:t xml:space="preserve"> engaged by the </w:t>
      </w:r>
      <w:r w:rsidR="00895DA1" w:rsidRPr="002B6FD4">
        <w:t>ABCB</w:t>
      </w:r>
      <w:r w:rsidRPr="002B6FD4">
        <w:t xml:space="preserve"> to prepare </w:t>
      </w:r>
      <w:r w:rsidR="00FD6D2B" w:rsidRPr="002B6FD4">
        <w:t xml:space="preserve">a </w:t>
      </w:r>
      <w:r w:rsidRPr="002B6FD4">
        <w:t>Consultation Regulat</w:t>
      </w:r>
      <w:r w:rsidR="00FD6D2B" w:rsidRPr="002B6FD4">
        <w:t>ion</w:t>
      </w:r>
      <w:r w:rsidRPr="002B6FD4">
        <w:t xml:space="preserve"> Impa</w:t>
      </w:r>
      <w:r w:rsidR="000A4ACA" w:rsidRPr="002B6FD4">
        <w:t>ct Statement (Consultation RIS)</w:t>
      </w:r>
      <w:r w:rsidR="001B5E73" w:rsidRPr="002B6FD4">
        <w:t>,</w:t>
      </w:r>
      <w:r w:rsidR="00FD6D2B" w:rsidRPr="002B6FD4">
        <w:t xml:space="preserve"> and </w:t>
      </w:r>
      <w:r w:rsidR="001B5E73" w:rsidRPr="002B6FD4">
        <w:t xml:space="preserve">has subsequently been engaged to prepare </w:t>
      </w:r>
      <w:r w:rsidR="00FD6D2B" w:rsidRPr="002B6FD4">
        <w:t>this Final Regulation Impact Statement (Final RIS)</w:t>
      </w:r>
      <w:r w:rsidR="001B5E73" w:rsidRPr="002B6FD4">
        <w:t>,</w:t>
      </w:r>
      <w:r w:rsidR="00FD6D2B" w:rsidRPr="002B6FD4">
        <w:t xml:space="preserve"> to</w:t>
      </w:r>
      <w:r w:rsidR="000A4ACA" w:rsidRPr="002B6FD4">
        <w:t xml:space="preserve"> </w:t>
      </w:r>
      <w:r w:rsidRPr="002B6FD4">
        <w:t xml:space="preserve">conduct an estimation of the benefits and costs of including </w:t>
      </w:r>
      <w:r w:rsidR="00A4332A" w:rsidRPr="002B6FD4">
        <w:t>AACFs</w:t>
      </w:r>
      <w:r w:rsidRPr="002B6FD4">
        <w:t xml:space="preserve"> in the Premises Standards and the NCC.</w:t>
      </w:r>
      <w:r>
        <w:t xml:space="preserve"> </w:t>
      </w:r>
    </w:p>
    <w:p w:rsidR="00515BBD" w:rsidRDefault="00DB4984" w:rsidP="009260BA">
      <w:pPr>
        <w:pStyle w:val="EYBodytextwithparaspace"/>
      </w:pPr>
      <w:r>
        <w:t xml:space="preserve">This RIS examines the extent to which a problem exists that might appropriately be addressed through regulatory action. The problem under examination is that the provision of </w:t>
      </w:r>
      <w:r w:rsidR="00E00517">
        <w:t>AACFs</w:t>
      </w:r>
      <w:r>
        <w:t xml:space="preserve"> is insufficient to cater for the needs of the population, and that this insufficiency potentially places new buildings constructed in Australia at odds with national and international legal frameworks regarding accessibility for people with a disability.</w:t>
      </w:r>
    </w:p>
    <w:p w:rsidR="00C50C2F" w:rsidRPr="005E7E6E" w:rsidRDefault="00C50C2F" w:rsidP="00145D1B">
      <w:pPr>
        <w:pStyle w:val="Heading2"/>
      </w:pPr>
      <w:bookmarkStart w:id="30" w:name="_Toc506883629"/>
      <w:bookmarkStart w:id="31" w:name="_Toc504063155"/>
      <w:bookmarkStart w:id="32" w:name="_Toc504388846"/>
      <w:bookmarkStart w:id="33" w:name="_Toc504401697"/>
      <w:bookmarkStart w:id="34" w:name="_Toc504649903"/>
      <w:bookmarkStart w:id="35" w:name="_Toc525897778"/>
      <w:bookmarkEnd w:id="30"/>
      <w:r w:rsidRPr="005E7E6E">
        <w:t xml:space="preserve">Current </w:t>
      </w:r>
      <w:r w:rsidR="008C551D">
        <w:t>NCC Requirements</w:t>
      </w:r>
      <w:bookmarkEnd w:id="31"/>
      <w:bookmarkEnd w:id="32"/>
      <w:bookmarkEnd w:id="33"/>
      <w:bookmarkEnd w:id="34"/>
      <w:bookmarkEnd w:id="35"/>
    </w:p>
    <w:p w:rsidR="00425227" w:rsidRDefault="00425227" w:rsidP="009260BA">
      <w:pPr>
        <w:pStyle w:val="EYBodytextwithparaspace"/>
      </w:pPr>
      <w:r>
        <w:t>The Premises Standards require that sanitary facilities be provided in buildings, appropriate to the building’s use, the number and gender of its occupants, and the disability and other needs of those occupants.</w:t>
      </w:r>
      <w:r w:rsidRPr="00C133AC">
        <w:rPr>
          <w:rStyle w:val="FootnoteReference"/>
          <w:rFonts w:eastAsiaTheme="minorHAnsi"/>
          <w:sz w:val="24"/>
          <w:szCs w:val="24"/>
        </w:rPr>
        <w:footnoteReference w:id="16"/>
      </w:r>
      <w:r w:rsidRPr="00C133AC">
        <w:rPr>
          <w:rStyle w:val="FootnoteReference"/>
          <w:sz w:val="24"/>
          <w:szCs w:val="24"/>
        </w:rPr>
        <w:t xml:space="preserve"> </w:t>
      </w:r>
      <w:r>
        <w:t>This requirement is reflected in the NCC as Performance Requirement FP2.1. Both the Premises Standards (</w:t>
      </w:r>
      <w:r w:rsidR="000B4EC8">
        <w:t>S</w:t>
      </w:r>
      <w:r>
        <w:t xml:space="preserve">chedule 1) and the NCC are performance-based, meaning that they are formulated as a series of mandatory </w:t>
      </w:r>
      <w:r>
        <w:lastRenderedPageBreak/>
        <w:t xml:space="preserve">Performance Requirements along with a set of corresponding, optional Deemed-to-Satisfy (DtS) Provisions. </w:t>
      </w:r>
    </w:p>
    <w:p w:rsidR="00425227" w:rsidRDefault="00425227" w:rsidP="009260BA">
      <w:pPr>
        <w:pStyle w:val="EYBodytextwithparaspace"/>
      </w:pPr>
      <w:r>
        <w:t>Performance Requirements are high level statements that describe what a building must achieve</w:t>
      </w:r>
      <w:r w:rsidR="000B4EC8">
        <w:t>.</w:t>
      </w:r>
      <w:r>
        <w:t xml:space="preserve"> DtS Provisions are prescriptive, technical specifications that may be complied with as </w:t>
      </w:r>
      <w:r w:rsidR="000B4EC8">
        <w:t xml:space="preserve">one </w:t>
      </w:r>
      <w:r>
        <w:t>way to meet the Performance Requirements. Solutions outside of those prescribed in the DtS Provisions are also acceptable on the condition that they can be demonstrated to be able to meet the Performance Requirements.</w:t>
      </w:r>
    </w:p>
    <w:p w:rsidR="00425227" w:rsidRDefault="00425227" w:rsidP="009260BA">
      <w:pPr>
        <w:pStyle w:val="EYBodytextwithparaspace"/>
      </w:pPr>
      <w:r>
        <w:t xml:space="preserve">The current DtS Provisions for Class 6 shopping centres and </w:t>
      </w:r>
      <w:r w:rsidR="006B28B8">
        <w:t>Class 9b</w:t>
      </w:r>
      <w:r>
        <w:t xml:space="preserve"> assembly buildings require at least one accessible sanitary facility on each storey where standard sanitary facilities are required; where a storey contains multiple banks of toilets, at least half must also include an accessible facility. The DtS Provisions require accessible sanitary facilities to be designed in accordance with AS 1428.1, which does not include specifications for accessible adult changing equipment.</w:t>
      </w:r>
    </w:p>
    <w:p w:rsidR="00425227" w:rsidRPr="0042716B" w:rsidRDefault="00425227" w:rsidP="00425227">
      <w:pPr>
        <w:rPr>
          <w:rFonts w:cs="Arial"/>
          <w:b/>
          <w:i/>
          <w:szCs w:val="24"/>
        </w:rPr>
      </w:pPr>
      <w:r w:rsidRPr="0042716B">
        <w:rPr>
          <w:rFonts w:cs="Arial"/>
          <w:b/>
          <w:i/>
          <w:szCs w:val="24"/>
        </w:rPr>
        <w:t>Current Premises Standards Requirements</w:t>
      </w:r>
    </w:p>
    <w:p w:rsidR="00425227" w:rsidRDefault="00425227" w:rsidP="009260BA">
      <w:pPr>
        <w:pStyle w:val="EYBodytextwithparaspace"/>
      </w:pPr>
      <w:r w:rsidRPr="00894738">
        <w:t xml:space="preserve">The specifications for the construction of accessible sanitary facilities are included in the Premises Standards through reference to the Australian Standard </w:t>
      </w:r>
      <w:r w:rsidRPr="00677A08">
        <w:rPr>
          <w:i/>
        </w:rPr>
        <w:t>AS 1428.1:2009 – Design for access and mobility – Part 1: General requirements for access – New building work</w:t>
      </w:r>
      <w:r w:rsidRPr="009260BA">
        <w:t xml:space="preserve"> </w:t>
      </w:r>
      <w:r w:rsidRPr="00894738">
        <w:t>(AS 1428.1-2009).</w:t>
      </w:r>
      <w:r w:rsidRPr="00C133AC">
        <w:rPr>
          <w:rStyle w:val="FootnoteReference"/>
          <w:rFonts w:eastAsiaTheme="minorHAnsi"/>
          <w:sz w:val="24"/>
          <w:szCs w:val="24"/>
        </w:rPr>
        <w:footnoteReference w:id="17"/>
      </w:r>
    </w:p>
    <w:p w:rsidR="00425227" w:rsidRDefault="00425227" w:rsidP="009260BA">
      <w:pPr>
        <w:pStyle w:val="EYBodytextwithparaspace"/>
      </w:pPr>
      <w:r w:rsidRPr="00007504">
        <w:t xml:space="preserve">The introduction of the Premises Standards </w:t>
      </w:r>
      <w:r w:rsidR="00D009F5">
        <w:t xml:space="preserve">and corresponding </w:t>
      </w:r>
      <w:r w:rsidR="000A7DF9">
        <w:t>provisions</w:t>
      </w:r>
      <w:r w:rsidR="00D009F5">
        <w:t xml:space="preserve"> in the NCC </w:t>
      </w:r>
      <w:r w:rsidRPr="00007504">
        <w:t xml:space="preserve">significantly increased the number of accessible </w:t>
      </w:r>
      <w:r w:rsidR="00A675D7">
        <w:t>facilitie</w:t>
      </w:r>
      <w:r w:rsidR="00A675D7" w:rsidRPr="00007504">
        <w:t xml:space="preserve">s </w:t>
      </w:r>
      <w:r w:rsidRPr="00007504">
        <w:t xml:space="preserve">required. By referencing AS 1428.1-2009 the Premises Standards also increased the dimensions of accessible </w:t>
      </w:r>
      <w:r w:rsidR="00A675D7">
        <w:t>facilities</w:t>
      </w:r>
      <w:r w:rsidR="00A675D7" w:rsidRPr="00007504">
        <w:t xml:space="preserve"> </w:t>
      </w:r>
      <w:r w:rsidRPr="00007504">
        <w:t>to meet the 90th percentile wheelchair dimensions.</w:t>
      </w:r>
      <w:r w:rsidRPr="00C133AC">
        <w:rPr>
          <w:rStyle w:val="FootnoteReference"/>
          <w:rFonts w:eastAsiaTheme="minorHAnsi"/>
          <w:sz w:val="24"/>
          <w:szCs w:val="24"/>
        </w:rPr>
        <w:footnoteReference w:id="18"/>
      </w:r>
    </w:p>
    <w:p w:rsidR="00425227" w:rsidRDefault="00425227" w:rsidP="009260BA">
      <w:pPr>
        <w:pStyle w:val="EYBodytextwithparaspace"/>
      </w:pPr>
      <w:r>
        <w:t xml:space="preserve">The consultation process for the Premises Standards </w:t>
      </w:r>
      <w:r w:rsidR="00D009F5">
        <w:t>r</w:t>
      </w:r>
      <w:r>
        <w:t>eview asked respondents whether there were any issues regarding the requirements for accessible sanitary facilities which should be addressed.</w:t>
      </w:r>
      <w:r w:rsidRPr="00C133AC">
        <w:rPr>
          <w:rStyle w:val="FootnoteReference"/>
          <w:rFonts w:eastAsiaTheme="minorHAnsi"/>
          <w:sz w:val="24"/>
          <w:szCs w:val="24"/>
        </w:rPr>
        <w:footnoteReference w:id="19"/>
      </w:r>
      <w:r w:rsidR="00652602">
        <w:t xml:space="preserve"> </w:t>
      </w:r>
      <w:r>
        <w:t xml:space="preserve">The majority of respondents felt that the lack of </w:t>
      </w:r>
      <w:r w:rsidR="000B4EC8">
        <w:t>AACFs</w:t>
      </w:r>
      <w:r>
        <w:t xml:space="preserve"> in public buildings was inequitable because people with more complex disabilities are unable to use existing accessible sanitary facilities</w:t>
      </w:r>
      <w:r w:rsidR="007A4941">
        <w:t>.</w:t>
      </w:r>
      <w:r w:rsidR="007A4941" w:rsidRPr="007A4941">
        <w:t xml:space="preserve"> </w:t>
      </w:r>
      <w:r w:rsidR="007A4941">
        <w:t>A lack of suitable facilities</w:t>
      </w:r>
      <w:r>
        <w:t xml:space="preserve"> result</w:t>
      </w:r>
      <w:r w:rsidR="007A4941">
        <w:t>s</w:t>
      </w:r>
      <w:r>
        <w:t xml:space="preserve"> in undignified, often unhygienic </w:t>
      </w:r>
      <w:r w:rsidR="007A4941">
        <w:t>alternatives</w:t>
      </w:r>
      <w:r>
        <w:t xml:space="preserve">, many reporting </w:t>
      </w:r>
      <w:r w:rsidR="00A64050">
        <w:t xml:space="preserve">having to resort </w:t>
      </w:r>
      <w:r w:rsidR="007A4941">
        <w:t xml:space="preserve">to </w:t>
      </w:r>
      <w:r>
        <w:t xml:space="preserve">using the floor </w:t>
      </w:r>
      <w:r w:rsidR="007A4941">
        <w:t xml:space="preserve">of a sanitary compartment </w:t>
      </w:r>
      <w:r w:rsidR="00CD1D83">
        <w:t xml:space="preserve">(refer Section </w:t>
      </w:r>
      <w:r w:rsidR="00CD1D83">
        <w:fldChar w:fldCharType="begin"/>
      </w:r>
      <w:r w:rsidR="00CD1D83">
        <w:instrText xml:space="preserve"> REF _Ref507583495 \r \h </w:instrText>
      </w:r>
      <w:r w:rsidR="00CD1D83">
        <w:fldChar w:fldCharType="separate"/>
      </w:r>
      <w:r w:rsidR="00910A73">
        <w:t>1.4</w:t>
      </w:r>
      <w:r w:rsidR="00CD1D83">
        <w:fldChar w:fldCharType="end"/>
      </w:r>
      <w:r>
        <w:t xml:space="preserve"> for the definition of </w:t>
      </w:r>
      <w:r w:rsidR="00667694">
        <w:t>AACF</w:t>
      </w:r>
      <w:r>
        <w:t>).</w:t>
      </w:r>
    </w:p>
    <w:p w:rsidR="00C50C2F" w:rsidRDefault="00C50C2F" w:rsidP="00145D1B">
      <w:pPr>
        <w:pStyle w:val="Heading2"/>
      </w:pPr>
      <w:bookmarkStart w:id="36" w:name="_Toc504063216"/>
      <w:bookmarkStart w:id="37" w:name="_Toc504063156"/>
      <w:bookmarkStart w:id="38" w:name="_Toc504388847"/>
      <w:bookmarkStart w:id="39" w:name="_Toc504401698"/>
      <w:bookmarkStart w:id="40" w:name="_Toc504649904"/>
      <w:bookmarkStart w:id="41" w:name="_Toc525897779"/>
      <w:bookmarkEnd w:id="36"/>
      <w:r>
        <w:t xml:space="preserve">Defining the </w:t>
      </w:r>
      <w:r w:rsidR="003A071C">
        <w:t xml:space="preserve">purpose </w:t>
      </w:r>
      <w:r>
        <w:t xml:space="preserve">of the </w:t>
      </w:r>
      <w:bookmarkEnd w:id="37"/>
      <w:bookmarkEnd w:id="38"/>
      <w:bookmarkEnd w:id="39"/>
      <w:bookmarkEnd w:id="40"/>
      <w:r w:rsidR="003A071C">
        <w:t>analysis</w:t>
      </w:r>
      <w:bookmarkEnd w:id="41"/>
    </w:p>
    <w:p w:rsidR="003A071C" w:rsidRDefault="003A071C" w:rsidP="003A071C">
      <w:pPr>
        <w:pStyle w:val="EYBodytextwithparaspace"/>
      </w:pPr>
      <w:bookmarkStart w:id="42" w:name="_Toc521497566"/>
      <w:bookmarkStart w:id="43" w:name="_Toc521501351"/>
      <w:bookmarkStart w:id="44" w:name="_Toc521935103"/>
      <w:bookmarkStart w:id="45" w:name="_Toc521941462"/>
      <w:bookmarkStart w:id="46" w:name="_Toc521943113"/>
      <w:bookmarkStart w:id="47" w:name="_Toc504063157"/>
      <w:bookmarkEnd w:id="42"/>
      <w:bookmarkEnd w:id="43"/>
      <w:bookmarkEnd w:id="44"/>
      <w:bookmarkEnd w:id="45"/>
      <w:bookmarkEnd w:id="46"/>
      <w:r>
        <w:t xml:space="preserve">The purpose of this Final RIS is twofold. First, it is to establish the extent to which a problem exists that might appropriately be addressed through regulatory action and having established that there is a problem, to examine alternative options for rectifying the problem, taking account of stakeholder comments received in the Consultation RIS and </w:t>
      </w:r>
      <w:r>
        <w:lastRenderedPageBreak/>
        <w:t xml:space="preserve">the economic and social impacts of the options under examination. The specific options examined in this RIS are described in Section </w:t>
      </w:r>
      <w:r w:rsidR="00EE7BC7">
        <w:fldChar w:fldCharType="begin"/>
      </w:r>
      <w:r w:rsidR="00EE7BC7">
        <w:instrText xml:space="preserve"> REF _Ref523152061 \r \h </w:instrText>
      </w:r>
      <w:r w:rsidR="00EE7BC7">
        <w:fldChar w:fldCharType="separate"/>
      </w:r>
      <w:r w:rsidR="00910A73">
        <w:t>4</w:t>
      </w:r>
      <w:r w:rsidR="00EE7BC7">
        <w:fldChar w:fldCharType="end"/>
      </w:r>
      <w:r>
        <w:t>.</w:t>
      </w:r>
    </w:p>
    <w:p w:rsidR="003A071C" w:rsidRPr="00117082" w:rsidRDefault="003A071C" w:rsidP="003A071C">
      <w:pPr>
        <w:pStyle w:val="Heading2"/>
      </w:pPr>
      <w:bookmarkStart w:id="48" w:name="_Toc525897780"/>
      <w:r w:rsidRPr="00117082">
        <w:t>Structure of this report</w:t>
      </w:r>
      <w:bookmarkEnd w:id="48"/>
    </w:p>
    <w:p w:rsidR="003A071C" w:rsidRDefault="003A071C" w:rsidP="003A071C">
      <w:pPr>
        <w:pStyle w:val="EYBodytextwithparaspace"/>
      </w:pPr>
      <w:r>
        <w:t>The structure of this report is set out as follows</w:t>
      </w:r>
      <w:r w:rsidR="007C69BF">
        <w:t>:</w:t>
      </w:r>
    </w:p>
    <w:p w:rsidR="003A071C" w:rsidRDefault="003A071C" w:rsidP="003A071C">
      <w:pPr>
        <w:pStyle w:val="EYBodytextwithparaspace"/>
      </w:pPr>
      <w:r w:rsidRPr="00BF183A">
        <w:rPr>
          <w:b/>
        </w:rPr>
        <w:t xml:space="preserve">Section </w:t>
      </w:r>
      <w:r>
        <w:rPr>
          <w:b/>
        </w:rPr>
        <w:t>2</w:t>
      </w:r>
      <w:r>
        <w:t xml:space="preserve"> defines the problem this Final RIS is seeking to address, in particular that the current provision of AACFs is insufficient to account for the needs of pe</w:t>
      </w:r>
      <w:r w:rsidR="00D009F5">
        <w:t>ople</w:t>
      </w:r>
      <w:r>
        <w:t xml:space="preserve"> with a complex disability. This is inconsistent with national and international legal frameworks and creates considerable impacts at an economic and societal level. </w:t>
      </w:r>
    </w:p>
    <w:p w:rsidR="0071434D" w:rsidRDefault="003A071C" w:rsidP="003A071C">
      <w:pPr>
        <w:pStyle w:val="EYBodytextwithparaspace"/>
      </w:pPr>
      <w:r w:rsidRPr="00BF183A">
        <w:rPr>
          <w:b/>
        </w:rPr>
        <w:t xml:space="preserve">Section </w:t>
      </w:r>
      <w:r>
        <w:rPr>
          <w:b/>
        </w:rPr>
        <w:t>3</w:t>
      </w:r>
      <w:r>
        <w:t xml:space="preserve"> </w:t>
      </w:r>
      <w:r w:rsidR="0071434D">
        <w:t>describes the objectives of the proposed regulatory change.</w:t>
      </w:r>
    </w:p>
    <w:p w:rsidR="003A071C" w:rsidRDefault="0071434D" w:rsidP="003A071C">
      <w:pPr>
        <w:pStyle w:val="EYBodytextwithparaspace"/>
      </w:pPr>
      <w:r w:rsidRPr="002667A8">
        <w:rPr>
          <w:b/>
        </w:rPr>
        <w:t>Section 4</w:t>
      </w:r>
      <w:r>
        <w:t xml:space="preserve"> </w:t>
      </w:r>
      <w:r w:rsidR="003A071C">
        <w:t xml:space="preserve">explores options for how the problem can be addressed. These options include the status quo, a non-regulatory option and the regulatory option. This section also looks at the objectives of the proposed policy change. </w:t>
      </w:r>
    </w:p>
    <w:p w:rsidR="003A071C" w:rsidRDefault="003A071C" w:rsidP="003A071C">
      <w:pPr>
        <w:pStyle w:val="EYBodytextwithparaspace"/>
      </w:pPr>
      <w:r w:rsidRPr="00BF183A">
        <w:rPr>
          <w:b/>
        </w:rPr>
        <w:t xml:space="preserve">Section </w:t>
      </w:r>
      <w:r w:rsidR="0071434D">
        <w:rPr>
          <w:b/>
        </w:rPr>
        <w:t>5</w:t>
      </w:r>
      <w:r>
        <w:t xml:space="preserve"> defines the population of users whom we believe stand to benefit the most from</w:t>
      </w:r>
      <w:r w:rsidR="00DD687C">
        <w:t xml:space="preserve"> a greater provision of AACFs. </w:t>
      </w:r>
      <w:r>
        <w:t xml:space="preserve">It includes a bottom up analysis of the population, a cross reference with other estimates and approaches, and identifies the limitations of our analysis. </w:t>
      </w:r>
    </w:p>
    <w:p w:rsidR="003A071C" w:rsidRDefault="003A071C" w:rsidP="003A071C">
      <w:pPr>
        <w:pStyle w:val="EYBodytextwithparaspace"/>
      </w:pPr>
      <w:r w:rsidRPr="00BF183A">
        <w:rPr>
          <w:b/>
        </w:rPr>
        <w:t xml:space="preserve">Section </w:t>
      </w:r>
      <w:r w:rsidR="0071434D">
        <w:rPr>
          <w:b/>
        </w:rPr>
        <w:t>6</w:t>
      </w:r>
      <w:r>
        <w:t xml:space="preserve"> provides a description of the costs (including capital expenses, ongoing operating expenses, regulatory burden costs and other costs) and benefits (including both quantifiable and qualitative benefits).</w:t>
      </w:r>
    </w:p>
    <w:p w:rsidR="003A071C" w:rsidRDefault="003A071C" w:rsidP="003A071C">
      <w:pPr>
        <w:pStyle w:val="EYBodytextwithparaspace"/>
      </w:pPr>
      <w:r w:rsidRPr="00BF183A">
        <w:rPr>
          <w:b/>
        </w:rPr>
        <w:t xml:space="preserve">Section </w:t>
      </w:r>
      <w:r w:rsidR="0071434D">
        <w:rPr>
          <w:b/>
        </w:rPr>
        <w:t>7</w:t>
      </w:r>
      <w:r>
        <w:t xml:space="preserve"> details the impact of the proposed options. </w:t>
      </w:r>
    </w:p>
    <w:p w:rsidR="003A071C" w:rsidRDefault="003A071C" w:rsidP="003A071C">
      <w:pPr>
        <w:pStyle w:val="EYBodytextwithparaspace"/>
      </w:pPr>
      <w:r w:rsidRPr="00BF183A">
        <w:rPr>
          <w:b/>
        </w:rPr>
        <w:t xml:space="preserve">Section </w:t>
      </w:r>
      <w:r w:rsidR="0071434D">
        <w:rPr>
          <w:b/>
        </w:rPr>
        <w:t>8</w:t>
      </w:r>
      <w:r>
        <w:t xml:space="preserve"> summarises what the results mean for policy makers and discusses some high level implementation considerations.</w:t>
      </w:r>
    </w:p>
    <w:p w:rsidR="003A071C" w:rsidRPr="00425227" w:rsidRDefault="003A071C" w:rsidP="00677A08">
      <w:pPr>
        <w:pStyle w:val="EYBodytextwithparaspace"/>
      </w:pPr>
      <w:r w:rsidRPr="00BF183A">
        <w:rPr>
          <w:b/>
        </w:rPr>
        <w:t xml:space="preserve">Section </w:t>
      </w:r>
      <w:r w:rsidR="0071434D">
        <w:rPr>
          <w:b/>
        </w:rPr>
        <w:t>9</w:t>
      </w:r>
      <w:r>
        <w:t xml:space="preserve"> sets out the conclusions of this Final RIS.</w:t>
      </w:r>
    </w:p>
    <w:p w:rsidR="00891465" w:rsidRDefault="00891465" w:rsidP="00BF28DE">
      <w:pPr>
        <w:pStyle w:val="Heading2"/>
      </w:pPr>
      <w:bookmarkStart w:id="49" w:name="_Toc521497569"/>
      <w:bookmarkStart w:id="50" w:name="_Toc521501354"/>
      <w:bookmarkStart w:id="51" w:name="_Toc521935106"/>
      <w:bookmarkStart w:id="52" w:name="_Toc521941465"/>
      <w:bookmarkStart w:id="53" w:name="_Toc521943116"/>
      <w:bookmarkStart w:id="54" w:name="_Toc521497574"/>
      <w:bookmarkStart w:id="55" w:name="_Toc521501359"/>
      <w:bookmarkStart w:id="56" w:name="_Toc521935111"/>
      <w:bookmarkStart w:id="57" w:name="_Toc521941470"/>
      <w:bookmarkStart w:id="58" w:name="_Toc521943121"/>
      <w:bookmarkStart w:id="59" w:name="_Toc521497575"/>
      <w:bookmarkStart w:id="60" w:name="_Toc521501360"/>
      <w:bookmarkStart w:id="61" w:name="_Toc521935112"/>
      <w:bookmarkStart w:id="62" w:name="_Toc521941471"/>
      <w:bookmarkStart w:id="63" w:name="_Toc521943122"/>
      <w:bookmarkStart w:id="64" w:name="_Toc521497576"/>
      <w:bookmarkStart w:id="65" w:name="_Toc521501361"/>
      <w:bookmarkStart w:id="66" w:name="_Toc521935113"/>
      <w:bookmarkStart w:id="67" w:name="_Toc521941472"/>
      <w:bookmarkStart w:id="68" w:name="_Toc521943123"/>
      <w:bookmarkStart w:id="69" w:name="_Toc521497577"/>
      <w:bookmarkStart w:id="70" w:name="_Toc521501362"/>
      <w:bookmarkStart w:id="71" w:name="_Toc521935114"/>
      <w:bookmarkStart w:id="72" w:name="_Toc521941473"/>
      <w:bookmarkStart w:id="73" w:name="_Toc521943124"/>
      <w:bookmarkStart w:id="74" w:name="_Toc504388848"/>
      <w:bookmarkStart w:id="75" w:name="_Toc504401699"/>
      <w:bookmarkStart w:id="76" w:name="_Toc504649905"/>
      <w:bookmarkStart w:id="77" w:name="_Ref505260609"/>
      <w:bookmarkStart w:id="78" w:name="_Ref507583495"/>
      <w:bookmarkStart w:id="79" w:name="_Toc52589778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t>What are</w:t>
      </w:r>
      <w:r w:rsidR="001F1805">
        <w:t xml:space="preserve"> accessible</w:t>
      </w:r>
      <w:r>
        <w:t xml:space="preserve"> adult change facilities?</w:t>
      </w:r>
      <w:bookmarkEnd w:id="47"/>
      <w:bookmarkEnd w:id="74"/>
      <w:bookmarkEnd w:id="75"/>
      <w:bookmarkEnd w:id="76"/>
      <w:bookmarkEnd w:id="77"/>
      <w:bookmarkEnd w:id="78"/>
      <w:bookmarkEnd w:id="79"/>
    </w:p>
    <w:p w:rsidR="00677A08" w:rsidRPr="009260BA" w:rsidRDefault="00677A08" w:rsidP="009260BA">
      <w:pPr>
        <w:pStyle w:val="Modifiedheading3"/>
        <w:rPr>
          <w:b/>
        </w:rPr>
      </w:pPr>
      <w:r w:rsidRPr="009260BA">
        <w:rPr>
          <w:b/>
        </w:rPr>
        <w:t>General description</w:t>
      </w:r>
    </w:p>
    <w:p w:rsidR="00677A08" w:rsidRDefault="009E7F01" w:rsidP="0013082F">
      <w:pPr>
        <w:pStyle w:val="EYBodytextwithparaspace"/>
        <w:rPr>
          <w:vertAlign w:val="superscript"/>
        </w:rPr>
      </w:pPr>
      <w:r>
        <w:t xml:space="preserve">AACFs </w:t>
      </w:r>
      <w:r w:rsidR="00677A08" w:rsidRPr="00677A08">
        <w:t xml:space="preserve">are essentially sanitary facilities with additional features </w:t>
      </w:r>
      <w:r w:rsidR="00592D84" w:rsidRPr="00677A08">
        <w:t>t</w:t>
      </w:r>
      <w:r w:rsidR="00592D84">
        <w:t>hat</w:t>
      </w:r>
      <w:r w:rsidR="00592D84" w:rsidRPr="00677A08">
        <w:t xml:space="preserve"> </w:t>
      </w:r>
      <w:r w:rsidR="00E00517">
        <w:t xml:space="preserve">provide amenity </w:t>
      </w:r>
      <w:r w:rsidR="00592D84">
        <w:t xml:space="preserve">and assist </w:t>
      </w:r>
      <w:r w:rsidR="00677A08" w:rsidRPr="00677A08">
        <w:t>people with more profound or complex disability who are unable to use standard accessible facilities independently. Such features may include an adult-sized change table, hoist, larger circulation spaces and a ‘peninsula-type’ toilet.</w:t>
      </w:r>
      <w:r w:rsidR="00677A08" w:rsidRPr="00C133AC">
        <w:rPr>
          <w:rStyle w:val="FootnoteReference"/>
          <w:rFonts w:eastAsiaTheme="minorHAnsi"/>
          <w:sz w:val="24"/>
          <w:szCs w:val="24"/>
        </w:rPr>
        <w:footnoteReference w:id="20"/>
      </w:r>
    </w:p>
    <w:p w:rsidR="004B7BC4" w:rsidRPr="009260BA" w:rsidRDefault="004B7BC4" w:rsidP="009260BA">
      <w:pPr>
        <w:pStyle w:val="Modifiedheading3"/>
        <w:rPr>
          <w:b/>
        </w:rPr>
      </w:pPr>
      <w:r w:rsidRPr="009260BA">
        <w:rPr>
          <w:b/>
        </w:rPr>
        <w:t>Changing Places</w:t>
      </w:r>
    </w:p>
    <w:p w:rsidR="004B7BC4" w:rsidRDefault="004B7BC4" w:rsidP="009260BA">
      <w:pPr>
        <w:pStyle w:val="EYBodytextwithparaspace"/>
      </w:pPr>
      <w:r w:rsidRPr="00301376">
        <w:t xml:space="preserve">A ‘Changing Places’ facility is an accessible sanitary facility that is designed and accredited according to the Changing Places Technical Standard (CPTS) which is one </w:t>
      </w:r>
      <w:r w:rsidRPr="00301376">
        <w:lastRenderedPageBreak/>
        <w:t xml:space="preserve">model for the design of </w:t>
      </w:r>
      <w:r w:rsidR="000B4EC8">
        <w:t>AACFs</w:t>
      </w:r>
      <w:r w:rsidRPr="00301376">
        <w:t>.</w:t>
      </w:r>
      <w:r w:rsidRPr="004B7BC4">
        <w:rPr>
          <w:vertAlign w:val="superscript"/>
        </w:rPr>
        <w:footnoteReference w:id="21"/>
      </w:r>
      <w:r w:rsidRPr="00301376">
        <w:t xml:space="preserve"> As a condition of accreditation, Changing Places facilities must be provided in addition to, and separate from, standard accessible sanitary facilities.</w:t>
      </w:r>
    </w:p>
    <w:p w:rsidR="005E6C17" w:rsidRDefault="005E6C17" w:rsidP="00681E1A">
      <w:pPr>
        <w:pStyle w:val="EYBodytextwithparaspace"/>
        <w:spacing w:after="200"/>
      </w:pPr>
      <w:r>
        <w:t xml:space="preserve">Changing Places </w:t>
      </w:r>
      <w:r w:rsidR="00A675D7">
        <w:t xml:space="preserve">facilities </w:t>
      </w:r>
      <w:r>
        <w:t xml:space="preserve">provide additional specifications to those listed above for a </w:t>
      </w:r>
      <w:r w:rsidR="000B4EC8">
        <w:t>general AACF</w:t>
      </w:r>
      <w:r>
        <w:t>. The Changing</w:t>
      </w:r>
      <w:r w:rsidR="00652602">
        <w:t xml:space="preserve"> Places specifications include:</w:t>
      </w:r>
    </w:p>
    <w:p w:rsidR="005E6C17" w:rsidRDefault="005E6C17" w:rsidP="00E1086B">
      <w:pPr>
        <w:pStyle w:val="EYBulletnoparaspace"/>
      </w:pPr>
      <w:r>
        <w:t>A height adjustable adult-sized bench</w:t>
      </w:r>
    </w:p>
    <w:p w:rsidR="005E6C17" w:rsidRDefault="005E6C17" w:rsidP="00E1086B">
      <w:pPr>
        <w:pStyle w:val="EYBulletnoparaspace"/>
      </w:pPr>
      <w:r>
        <w:t>A tracking hoist system, or mobile hoist if this is not possible</w:t>
      </w:r>
    </w:p>
    <w:p w:rsidR="005E6C17" w:rsidRDefault="005E6C17" w:rsidP="00E1086B">
      <w:pPr>
        <w:pStyle w:val="EYBulletnoparaspace"/>
      </w:pPr>
      <w:r>
        <w:t>Adequate space in the changing area for the person and up to two carers</w:t>
      </w:r>
    </w:p>
    <w:p w:rsidR="005E6C17" w:rsidRDefault="005E6C17" w:rsidP="00E1086B">
      <w:pPr>
        <w:pStyle w:val="EYBulletnoparaspace"/>
      </w:pPr>
      <w:r>
        <w:t>A centrally placed toilet with room either side</w:t>
      </w:r>
    </w:p>
    <w:p w:rsidR="005E6C17" w:rsidRDefault="005E6C17" w:rsidP="00E1086B">
      <w:pPr>
        <w:pStyle w:val="EYBulletnoparaspace"/>
      </w:pPr>
      <w:r>
        <w:t>A screen or curtain to allow some privacy</w:t>
      </w:r>
    </w:p>
    <w:p w:rsidR="002B6FD4" w:rsidRDefault="005E6C17" w:rsidP="00E1086B">
      <w:pPr>
        <w:pStyle w:val="EYBulletnoparaspace"/>
      </w:pPr>
      <w:r>
        <w:t>Wide tear of</w:t>
      </w:r>
      <w:r w:rsidR="002B6FD4">
        <w:t>f paper roll to cover the bench</w:t>
      </w:r>
    </w:p>
    <w:p w:rsidR="002B6FD4" w:rsidRDefault="005E6C17" w:rsidP="00E1086B">
      <w:pPr>
        <w:pStyle w:val="EYBulletnoparaspace"/>
      </w:pPr>
      <w:r>
        <w:t>A large waste bin for disposable pads</w:t>
      </w:r>
    </w:p>
    <w:p w:rsidR="002B6FD4" w:rsidRDefault="005E6C17" w:rsidP="00E1086B">
      <w:pPr>
        <w:pStyle w:val="EYBulletnoparaspace"/>
      </w:pPr>
      <w:r>
        <w:t>A non-slip floor</w:t>
      </w:r>
      <w:r w:rsidR="00D009F5">
        <w:t>.</w:t>
      </w:r>
      <w:r w:rsidR="004F0984" w:rsidRPr="006E0F5B">
        <w:rPr>
          <w:vertAlign w:val="superscript"/>
        </w:rPr>
        <w:footnoteReference w:id="22"/>
      </w:r>
    </w:p>
    <w:p w:rsidR="005E6C17" w:rsidRDefault="005E6C17" w:rsidP="009260BA">
      <w:pPr>
        <w:pStyle w:val="EYBodytextwithparaspace"/>
      </w:pPr>
      <w:r>
        <w:t>Changing Places was first established in the U</w:t>
      </w:r>
      <w:r w:rsidR="00CA796D">
        <w:t xml:space="preserve">nited </w:t>
      </w:r>
      <w:r>
        <w:t>K</w:t>
      </w:r>
      <w:r w:rsidR="00CA796D">
        <w:t>ingdom</w:t>
      </w:r>
      <w:r>
        <w:t xml:space="preserve"> and is currently led by a </w:t>
      </w:r>
      <w:r w:rsidR="00D009F5">
        <w:t>c</w:t>
      </w:r>
      <w:r>
        <w:t xml:space="preserve">onsortium of organisations working to support the rights of people with profound and multiple learning disabilities and / or other physical disabilities. The </w:t>
      </w:r>
      <w:r w:rsidR="00D009F5">
        <w:t>c</w:t>
      </w:r>
      <w:r>
        <w:t>onsortium campaigns for Changing Places to be installed in all large public spaces.</w:t>
      </w:r>
      <w:r w:rsidR="004F0984" w:rsidRPr="00C133AC">
        <w:rPr>
          <w:rStyle w:val="FootnoteReference"/>
          <w:sz w:val="24"/>
          <w:szCs w:val="24"/>
        </w:rPr>
        <w:footnoteReference w:id="23"/>
      </w:r>
    </w:p>
    <w:p w:rsidR="004B7BC4" w:rsidRPr="009260BA" w:rsidRDefault="004B7BC4" w:rsidP="009260BA">
      <w:pPr>
        <w:pStyle w:val="Modifiedheading3"/>
        <w:rPr>
          <w:b/>
        </w:rPr>
      </w:pPr>
      <w:r w:rsidRPr="009260BA">
        <w:rPr>
          <w:b/>
        </w:rPr>
        <w:t>Lift &amp; Change</w:t>
      </w:r>
    </w:p>
    <w:p w:rsidR="004B7BC4" w:rsidRDefault="004B7BC4">
      <w:pPr>
        <w:pStyle w:val="EYBodytextwithparaspace"/>
      </w:pPr>
      <w:r w:rsidRPr="00BD5A2B">
        <w:t>Lift &amp; Change facilities</w:t>
      </w:r>
      <w:r w:rsidRPr="00301376">
        <w:t xml:space="preserve"> are required to comply with the N</w:t>
      </w:r>
      <w:r w:rsidR="00C90DA0">
        <w:t xml:space="preserve">ew </w:t>
      </w:r>
      <w:r w:rsidRPr="00301376">
        <w:t>S</w:t>
      </w:r>
      <w:r w:rsidR="00C90DA0">
        <w:t xml:space="preserve">outh </w:t>
      </w:r>
      <w:r w:rsidRPr="00301376">
        <w:t>W</w:t>
      </w:r>
      <w:r w:rsidR="00C90DA0">
        <w:t>ales (NSW)</w:t>
      </w:r>
      <w:r w:rsidRPr="00301376">
        <w:t xml:space="preserve"> Lift and Change Facilities Master Checklist.</w:t>
      </w:r>
      <w:r w:rsidRPr="00BD5A2B">
        <w:rPr>
          <w:vertAlign w:val="superscript"/>
        </w:rPr>
        <w:footnoteReference w:id="24"/>
      </w:r>
      <w:r w:rsidRPr="009260BA">
        <w:rPr>
          <w:vertAlign w:val="superscript"/>
        </w:rPr>
        <w:t xml:space="preserve"> </w:t>
      </w:r>
      <w:r w:rsidRPr="00301376">
        <w:t xml:space="preserve">Technically, the </w:t>
      </w:r>
      <w:r w:rsidR="000B4EC8">
        <w:t>C</w:t>
      </w:r>
      <w:r w:rsidRPr="00301376">
        <w:t xml:space="preserve">hecklist is consistent with the CPTS mentioned </w:t>
      </w:r>
      <w:r>
        <w:t>above</w:t>
      </w:r>
      <w:r w:rsidRPr="00301376">
        <w:t>. It is also consistent with</w:t>
      </w:r>
      <w:r w:rsidR="000B4EC8">
        <w:t xml:space="preserve"> the</w:t>
      </w:r>
      <w:r w:rsidRPr="00301376">
        <w:t xml:space="preserve"> CPTS requirement </w:t>
      </w:r>
      <w:r>
        <w:t>for</w:t>
      </w:r>
      <w:r w:rsidRPr="00301376">
        <w:t xml:space="preserve"> an additional standard (i.e. AS 1428.1 compliant) accessible sanitary facility to be provided nearby each Lift &amp; Change facility; this is to ensure that </w:t>
      </w:r>
      <w:r>
        <w:t>a facility remains available for people</w:t>
      </w:r>
      <w:r w:rsidRPr="00301376">
        <w:t xml:space="preserve"> who require a standard accessible sanitary facility.</w:t>
      </w:r>
      <w:r w:rsidRPr="004B7BC4">
        <w:rPr>
          <w:vertAlign w:val="superscript"/>
        </w:rPr>
        <w:footnoteReference w:id="25"/>
      </w:r>
    </w:p>
    <w:p w:rsidR="00521472" w:rsidRDefault="00F106A2" w:rsidP="00145D1B">
      <w:pPr>
        <w:pStyle w:val="Heading2"/>
      </w:pPr>
      <w:bookmarkStart w:id="80" w:name="_Ref503970040"/>
      <w:bookmarkStart w:id="81" w:name="_Toc504063158"/>
      <w:bookmarkStart w:id="82" w:name="_Toc504388849"/>
      <w:bookmarkStart w:id="83" w:name="_Toc504401700"/>
      <w:bookmarkStart w:id="84" w:name="_Toc504649906"/>
      <w:bookmarkStart w:id="85" w:name="_Toc525897782"/>
      <w:r>
        <w:t>Overview of approach</w:t>
      </w:r>
      <w:bookmarkEnd w:id="80"/>
      <w:bookmarkEnd w:id="81"/>
      <w:bookmarkEnd w:id="82"/>
      <w:bookmarkEnd w:id="83"/>
      <w:bookmarkEnd w:id="84"/>
      <w:bookmarkEnd w:id="85"/>
    </w:p>
    <w:p w:rsidR="004B7BC4" w:rsidRDefault="004B7BC4" w:rsidP="00145D1B">
      <w:pPr>
        <w:pStyle w:val="Heading3"/>
      </w:pPr>
      <w:r>
        <w:t>Options considered</w:t>
      </w:r>
    </w:p>
    <w:p w:rsidR="00BD5A2B" w:rsidRPr="006117C6" w:rsidRDefault="004B7BC4" w:rsidP="00681E1A">
      <w:pPr>
        <w:pStyle w:val="EYBodytextwithparaspace"/>
        <w:spacing w:after="200"/>
      </w:pPr>
      <w:r w:rsidRPr="006117C6">
        <w:t>The</w:t>
      </w:r>
      <w:r w:rsidR="00142255" w:rsidRPr="006117C6">
        <w:t xml:space="preserve"> Consultation RIS considered </w:t>
      </w:r>
      <w:r w:rsidRPr="006117C6">
        <w:t xml:space="preserve">two broad types of </w:t>
      </w:r>
      <w:r w:rsidR="00387B75" w:rsidRPr="006117C6">
        <w:t>AACF</w:t>
      </w:r>
      <w:r w:rsidRPr="006117C6">
        <w:t xml:space="preserve"> </w:t>
      </w:r>
      <w:r w:rsidR="00142255" w:rsidRPr="006117C6">
        <w:t xml:space="preserve">for the </w:t>
      </w:r>
      <w:r w:rsidRPr="006117C6">
        <w:t>analysis:</w:t>
      </w:r>
    </w:p>
    <w:p w:rsidR="00BD5A2B" w:rsidRPr="006117C6" w:rsidRDefault="002C7A4D" w:rsidP="00E1086B">
      <w:pPr>
        <w:pStyle w:val="EYBulletnoparaspace"/>
      </w:pPr>
      <w:r w:rsidRPr="006117C6">
        <w:t>Option A</w:t>
      </w:r>
      <w:r w:rsidR="004B7BC4" w:rsidRPr="006117C6">
        <w:t xml:space="preserve"> </w:t>
      </w:r>
      <w:r w:rsidR="00BD5A2B" w:rsidRPr="006117C6">
        <w:t>as</w:t>
      </w:r>
      <w:r w:rsidR="001A01F0" w:rsidRPr="006117C6">
        <w:t xml:space="preserve"> a</w:t>
      </w:r>
      <w:r w:rsidR="00BD5A2B" w:rsidRPr="006117C6">
        <w:t xml:space="preserve"> minimum necessary specification</w:t>
      </w:r>
      <w:r w:rsidR="007C69BF">
        <w:t>.</w:t>
      </w:r>
    </w:p>
    <w:p w:rsidR="004B7BC4" w:rsidRPr="006117C6" w:rsidRDefault="004B7BC4" w:rsidP="00E1086B">
      <w:pPr>
        <w:pStyle w:val="EYBulletnoparaspace"/>
      </w:pPr>
      <w:r w:rsidRPr="006117C6">
        <w:t xml:space="preserve">Option B </w:t>
      </w:r>
      <w:r w:rsidR="008F10B6">
        <w:t>as</w:t>
      </w:r>
      <w:r w:rsidRPr="006117C6">
        <w:t xml:space="preserve"> fully conforming to all the Changing Places</w:t>
      </w:r>
      <w:r w:rsidR="00E1086B">
        <w:t xml:space="preserve"> / Lift &amp; Change specifications</w:t>
      </w:r>
      <w:r w:rsidR="007C69BF">
        <w:t>.</w:t>
      </w:r>
    </w:p>
    <w:p w:rsidR="00191C4B" w:rsidRDefault="00191C4B" w:rsidP="00681E1A">
      <w:pPr>
        <w:pStyle w:val="EYBodytextwithparaspace"/>
        <w:spacing w:after="200"/>
      </w:pPr>
      <w:r>
        <w:t>The Final RIS has been amended to reflect stakeholder advice and now incorporates three regulatory sub-options:</w:t>
      </w:r>
    </w:p>
    <w:p w:rsidR="00191C4B" w:rsidRPr="002B6FD4" w:rsidRDefault="00191C4B" w:rsidP="0022711B">
      <w:pPr>
        <w:pStyle w:val="EYBulletedText1"/>
      </w:pPr>
      <w:r w:rsidRPr="002B6FD4">
        <w:t>Option A, which is intended as minimum necessary specification AACFs that are assumed to be co-located with SASFs</w:t>
      </w:r>
      <w:r w:rsidR="00641B84">
        <w:t>.</w:t>
      </w:r>
      <w:r w:rsidRPr="002B6FD4">
        <w:t xml:space="preserve"> </w:t>
      </w:r>
    </w:p>
    <w:p w:rsidR="00191C4B" w:rsidRPr="002B6FD4" w:rsidRDefault="00191C4B" w:rsidP="0022711B">
      <w:pPr>
        <w:pStyle w:val="EYBulletedText1"/>
      </w:pPr>
      <w:r w:rsidRPr="002B6FD4">
        <w:lastRenderedPageBreak/>
        <w:t>Option B, which is intended as minimum necessary specification AACFs that are assumed to be a separate facility from SASFs</w:t>
      </w:r>
      <w:r w:rsidR="00641B84">
        <w:t>.</w:t>
      </w:r>
    </w:p>
    <w:p w:rsidR="00191C4B" w:rsidRPr="002B6FD4" w:rsidRDefault="00191C4B" w:rsidP="0022711B">
      <w:pPr>
        <w:pStyle w:val="EYBulletedText1"/>
      </w:pPr>
      <w:r w:rsidRPr="002B6FD4">
        <w:t>Option C, which is fully conforming Changing Places / Lift &amp; Change specification.</w:t>
      </w:r>
    </w:p>
    <w:p w:rsidR="00970D04" w:rsidRPr="00E30DB1" w:rsidRDefault="00970D04" w:rsidP="004B7BC4">
      <w:pPr>
        <w:pStyle w:val="EYBodytextwithparaspace"/>
        <w:rPr>
          <w:highlight w:val="yellow"/>
        </w:rPr>
      </w:pPr>
      <w:r>
        <w:t xml:space="preserve">As will be discussed in </w:t>
      </w:r>
      <w:r w:rsidR="00233BC6">
        <w:t>S</w:t>
      </w:r>
      <w:r>
        <w:t xml:space="preserve">ection </w:t>
      </w:r>
      <w:r>
        <w:fldChar w:fldCharType="begin"/>
      </w:r>
      <w:r>
        <w:instrText xml:space="preserve"> REF _Ref518470838 \r \h </w:instrText>
      </w:r>
      <w:r>
        <w:fldChar w:fldCharType="separate"/>
      </w:r>
      <w:r w:rsidR="00910A73">
        <w:t>7.2</w:t>
      </w:r>
      <w:r>
        <w:fldChar w:fldCharType="end"/>
      </w:r>
      <w:r>
        <w:t>, stakeholder comments revealed a range of potential downsides to Options B and C</w:t>
      </w:r>
      <w:r w:rsidR="00934914">
        <w:t>.</w:t>
      </w:r>
      <w:r>
        <w:t xml:space="preserve"> </w:t>
      </w:r>
      <w:r w:rsidR="00934914">
        <w:t>T</w:t>
      </w:r>
      <w:r>
        <w:t>his, combined with their considerably higher costs relative to Option A, leads to Option A being assessed as the preferred option.</w:t>
      </w:r>
    </w:p>
    <w:p w:rsidR="003B3AD9" w:rsidRPr="0022711B" w:rsidRDefault="003B3AD9" w:rsidP="003B3AD9">
      <w:pPr>
        <w:pStyle w:val="Modifiedheading3"/>
        <w:rPr>
          <w:b/>
        </w:rPr>
      </w:pPr>
      <w:r w:rsidRPr="0022711B">
        <w:rPr>
          <w:b/>
        </w:rPr>
        <w:t>Coverage of this analysis</w:t>
      </w:r>
    </w:p>
    <w:p w:rsidR="003B3AD9" w:rsidRDefault="003B3AD9" w:rsidP="003B3AD9">
      <w:pPr>
        <w:pStyle w:val="EYBodytextwithparaspace"/>
      </w:pPr>
      <w:r>
        <w:t xml:space="preserve">Not all types of Class 9b assembly buildings have been considered in this Final RIS because some are outside the scope of the proposal; others have </w:t>
      </w:r>
      <w:r w:rsidRPr="00A4332A">
        <w:t>been assessed</w:t>
      </w:r>
      <w:r>
        <w:t xml:space="preserve"> qualitatively only due to a lack of data. </w:t>
      </w:r>
    </w:p>
    <w:p w:rsidR="003B3AD9" w:rsidRDefault="003B3AD9" w:rsidP="00681E1A">
      <w:pPr>
        <w:pStyle w:val="EYBodytextwithparaspace"/>
        <w:spacing w:after="200"/>
      </w:pPr>
      <w:r>
        <w:t>The approach taken for each different type of Class 9b assembly building within scope is outlined as follows:</w:t>
      </w:r>
    </w:p>
    <w:p w:rsidR="003B3AD9" w:rsidRPr="002B6FD4" w:rsidRDefault="003B3AD9" w:rsidP="003B3AD9">
      <w:pPr>
        <w:pStyle w:val="EYBulletedText1"/>
      </w:pPr>
      <w:r w:rsidRPr="002B6FD4">
        <w:t>Stadiums, museums, airports and public aquatic facilities have been quantitatively assessed.</w:t>
      </w:r>
    </w:p>
    <w:p w:rsidR="003B3AD9" w:rsidRPr="002B6FD4" w:rsidRDefault="003B3AD9" w:rsidP="003B3AD9">
      <w:pPr>
        <w:pStyle w:val="EYBulletedText1"/>
      </w:pPr>
      <w:r w:rsidRPr="002B6FD4">
        <w:t>Bus stations, railway stations, and ferry terminals (public transport buildings) are considered quantitatively to the extent possible, noting research regarding barriers to use and that there is no clear, reliable way of delineating between 'major' and other public transport hubs.</w:t>
      </w:r>
    </w:p>
    <w:p w:rsidR="003B3AD9" w:rsidRPr="002B6FD4" w:rsidRDefault="003B3AD9" w:rsidP="003B3AD9">
      <w:pPr>
        <w:pStyle w:val="EYBulletedText1"/>
      </w:pPr>
      <w:r w:rsidRPr="002B6FD4">
        <w:t>Cinemas are assumed to be located within shopping centres and therefore considered as part of the analysis for shopping centres.</w:t>
      </w:r>
    </w:p>
    <w:p w:rsidR="003B3AD9" w:rsidRPr="002B6FD4" w:rsidRDefault="003B3AD9" w:rsidP="003B3AD9">
      <w:pPr>
        <w:pStyle w:val="EYBulletedText1"/>
      </w:pPr>
      <w:r>
        <w:t>L</w:t>
      </w:r>
      <w:r w:rsidRPr="002B6FD4">
        <w:t>ibraries, theatres and public halls are considered qualitatively.</w:t>
      </w:r>
    </w:p>
    <w:p w:rsidR="003B3AD9" w:rsidRPr="000D67AB" w:rsidRDefault="003B3AD9" w:rsidP="00535600">
      <w:pPr>
        <w:pStyle w:val="EYBodytextwithparaspace"/>
      </w:pPr>
      <w:r w:rsidRPr="000D67AB">
        <w:t xml:space="preserve">The following building types </w:t>
      </w:r>
      <w:r>
        <w:t>have not been considered as part of this analysis</w:t>
      </w:r>
      <w:r w:rsidRPr="000D67AB">
        <w:t>:</w:t>
      </w:r>
    </w:p>
    <w:p w:rsidR="00535600" w:rsidRPr="00401513" w:rsidRDefault="003B3AD9" w:rsidP="00535600">
      <w:pPr>
        <w:pStyle w:val="EYBodytextwithparaspace"/>
      </w:pPr>
      <w:r w:rsidRPr="00401513">
        <w:t xml:space="preserve">Schools, pre-schools and early childhood centres, places of worship, buildings used for political purposes and discotheques, nightclubs and bars have been excluded due to being outside of the scope of the relevant recommendation of the Premises Standards </w:t>
      </w:r>
      <w:r w:rsidR="008B5A93">
        <w:t>r</w:t>
      </w:r>
      <w:r w:rsidRPr="00401513">
        <w:t>eview.</w:t>
      </w:r>
      <w:r w:rsidR="0042716B" w:rsidRPr="00401513">
        <w:t xml:space="preserve"> </w:t>
      </w:r>
    </w:p>
    <w:p w:rsidR="0042716B" w:rsidRPr="0042716B" w:rsidRDefault="0042716B" w:rsidP="0072286A">
      <w:pPr>
        <w:pStyle w:val="Caption"/>
        <w:pBdr>
          <w:top w:val="single" w:sz="4" w:space="1" w:color="auto"/>
          <w:left w:val="single" w:sz="4" w:space="4" w:color="auto"/>
          <w:bottom w:val="single" w:sz="4" w:space="31" w:color="auto"/>
          <w:right w:val="single" w:sz="4" w:space="4" w:color="auto"/>
        </w:pBdr>
        <w:shd w:val="clear" w:color="auto" w:fill="D9D9D9" w:themeFill="background1" w:themeFillShade="D9"/>
      </w:pPr>
      <w:r>
        <w:t>Consultation Question</w:t>
      </w:r>
    </w:p>
    <w:p w:rsidR="00A20003" w:rsidRDefault="003B3AD9" w:rsidP="00A15416">
      <w:pPr>
        <w:pStyle w:val="Caption"/>
        <w:numPr>
          <w:ilvl w:val="0"/>
          <w:numId w:val="37"/>
        </w:numPr>
        <w:pBdr>
          <w:top w:val="single" w:sz="4" w:space="1" w:color="auto"/>
          <w:left w:val="single" w:sz="4" w:space="4" w:color="auto"/>
          <w:bottom w:val="single" w:sz="4" w:space="31" w:color="auto"/>
          <w:right w:val="single" w:sz="4" w:space="4" w:color="auto"/>
        </w:pBdr>
        <w:shd w:val="clear" w:color="auto" w:fill="D9D9D9" w:themeFill="background1" w:themeFillShade="D9"/>
        <w:spacing w:after="120"/>
        <w:ind w:left="794" w:hanging="794"/>
      </w:pPr>
      <w:r>
        <w:rPr>
          <w:b w:val="0"/>
          <w:bCs w:val="0"/>
        </w:rPr>
        <w:t>I</w:t>
      </w:r>
      <w:r w:rsidRPr="006A7ED5">
        <w:rPr>
          <w:b w:val="0"/>
        </w:rPr>
        <w:t>s the selection of the types of Class 9b assembly buildings considered appr</w:t>
      </w:r>
      <w:r>
        <w:rPr>
          <w:b w:val="0"/>
        </w:rPr>
        <w:t>opr</w:t>
      </w:r>
      <w:r w:rsidRPr="006A7ED5">
        <w:rPr>
          <w:b w:val="0"/>
        </w:rPr>
        <w:t>iate?</w:t>
      </w:r>
    </w:p>
    <w:p w:rsidR="00E1086B" w:rsidRDefault="00E1086B">
      <w:pPr>
        <w:jc w:val="left"/>
        <w:rPr>
          <w:rFonts w:eastAsia="Times New Roman" w:cs="Arial"/>
          <w:b/>
          <w:szCs w:val="24"/>
        </w:rPr>
      </w:pPr>
      <w:r>
        <w:rPr>
          <w:b/>
        </w:rPr>
        <w:br w:type="page"/>
      </w:r>
    </w:p>
    <w:p w:rsidR="00A20003" w:rsidRPr="002B6FD4" w:rsidRDefault="00A20003" w:rsidP="00A20003">
      <w:pPr>
        <w:pStyle w:val="EYBodytextwithparaspace"/>
        <w:pBdr>
          <w:top w:val="single" w:sz="4" w:space="1" w:color="auto"/>
          <w:left w:val="single" w:sz="4" w:space="1" w:color="auto"/>
          <w:bottom w:val="single" w:sz="4" w:space="1" w:color="auto"/>
          <w:right w:val="single" w:sz="4" w:space="1" w:color="auto"/>
        </w:pBdr>
        <w:shd w:val="clear" w:color="auto" w:fill="F2F2F2" w:themeFill="background1" w:themeFillShade="F2"/>
      </w:pPr>
      <w:r w:rsidRPr="00F57240">
        <w:rPr>
          <w:b/>
        </w:rPr>
        <w:lastRenderedPageBreak/>
        <w:t>Stakeholder feedback</w:t>
      </w:r>
      <w:r w:rsidRPr="002B6FD4">
        <w:t xml:space="preserve"> </w:t>
      </w:r>
    </w:p>
    <w:p w:rsidR="00F65182" w:rsidRDefault="00A20003" w:rsidP="00A20003">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2B6FD4">
        <w:rPr>
          <w:b w:val="0"/>
        </w:rPr>
        <w:t xml:space="preserve">Class 6 shopping centres and Class 9b assembly buildings within the scope of the proposal were generally considered appropriate. </w:t>
      </w:r>
    </w:p>
    <w:p w:rsidR="00A20003" w:rsidRPr="002B6FD4" w:rsidRDefault="00A20003" w:rsidP="00A20003">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i/>
        </w:rPr>
      </w:pPr>
      <w:r w:rsidRPr="002B6FD4">
        <w:rPr>
          <w:b w:val="0"/>
        </w:rPr>
        <w:t>Buildings that function as transport nodes such as railways stations and airports attracted the most discussion.</w:t>
      </w:r>
    </w:p>
    <w:p w:rsidR="00A20003" w:rsidRPr="002B6FD4" w:rsidRDefault="00A20003" w:rsidP="00A20003">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2B6FD4">
        <w:rPr>
          <w:b w:val="0"/>
        </w:rPr>
        <w:t>Divergent perspectives regarding the need for AACFs in transport buildings other than airports were common. This is thought to be due to their high ‘throughput’ and the relatively low average time spent in the building. Transport for New South Wales (TfNSW) noted:</w:t>
      </w:r>
    </w:p>
    <w:p w:rsidR="00A20003" w:rsidRPr="002B6FD4" w:rsidRDefault="00A20003" w:rsidP="00A20003">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2B6FD4">
        <w:rPr>
          <w:b w:val="0"/>
        </w:rPr>
        <w:t>“</w:t>
      </w:r>
      <w:r w:rsidRPr="002B6FD4">
        <w:rPr>
          <w:b w:val="0"/>
          <w:i/>
        </w:rPr>
        <w:t>Unlike other Class 9b assembly buildings, transport buildings are transitory environments that people pass through to reach destinations, not destinations in their own right … TfNSW acknowledges that there may be customer benefits from installing adult changing places facilities in strategically located high patronage public facilities. However, a general requirement would impose a requirement greatly in excess of the public demand for such services.”</w:t>
      </w:r>
      <w:r w:rsidRPr="002B6FD4">
        <w:rPr>
          <w:b w:val="0"/>
        </w:rPr>
        <w:t xml:space="preserve"> </w:t>
      </w:r>
    </w:p>
    <w:p w:rsidR="00A20003" w:rsidRPr="002B6FD4" w:rsidRDefault="00A20003" w:rsidP="00A20003">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2B6FD4">
        <w:rPr>
          <w:b w:val="0"/>
        </w:rPr>
        <w:t xml:space="preserve">The Australasian Railway Association supported this position and also noted further complications with the inclusion of new train stations or transport buildings: </w:t>
      </w:r>
    </w:p>
    <w:p w:rsidR="00A20003" w:rsidRPr="002B6FD4" w:rsidRDefault="00A20003" w:rsidP="00A20003">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2B6FD4">
        <w:rPr>
          <w:b w:val="0"/>
        </w:rPr>
        <w:t>“</w:t>
      </w:r>
      <w:r w:rsidRPr="002B6FD4">
        <w:rPr>
          <w:b w:val="0"/>
          <w:i/>
        </w:rPr>
        <w:t>Currently, each passenger rail operator classifies its train stations differently. Although this predominantly links to similar elements; patronage, location etc., there is no consistent means of classifying trains stations around Australia. It would be an overstatement of demand for AACFs to impose a requirement for AACFs to be included in all new train stations</w:t>
      </w:r>
      <w:r w:rsidRPr="002B6FD4">
        <w:rPr>
          <w:b w:val="0"/>
        </w:rPr>
        <w:t>.”</w:t>
      </w:r>
    </w:p>
    <w:p w:rsidR="00A20003" w:rsidRPr="002B6FD4" w:rsidRDefault="00A20003" w:rsidP="00A20003">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2B6FD4">
        <w:rPr>
          <w:b w:val="0"/>
        </w:rPr>
        <w:t xml:space="preserve">As demonstrated above, for railway stations that function as public transport nodes, multiple responses noted this transitory nature as reasoning for excluding them from selection, while a number of disability advocates noted the provision of AACFs at these facilities would increase accessibility for </w:t>
      </w:r>
      <w:r w:rsidR="007C69BF">
        <w:rPr>
          <w:b w:val="0"/>
        </w:rPr>
        <w:t>people with complex disability</w:t>
      </w:r>
      <w:r w:rsidRPr="002B6FD4">
        <w:rPr>
          <w:b w:val="0"/>
        </w:rPr>
        <w:t xml:space="preserve"> to destinations across transport networks. A disability advocate stated: </w:t>
      </w:r>
    </w:p>
    <w:p w:rsidR="00A20003" w:rsidRPr="002B6FD4" w:rsidRDefault="00A20003" w:rsidP="00A20003">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2B6FD4">
        <w:rPr>
          <w:b w:val="0"/>
        </w:rPr>
        <w:t>“</w:t>
      </w:r>
      <w:r w:rsidRPr="002B6FD4">
        <w:rPr>
          <w:b w:val="0"/>
          <w:i/>
        </w:rPr>
        <w:t>… it is essential to ensure airports, train stations, bus stations, bus terminals are also included in the type of 9b assembly buildings being considered. Travelling can be a stressful time for any individual but it is extremely stressful when there is no change facility available for the profoundly disabled person. People with disabilities like to travel and to use public transport where possible</w:t>
      </w:r>
      <w:r w:rsidRPr="002B6FD4">
        <w:rPr>
          <w:b w:val="0"/>
        </w:rPr>
        <w:t xml:space="preserve">.” </w:t>
      </w:r>
    </w:p>
    <w:p w:rsidR="00A20003" w:rsidRPr="002B6FD4" w:rsidRDefault="00A20003" w:rsidP="00A20003">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2B6FD4">
        <w:rPr>
          <w:b w:val="0"/>
        </w:rPr>
        <w:t>General alignment of this view was expressed by the Victorian Health and Human Service</w:t>
      </w:r>
      <w:r w:rsidR="00F51D8C">
        <w:rPr>
          <w:b w:val="0"/>
        </w:rPr>
        <w:t>s</w:t>
      </w:r>
      <w:r w:rsidRPr="002B6FD4">
        <w:rPr>
          <w:b w:val="0"/>
        </w:rPr>
        <w:t xml:space="preserve"> Building Authority </w:t>
      </w:r>
      <w:r w:rsidR="00DD687C">
        <w:rPr>
          <w:b w:val="0"/>
        </w:rPr>
        <w:t xml:space="preserve">(Victorian </w:t>
      </w:r>
      <w:r w:rsidR="00F51D8C">
        <w:rPr>
          <w:b w:val="0"/>
        </w:rPr>
        <w:t>HHS</w:t>
      </w:r>
      <w:r w:rsidR="00DD687C">
        <w:rPr>
          <w:b w:val="0"/>
        </w:rPr>
        <w:t>BA</w:t>
      </w:r>
      <w:r w:rsidR="00F51D8C">
        <w:rPr>
          <w:b w:val="0"/>
        </w:rPr>
        <w:t>)</w:t>
      </w:r>
      <w:r w:rsidRPr="002B6FD4">
        <w:rPr>
          <w:b w:val="0"/>
        </w:rPr>
        <w:t xml:space="preserve"> which noted: </w:t>
      </w:r>
    </w:p>
    <w:p w:rsidR="002D3898" w:rsidRDefault="00A20003" w:rsidP="00885492">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2B6FD4">
        <w:rPr>
          <w:b w:val="0"/>
        </w:rPr>
        <w:t>“</w:t>
      </w:r>
      <w:r w:rsidRPr="002B6FD4">
        <w:rPr>
          <w:b w:val="0"/>
          <w:i/>
        </w:rPr>
        <w:t>Public transport buildings ─ should include major train stations (called premium stations in Victoria), major bus interchanges and all major passenger airports</w:t>
      </w:r>
      <w:r w:rsidRPr="002B6FD4">
        <w:rPr>
          <w:b w:val="0"/>
        </w:rPr>
        <w:t xml:space="preserve">.” </w:t>
      </w:r>
    </w:p>
    <w:p w:rsidR="00885492" w:rsidRDefault="00A20003" w:rsidP="00885492">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2B6FD4">
        <w:rPr>
          <w:b w:val="0"/>
        </w:rPr>
        <w:t xml:space="preserve">A number of other responses considered that other buildings such as major public and private hospitals, cinemas, major school and university campuses, buildings that provide sporting activities for people who use a wheelchair, and buildings that are specifically </w:t>
      </w:r>
      <w:r w:rsidRPr="002B6FD4">
        <w:rPr>
          <w:b w:val="0"/>
        </w:rPr>
        <w:lastRenderedPageBreak/>
        <w:t xml:space="preserve">visited because they provide </w:t>
      </w:r>
      <w:r w:rsidR="00A675D7">
        <w:rPr>
          <w:b w:val="0"/>
        </w:rPr>
        <w:t>facilitie</w:t>
      </w:r>
      <w:r w:rsidR="00A675D7" w:rsidRPr="002B6FD4">
        <w:rPr>
          <w:b w:val="0"/>
        </w:rPr>
        <w:t>s</w:t>
      </w:r>
      <w:r w:rsidRPr="002B6FD4">
        <w:rPr>
          <w:b w:val="0"/>
        </w:rPr>
        <w:t xml:space="preserve">, such as Visitor Information Centres and Highway </w:t>
      </w:r>
      <w:r w:rsidR="00885492" w:rsidRPr="002B6FD4">
        <w:rPr>
          <w:b w:val="0"/>
        </w:rPr>
        <w:t xml:space="preserve">Service Centres should also be included. </w:t>
      </w:r>
      <w:r w:rsidR="00885492">
        <w:rPr>
          <w:b w:val="0"/>
        </w:rPr>
        <w:t xml:space="preserve"> </w:t>
      </w:r>
    </w:p>
    <w:p w:rsidR="00885492" w:rsidRDefault="00885492" w:rsidP="00885492">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Pr>
          <w:b w:val="0"/>
        </w:rPr>
        <w:t xml:space="preserve">An example of these responses which </w:t>
      </w:r>
      <w:r w:rsidR="002D3898">
        <w:rPr>
          <w:b w:val="0"/>
        </w:rPr>
        <w:t xml:space="preserve">discussed </w:t>
      </w:r>
      <w:r>
        <w:rPr>
          <w:b w:val="0"/>
        </w:rPr>
        <w:t>other buildings is the Victorian HHSB which noted:</w:t>
      </w:r>
    </w:p>
    <w:p w:rsidR="00885492" w:rsidRPr="00885492" w:rsidRDefault="00885492" w:rsidP="00885492">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Pr>
          <w:b w:val="0"/>
        </w:rPr>
        <w:t>“</w:t>
      </w:r>
      <w:r w:rsidRPr="00885492">
        <w:rPr>
          <w:b w:val="0"/>
          <w:i/>
        </w:rPr>
        <w:t>We support the regulatory option to mandate Class 6 shopping centres and Class 9b buildings. Our preference is for option B fu</w:t>
      </w:r>
      <w:r w:rsidR="00CA7A72">
        <w:rPr>
          <w:b w:val="0"/>
          <w:i/>
        </w:rPr>
        <w:t>lly conforming to all Changing P</w:t>
      </w:r>
      <w:r w:rsidRPr="00885492">
        <w:rPr>
          <w:b w:val="0"/>
          <w:i/>
        </w:rPr>
        <w:t xml:space="preserve">laces specifications. Victoria also recommended that Class 9a buildings, major public </w:t>
      </w:r>
      <w:r w:rsidR="00CA7A72">
        <w:rPr>
          <w:b w:val="0"/>
          <w:i/>
        </w:rPr>
        <w:t xml:space="preserve">and </w:t>
      </w:r>
      <w:r w:rsidRPr="00885492">
        <w:rPr>
          <w:b w:val="0"/>
          <w:i/>
        </w:rPr>
        <w:t>private hospitals and major campuses of schools and universities where the capacity is 2,000 o</w:t>
      </w:r>
      <w:r w:rsidR="006964CC">
        <w:rPr>
          <w:b w:val="0"/>
          <w:i/>
        </w:rPr>
        <w:t>r</w:t>
      </w:r>
      <w:r w:rsidRPr="00885492">
        <w:rPr>
          <w:b w:val="0"/>
          <w:i/>
        </w:rPr>
        <w:t xml:space="preserve"> greater (students and staff) should also be included</w:t>
      </w:r>
      <w:r>
        <w:rPr>
          <w:b w:val="0"/>
        </w:rPr>
        <w:t>.”</w:t>
      </w:r>
    </w:p>
    <w:p w:rsidR="00A20003" w:rsidRDefault="00A20003" w:rsidP="004E67C9">
      <w:pPr>
        <w:pStyle w:val="EYBodytextwithparaspace"/>
      </w:pPr>
      <w:r>
        <w:t xml:space="preserve">It is important to note that while the question referred to the selection of buildings for analysis, most responses referred to selection of buildings for exclusion from the requirement to install an AACF. Of those responses that did refer to the selection of buildings for analysis, the types of Class 9b assembly buildings considered was generally considered appropriate in addressing the defined problem of a shortage of AACFs in public buildings. The selection of types of Class 9b assembly buildings also supports the relevant recommendations of the Premises Standards </w:t>
      </w:r>
      <w:r w:rsidR="00504F76">
        <w:t>r</w:t>
      </w:r>
      <w:r>
        <w:t>eview and was considered appropriate by most stakeholders.</w:t>
      </w:r>
    </w:p>
    <w:p w:rsidR="00A20003" w:rsidRDefault="00A20003" w:rsidP="004E67C9">
      <w:pPr>
        <w:pStyle w:val="EYBodytextwithparaspace"/>
      </w:pPr>
      <w:r>
        <w:t xml:space="preserve">Of the responses that referred to the selection of buildings for exclusion from the requirements to install an </w:t>
      </w:r>
      <w:r w:rsidR="007C69BF">
        <w:t>AACF</w:t>
      </w:r>
      <w:r>
        <w:t>, the majority were concerned with the inclusion of transport buildings, specifically train stations and airports.</w:t>
      </w:r>
    </w:p>
    <w:p w:rsidR="00F106A2" w:rsidRPr="004B5AE3" w:rsidRDefault="00F106A2" w:rsidP="00145D1B">
      <w:pPr>
        <w:pStyle w:val="Heading3"/>
      </w:pPr>
      <w:r w:rsidRPr="004B5AE3">
        <w:t>Modelling</w:t>
      </w:r>
    </w:p>
    <w:p w:rsidR="00364066" w:rsidRPr="00CD68E8" w:rsidRDefault="00510E75" w:rsidP="004E67C9">
      <w:pPr>
        <w:pStyle w:val="EYBodytextwithparaspace"/>
      </w:pPr>
      <w:r>
        <w:t>W</w:t>
      </w:r>
      <w:r w:rsidR="00364066" w:rsidRPr="00CD68E8">
        <w:t xml:space="preserve">hile the following chapters discuss quantifiable benefits, it is </w:t>
      </w:r>
      <w:r w:rsidR="00AA35EA">
        <w:t>critical to</w:t>
      </w:r>
      <w:r w:rsidR="00364066" w:rsidRPr="00CD68E8">
        <w:t xml:space="preserve"> not</w:t>
      </w:r>
      <w:r w:rsidR="00AA35EA">
        <w:t>e</w:t>
      </w:r>
      <w:r w:rsidR="00364066" w:rsidRPr="00CD68E8">
        <w:t xml:space="preserve"> that those benefits are just one comp</w:t>
      </w:r>
      <w:r w:rsidR="00AD5E96" w:rsidRPr="00CD68E8">
        <w:t xml:space="preserve">onent of </w:t>
      </w:r>
      <w:r w:rsidR="000B4EC8" w:rsidRPr="00CD68E8">
        <w:t xml:space="preserve">a </w:t>
      </w:r>
      <w:r w:rsidR="00AD5E96" w:rsidRPr="00CD68E8">
        <w:t xml:space="preserve">broader </w:t>
      </w:r>
      <w:r w:rsidR="00387B75" w:rsidRPr="00CD68E8">
        <w:t xml:space="preserve">range </w:t>
      </w:r>
      <w:r w:rsidR="00D54B46" w:rsidRPr="00CD68E8">
        <w:t xml:space="preserve">of </w:t>
      </w:r>
      <w:r w:rsidR="00AD5E96" w:rsidRPr="00CD68E8">
        <w:t xml:space="preserve">benefits. </w:t>
      </w:r>
      <w:r w:rsidR="00364066" w:rsidRPr="00CD68E8">
        <w:t>Benefits such as improved quality of life or increased equality for people with a</w:t>
      </w:r>
      <w:r w:rsidR="007C69BF">
        <w:t xml:space="preserve"> complex</w:t>
      </w:r>
      <w:r w:rsidR="00364066" w:rsidRPr="00CD68E8">
        <w:t xml:space="preserve"> disability, for example, are inherently difficult to quantify, and yet </w:t>
      </w:r>
      <w:r w:rsidR="003125BF">
        <w:t xml:space="preserve">were commonly noted by </w:t>
      </w:r>
      <w:r w:rsidR="002E6235">
        <w:t>many</w:t>
      </w:r>
      <w:r w:rsidR="003125BF">
        <w:t xml:space="preserve"> stakeholders </w:t>
      </w:r>
      <w:r w:rsidR="00364066" w:rsidRPr="00CD68E8">
        <w:t>a</w:t>
      </w:r>
      <w:r w:rsidR="003125BF">
        <w:t>s</w:t>
      </w:r>
      <w:r w:rsidR="00364066" w:rsidRPr="00CD68E8">
        <w:t xml:space="preserve"> more </w:t>
      </w:r>
      <w:r w:rsidR="002E6235">
        <w:t xml:space="preserve">relevant to the consideration of this proposal </w:t>
      </w:r>
      <w:r w:rsidR="00364066" w:rsidRPr="00CD68E8">
        <w:t>than the quantified benefits.</w:t>
      </w:r>
    </w:p>
    <w:p w:rsidR="003E5186" w:rsidRDefault="00364066" w:rsidP="004E67C9">
      <w:pPr>
        <w:pStyle w:val="EYBodytextwithparaspace"/>
      </w:pPr>
      <w:r>
        <w:t xml:space="preserve">With that in mind, the scope </w:t>
      </w:r>
      <w:r w:rsidR="004B34CD">
        <w:t xml:space="preserve">of this analysis is threefold. </w:t>
      </w:r>
    </w:p>
    <w:p w:rsidR="003E5186" w:rsidRDefault="00364066" w:rsidP="00406990">
      <w:pPr>
        <w:pStyle w:val="EYBulletedText1"/>
      </w:pPr>
      <w:r>
        <w:t xml:space="preserve">First, </w:t>
      </w:r>
      <w:r w:rsidR="001C528C">
        <w:t>six</w:t>
      </w:r>
      <w:r>
        <w:t xml:space="preserve"> hypothetical </w:t>
      </w:r>
      <w:r w:rsidR="004B7BC4">
        <w:t>quantitative</w:t>
      </w:r>
      <w:r w:rsidR="003057EC">
        <w:t>,</w:t>
      </w:r>
      <w:r w:rsidR="004B7BC4">
        <w:t xml:space="preserve"> and two hypothetical qualitative</w:t>
      </w:r>
      <w:r w:rsidR="003057EC">
        <w:t>,</w:t>
      </w:r>
      <w:r w:rsidR="004B7BC4">
        <w:t xml:space="preserve"> </w:t>
      </w:r>
      <w:r>
        <w:t xml:space="preserve">case studies </w:t>
      </w:r>
      <w:r w:rsidR="00D54B46">
        <w:t xml:space="preserve">were considered, </w:t>
      </w:r>
      <w:r>
        <w:t xml:space="preserve">which are similar to existing buildings but not tied to </w:t>
      </w:r>
      <w:r w:rsidR="004B34CD">
        <w:t xml:space="preserve">any known development project. </w:t>
      </w:r>
    </w:p>
    <w:p w:rsidR="003E5186" w:rsidRDefault="00364066" w:rsidP="00406990">
      <w:pPr>
        <w:pStyle w:val="EYBulletedText1"/>
      </w:pPr>
      <w:r>
        <w:t>Second, an aggregate analysis estimating the whole</w:t>
      </w:r>
      <w:r w:rsidR="00CC6F6D">
        <w:t>-of-</w:t>
      </w:r>
      <w:r>
        <w:t>economy costs and benefits of the proposed policy chang</w:t>
      </w:r>
      <w:r w:rsidR="004B34CD">
        <w:t>e for prospective investments</w:t>
      </w:r>
      <w:r w:rsidR="00D70217">
        <w:t xml:space="preserve"> was conducted</w:t>
      </w:r>
      <w:r w:rsidR="004B34CD">
        <w:t xml:space="preserve">. </w:t>
      </w:r>
    </w:p>
    <w:p w:rsidR="00364066" w:rsidRPr="008E67D9" w:rsidRDefault="003E5186" w:rsidP="00406990">
      <w:pPr>
        <w:pStyle w:val="EYBulletedText1"/>
      </w:pPr>
      <w:r>
        <w:t>F</w:t>
      </w:r>
      <w:r w:rsidR="00364066">
        <w:t>inally, qualitative</w:t>
      </w:r>
      <w:r w:rsidR="00D70217">
        <w:t xml:space="preserve"> aspects of those benefits</w:t>
      </w:r>
      <w:r w:rsidR="00364066">
        <w:t xml:space="preserve"> which </w:t>
      </w:r>
      <w:r w:rsidR="00D70217">
        <w:t xml:space="preserve">were </w:t>
      </w:r>
      <w:r w:rsidR="00364066">
        <w:t>not able to be quantified</w:t>
      </w:r>
      <w:r w:rsidR="00D70217">
        <w:t xml:space="preserve"> were considered</w:t>
      </w:r>
      <w:r w:rsidR="00364066">
        <w:t>.</w:t>
      </w:r>
    </w:p>
    <w:p w:rsidR="00364066" w:rsidRPr="00220908" w:rsidRDefault="00364066" w:rsidP="009260BA">
      <w:pPr>
        <w:pStyle w:val="Heading3"/>
      </w:pPr>
      <w:r w:rsidRPr="009260BA">
        <w:t>Case study analysis</w:t>
      </w:r>
    </w:p>
    <w:p w:rsidR="004B7BC4" w:rsidRDefault="00364066" w:rsidP="004E67C9">
      <w:pPr>
        <w:pStyle w:val="EYBodytextwithparaspace"/>
      </w:pPr>
      <w:r>
        <w:t xml:space="preserve">Given the uncertainties involved with estimating the potential development pipeline </w:t>
      </w:r>
      <w:r w:rsidR="004B7BC4">
        <w:t xml:space="preserve">of public buildings </w:t>
      </w:r>
      <w:r>
        <w:t>over the coming years, a large part of the analysis is ar</w:t>
      </w:r>
      <w:r w:rsidR="004B34CD">
        <w:t>ound hypothetical case studies.</w:t>
      </w:r>
      <w:r>
        <w:t xml:space="preserve"> </w:t>
      </w:r>
    </w:p>
    <w:p w:rsidR="004B7BC4" w:rsidRPr="0027245F" w:rsidRDefault="004B7BC4" w:rsidP="004E67C9">
      <w:pPr>
        <w:pStyle w:val="EYBodytextwithparaspace"/>
      </w:pPr>
      <w:r>
        <w:lastRenderedPageBreak/>
        <w:t xml:space="preserve">These case studies have been devised so as to be recognisable as examples of common types of developments within each of the building classes that would be affected by the proposed change. </w:t>
      </w:r>
      <w:r w:rsidR="00591ADE" w:rsidRPr="0027245F">
        <w:t xml:space="preserve">While they refer to developments with a common use, it is acknowledged each development may contain multiple structures. </w:t>
      </w:r>
    </w:p>
    <w:p w:rsidR="00364066" w:rsidRPr="0027245F" w:rsidRDefault="00D70217" w:rsidP="004E67C9">
      <w:pPr>
        <w:pStyle w:val="EYBodytextwithparaspace"/>
      </w:pPr>
      <w:r w:rsidRPr="0027245F">
        <w:t>In consultation with the ABCB,</w:t>
      </w:r>
      <w:r w:rsidR="00364066" w:rsidRPr="0027245F">
        <w:t xml:space="preserve"> </w:t>
      </w:r>
      <w:r w:rsidR="002716D9" w:rsidRPr="0027245F">
        <w:t>six</w:t>
      </w:r>
      <w:r w:rsidR="00364066" w:rsidRPr="0027245F">
        <w:t xml:space="preserve"> case studies</w:t>
      </w:r>
      <w:r w:rsidRPr="0027245F">
        <w:t xml:space="preserve"> were selected for quantification</w:t>
      </w:r>
      <w:r w:rsidR="00364066" w:rsidRPr="0027245F">
        <w:t>:</w:t>
      </w:r>
    </w:p>
    <w:p w:rsidR="00364066" w:rsidRPr="0027245F" w:rsidRDefault="00364066" w:rsidP="004E67C9">
      <w:pPr>
        <w:pStyle w:val="EYBulletnoparaspace"/>
      </w:pPr>
      <w:r w:rsidRPr="0027245F">
        <w:t>A major shopping centre</w:t>
      </w:r>
      <w:r w:rsidR="007C69BF">
        <w:t>.</w:t>
      </w:r>
    </w:p>
    <w:p w:rsidR="00364066" w:rsidRPr="0027245F" w:rsidRDefault="00364066" w:rsidP="004E67C9">
      <w:pPr>
        <w:pStyle w:val="EYBulletnoparaspace"/>
      </w:pPr>
      <w:r w:rsidRPr="0027245F">
        <w:t>A medium sized shopping centre</w:t>
      </w:r>
      <w:r w:rsidR="007C69BF">
        <w:t>.</w:t>
      </w:r>
    </w:p>
    <w:p w:rsidR="00364066" w:rsidRPr="0027245F" w:rsidRDefault="00364066" w:rsidP="004E67C9">
      <w:pPr>
        <w:pStyle w:val="EYBulletnoparaspace"/>
      </w:pPr>
      <w:r w:rsidRPr="0027245F">
        <w:t>A stadium with a capacity of 35,000 people</w:t>
      </w:r>
      <w:r w:rsidR="007C69BF">
        <w:t>.</w:t>
      </w:r>
    </w:p>
    <w:p w:rsidR="002716D9" w:rsidRPr="0027245F" w:rsidRDefault="00364066" w:rsidP="004E67C9">
      <w:pPr>
        <w:pStyle w:val="EYBulletnoparaspace"/>
      </w:pPr>
      <w:r w:rsidRPr="0027245F">
        <w:t>A medium sized museum or cultural facility</w:t>
      </w:r>
      <w:r w:rsidR="007C69BF">
        <w:t>.</w:t>
      </w:r>
    </w:p>
    <w:p w:rsidR="00CB3CAD" w:rsidRPr="0027245F" w:rsidRDefault="00CB3CAD" w:rsidP="004E67C9">
      <w:pPr>
        <w:pStyle w:val="EYBulletnoparaspace"/>
      </w:pPr>
      <w:r w:rsidRPr="0027245F">
        <w:t>An airport with terminal buildings that offer</w:t>
      </w:r>
      <w:r w:rsidR="00E26D78" w:rsidRPr="0027245F">
        <w:t>s passenger services</w:t>
      </w:r>
      <w:r w:rsidR="007C69BF">
        <w:t>.</w:t>
      </w:r>
    </w:p>
    <w:p w:rsidR="002716D9" w:rsidRPr="0027245F" w:rsidRDefault="002716D9" w:rsidP="004E67C9">
      <w:pPr>
        <w:pStyle w:val="EYBulletnoparaspace"/>
      </w:pPr>
      <w:r w:rsidRPr="0027245F">
        <w:t>A public aquatic facility</w:t>
      </w:r>
      <w:r w:rsidR="007C69BF">
        <w:t>.</w:t>
      </w:r>
    </w:p>
    <w:p w:rsidR="001D7A03" w:rsidRPr="0027245F" w:rsidRDefault="001D7A03">
      <w:pPr>
        <w:pStyle w:val="EYBodytextwithparaspace"/>
      </w:pPr>
      <w:r w:rsidRPr="0027245F">
        <w:t xml:space="preserve">Further, </w:t>
      </w:r>
      <w:r w:rsidR="00AB45D7" w:rsidRPr="0027245F">
        <w:t>the following uses</w:t>
      </w:r>
      <w:r w:rsidRPr="0027245F">
        <w:t xml:space="preserve"> were considered qualitatively:</w:t>
      </w:r>
    </w:p>
    <w:p w:rsidR="00A439BD" w:rsidRPr="0027245F" w:rsidRDefault="001D7A03" w:rsidP="004E67C9">
      <w:pPr>
        <w:pStyle w:val="EYBulletnoparaspace"/>
      </w:pPr>
      <w:r w:rsidRPr="0027245F">
        <w:t>A</w:t>
      </w:r>
      <w:r w:rsidR="00A439BD" w:rsidRPr="0027245F">
        <w:t xml:space="preserve"> major public transport building such as a bus or ferry terminal,</w:t>
      </w:r>
      <w:r w:rsidRPr="0027245F">
        <w:t xml:space="preserve"> or a major train station</w:t>
      </w:r>
      <w:r w:rsidR="007C69BF">
        <w:t>.</w:t>
      </w:r>
    </w:p>
    <w:p w:rsidR="001D7A03" w:rsidRPr="0027245F" w:rsidRDefault="00273F16" w:rsidP="004E67C9">
      <w:pPr>
        <w:pStyle w:val="EYBulletnoparaspace"/>
      </w:pPr>
      <w:r w:rsidRPr="0027245F">
        <w:t>Libraries, theatres and public halls</w:t>
      </w:r>
      <w:r w:rsidR="007C69BF">
        <w:t>.</w:t>
      </w:r>
    </w:p>
    <w:p w:rsidR="00364066" w:rsidRDefault="003E5186">
      <w:pPr>
        <w:pStyle w:val="EYBodytextwithparaspace"/>
      </w:pPr>
      <w:r>
        <w:t xml:space="preserve">These case studies have been selected as they provide the broadest overview of </w:t>
      </w:r>
      <w:r w:rsidR="00CA796D">
        <w:t xml:space="preserve">Class 6 shopping centres and </w:t>
      </w:r>
      <w:r w:rsidR="006B28B8">
        <w:t>Class 9b</w:t>
      </w:r>
      <w:r>
        <w:t xml:space="preserve"> assembly buildings</w:t>
      </w:r>
      <w:r w:rsidR="002716D9">
        <w:t>, are representative of stakeholder feedback</w:t>
      </w:r>
      <w:r w:rsidR="00273F16">
        <w:t>,</w:t>
      </w:r>
      <w:r w:rsidR="002716D9">
        <w:t xml:space="preserve"> and produce </w:t>
      </w:r>
      <w:r>
        <w:t xml:space="preserve">the biggest variability in results. </w:t>
      </w:r>
      <w:r w:rsidR="00364066">
        <w:t xml:space="preserve">An overview of the case studies and their key characteristics is provided in </w:t>
      </w:r>
      <w:r w:rsidR="004B7BC4">
        <w:t>the following sections</w:t>
      </w:r>
      <w:r w:rsidR="002C15FD">
        <w:t>.</w:t>
      </w:r>
    </w:p>
    <w:p w:rsidR="004B7BC4" w:rsidRPr="006117C6" w:rsidRDefault="004B7BC4" w:rsidP="006117C6">
      <w:pPr>
        <w:pStyle w:val="EYSubheading"/>
        <w:rPr>
          <w:b w:val="0"/>
        </w:rPr>
      </w:pPr>
      <w:r w:rsidRPr="006117C6">
        <w:rPr>
          <w:sz w:val="24"/>
        </w:rPr>
        <w:t>Case Study 1 – ‘Major’ shopping centre (Class 6)</w:t>
      </w:r>
    </w:p>
    <w:p w:rsidR="004B7BC4" w:rsidRPr="00AD06C0" w:rsidRDefault="004B7BC4" w:rsidP="009260BA">
      <w:pPr>
        <w:pStyle w:val="EYBodytextwithparaspace"/>
      </w:pPr>
      <w:r>
        <w:t xml:space="preserve">The 'major' shopping centre case study </w:t>
      </w:r>
      <w:r w:rsidR="00A439BD">
        <w:t>is</w:t>
      </w:r>
      <w:r>
        <w:t xml:space="preserve"> based on a shopping centre that has a lettable floor area of at least </w:t>
      </w:r>
      <w:r w:rsidR="00F8657D">
        <w:t>130,000</w:t>
      </w:r>
      <w:r w:rsidR="00DB1162">
        <w:t>m</w:t>
      </w:r>
      <w:r w:rsidR="00DB1162" w:rsidRPr="0027245F">
        <w:rPr>
          <w:vertAlign w:val="superscript"/>
        </w:rPr>
        <w:t>2</w:t>
      </w:r>
      <w:r w:rsidRPr="00AD06C0">
        <w:t>.</w:t>
      </w:r>
    </w:p>
    <w:p w:rsidR="004B7BC4" w:rsidRPr="006117C6" w:rsidRDefault="004B7BC4" w:rsidP="006117C6">
      <w:pPr>
        <w:pStyle w:val="EYSubheading"/>
        <w:rPr>
          <w:b w:val="0"/>
        </w:rPr>
      </w:pPr>
      <w:r w:rsidRPr="006117C6">
        <w:rPr>
          <w:sz w:val="24"/>
        </w:rPr>
        <w:t>Case Study 2 – ‘Medium’ shopping centre (Class 6)</w:t>
      </w:r>
    </w:p>
    <w:p w:rsidR="004B7BC4" w:rsidRDefault="004B7BC4" w:rsidP="009260BA">
      <w:pPr>
        <w:pStyle w:val="EYBodytextwithparaspace"/>
      </w:pPr>
      <w:r w:rsidRPr="00AD06C0">
        <w:t xml:space="preserve">The 'medium' shopping centre case study </w:t>
      </w:r>
      <w:r w:rsidR="00A439BD" w:rsidRPr="00AD06C0">
        <w:t>is</w:t>
      </w:r>
      <w:r w:rsidRPr="00AD06C0">
        <w:t xml:space="preserve"> based on a shopping centre that has a lettabl</w:t>
      </w:r>
      <w:r w:rsidR="00F8657D">
        <w:t>e floor area of at least 45,000</w:t>
      </w:r>
      <w:r w:rsidR="00DB1162">
        <w:t>m</w:t>
      </w:r>
      <w:r w:rsidR="00DB1162" w:rsidRPr="0027245F">
        <w:rPr>
          <w:vertAlign w:val="superscript"/>
        </w:rPr>
        <w:t>2</w:t>
      </w:r>
      <w:r w:rsidRPr="00AD06C0">
        <w:t>.</w:t>
      </w:r>
    </w:p>
    <w:p w:rsidR="00EF558F" w:rsidRDefault="00EF558F" w:rsidP="009260BA">
      <w:pPr>
        <w:pStyle w:val="EYBodytextwithparaspace"/>
      </w:pPr>
      <w:r>
        <w:t>Through desktop research of the websites of major shopping centres (and shopping centre groups such as Westfield, Stockland and the Queensland Investment Corporation</w:t>
      </w:r>
      <w:r w:rsidR="00592D84">
        <w:t>)</w:t>
      </w:r>
      <w:r>
        <w:t xml:space="preserve">, a comprehensive database of over 100 shopping centres Australia wide was developed, complete with number of shops, total lettable area, and annual visitation data. </w:t>
      </w:r>
    </w:p>
    <w:p w:rsidR="001D7A03" w:rsidRDefault="00EF558F" w:rsidP="009260BA">
      <w:pPr>
        <w:pStyle w:val="EYBodytextwithparaspace"/>
      </w:pPr>
      <w:r w:rsidRPr="00B833BE">
        <w:t>The shopping centre case studies have been selected to be reflective of one major and one medium sized shopping centre</w:t>
      </w:r>
      <w:r>
        <w:t>.</w:t>
      </w:r>
      <w:r w:rsidDel="00EF558F">
        <w:t xml:space="preserve"> </w:t>
      </w:r>
      <w:r>
        <w:t>Key parameters for the case study, such as estimated floor</w:t>
      </w:r>
      <w:r w:rsidR="00246473">
        <w:t xml:space="preserve"> </w:t>
      </w:r>
      <w:r>
        <w:t>space and implied visitation, were obtained by analysing this database.</w:t>
      </w:r>
      <w:r w:rsidR="004B7BC4" w:rsidRPr="00B833BE">
        <w:t xml:space="preserve"> Further detail is provided in </w:t>
      </w:r>
      <w:r w:rsidR="00CD68E8">
        <w:fldChar w:fldCharType="begin"/>
      </w:r>
      <w:r w:rsidR="00CD68E8">
        <w:instrText xml:space="preserve"> REF _Ref506811113 \r \h </w:instrText>
      </w:r>
      <w:r w:rsidR="00CD68E8">
        <w:fldChar w:fldCharType="separate"/>
      </w:r>
      <w:r w:rsidR="00910A73">
        <w:t>Appendix A</w:t>
      </w:r>
      <w:r w:rsidR="00CD68E8">
        <w:fldChar w:fldCharType="end"/>
      </w:r>
      <w:r w:rsidR="004B7BC4">
        <w:t>.</w:t>
      </w:r>
    </w:p>
    <w:p w:rsidR="004B7BC4" w:rsidRPr="006117C6" w:rsidRDefault="004B7BC4" w:rsidP="006117C6">
      <w:pPr>
        <w:pStyle w:val="EYSubheading"/>
        <w:rPr>
          <w:b w:val="0"/>
        </w:rPr>
      </w:pPr>
      <w:r w:rsidRPr="006117C6">
        <w:rPr>
          <w:sz w:val="24"/>
        </w:rPr>
        <w:t>Case Study 3 – ‘Major’ Stadium (</w:t>
      </w:r>
      <w:r w:rsidR="006B28B8" w:rsidRPr="006117C6">
        <w:rPr>
          <w:sz w:val="24"/>
        </w:rPr>
        <w:t>Class 9b</w:t>
      </w:r>
      <w:r w:rsidRPr="006117C6">
        <w:rPr>
          <w:sz w:val="24"/>
        </w:rPr>
        <w:t>)</w:t>
      </w:r>
    </w:p>
    <w:p w:rsidR="004B7BC4" w:rsidRDefault="004B7BC4" w:rsidP="009260BA">
      <w:pPr>
        <w:pStyle w:val="EYBodytextwithparaspace"/>
      </w:pPr>
      <w:r>
        <w:t>The stadium case study is based on a stadium with a seating capacity of at least 35,000 people. This is assumed to be the minimum number for a stadium to be considered 'major'.</w:t>
      </w:r>
      <w:r w:rsidRPr="009260BA">
        <w:t xml:space="preserve"> </w:t>
      </w:r>
      <w:r w:rsidRPr="00B833BE">
        <w:t>Stadium capacity</w:t>
      </w:r>
      <w:r w:rsidR="00BE1DFA">
        <w:t xml:space="preserve"> is</w:t>
      </w:r>
      <w:r w:rsidRPr="00B833BE">
        <w:t xml:space="preserve"> based on </w:t>
      </w:r>
      <w:r w:rsidR="00BE1DFA">
        <w:t>the expected capacity of known stadium</w:t>
      </w:r>
      <w:r w:rsidRPr="00B833BE">
        <w:t xml:space="preserve"> developments in the coming ten years</w:t>
      </w:r>
      <w:r>
        <w:t>.</w:t>
      </w:r>
    </w:p>
    <w:p w:rsidR="004B7BC4" w:rsidRPr="006117C6" w:rsidRDefault="004B7BC4" w:rsidP="006117C6">
      <w:pPr>
        <w:pStyle w:val="EYSubheading"/>
        <w:rPr>
          <w:b w:val="0"/>
        </w:rPr>
      </w:pPr>
      <w:r w:rsidRPr="006117C6">
        <w:rPr>
          <w:sz w:val="24"/>
        </w:rPr>
        <w:lastRenderedPageBreak/>
        <w:t>Case Study 4 – ‘Medium’ sized museum/cultural centre (</w:t>
      </w:r>
      <w:r w:rsidR="006B28B8" w:rsidRPr="006117C6">
        <w:rPr>
          <w:sz w:val="24"/>
        </w:rPr>
        <w:t>Class 9b</w:t>
      </w:r>
      <w:r w:rsidRPr="006117C6">
        <w:rPr>
          <w:sz w:val="24"/>
        </w:rPr>
        <w:t>)</w:t>
      </w:r>
    </w:p>
    <w:p w:rsidR="004B7BC4" w:rsidRDefault="004B7BC4">
      <w:pPr>
        <w:pStyle w:val="EYBodytextwithparaspace"/>
      </w:pPr>
      <w:r>
        <w:t>This case study is based on a museum, cultural centre or similar which has annual visitation of at least 1</w:t>
      </w:r>
      <w:r w:rsidR="00387B75">
        <w:t>,0</w:t>
      </w:r>
      <w:r>
        <w:t xml:space="preserve">00,000 people. This is based on publicly available </w:t>
      </w:r>
      <w:r w:rsidR="003057EC">
        <w:t xml:space="preserve">visitation </w:t>
      </w:r>
      <w:r>
        <w:t xml:space="preserve">data </w:t>
      </w:r>
      <w:r w:rsidR="003057EC">
        <w:t>from the websites of</w:t>
      </w:r>
      <w:r>
        <w:t xml:space="preserve"> 13 major museums around Australia</w:t>
      </w:r>
      <w:r w:rsidR="00A01457">
        <w:t>.</w:t>
      </w:r>
      <w:r w:rsidR="001D25F1" w:rsidRPr="00C133AC">
        <w:rPr>
          <w:rStyle w:val="FootnoteReference"/>
          <w:sz w:val="24"/>
          <w:szCs w:val="24"/>
        </w:rPr>
        <w:footnoteReference w:id="26"/>
      </w:r>
    </w:p>
    <w:p w:rsidR="002716D9" w:rsidRPr="00052C82" w:rsidRDefault="002716D9" w:rsidP="006117C6">
      <w:pPr>
        <w:pStyle w:val="EYSubheading"/>
        <w:rPr>
          <w:b w:val="0"/>
        </w:rPr>
      </w:pPr>
      <w:r w:rsidRPr="00052C82">
        <w:rPr>
          <w:sz w:val="24"/>
        </w:rPr>
        <w:t>Case Study 5</w:t>
      </w:r>
      <w:r w:rsidR="000F2C08" w:rsidRPr="00052C82">
        <w:rPr>
          <w:sz w:val="24"/>
        </w:rPr>
        <w:t xml:space="preserve"> – An airport wit</w:t>
      </w:r>
      <w:r w:rsidR="00DE3B30" w:rsidRPr="00052C82">
        <w:rPr>
          <w:sz w:val="24"/>
        </w:rPr>
        <w:t xml:space="preserve">h terminal buildings that offers </w:t>
      </w:r>
      <w:r w:rsidR="000F2C08" w:rsidRPr="00052C82">
        <w:rPr>
          <w:sz w:val="24"/>
        </w:rPr>
        <w:t>passenger services</w:t>
      </w:r>
      <w:r w:rsidR="001C528C" w:rsidRPr="00052C82">
        <w:rPr>
          <w:sz w:val="24"/>
        </w:rPr>
        <w:t xml:space="preserve"> (Class 9b)</w:t>
      </w:r>
      <w:r w:rsidR="000F2C08" w:rsidRPr="00052C82">
        <w:rPr>
          <w:sz w:val="24"/>
        </w:rPr>
        <w:t xml:space="preserve"> </w:t>
      </w:r>
    </w:p>
    <w:p w:rsidR="00F35827" w:rsidRPr="00052C82" w:rsidRDefault="00495F8B">
      <w:pPr>
        <w:pStyle w:val="EYBodytextwithparaspace"/>
      </w:pPr>
      <w:r w:rsidRPr="00052C82">
        <w:t>This case study is based on an airport with terminal buildings that offer</w:t>
      </w:r>
      <w:r w:rsidR="00610507" w:rsidRPr="00052C82">
        <w:t>s</w:t>
      </w:r>
      <w:r w:rsidRPr="00052C82">
        <w:t xml:space="preserve"> domestic </w:t>
      </w:r>
      <w:r w:rsidR="00273F16" w:rsidRPr="00052C82">
        <w:t xml:space="preserve">or </w:t>
      </w:r>
      <w:r w:rsidRPr="00052C82">
        <w:t>international passenger services</w:t>
      </w:r>
      <w:r w:rsidR="00273F16" w:rsidRPr="00052C82">
        <w:t xml:space="preserve">. </w:t>
      </w:r>
      <w:r w:rsidRPr="00052C82">
        <w:t xml:space="preserve"> </w:t>
      </w:r>
      <w:r w:rsidR="00273F16" w:rsidRPr="00052C82">
        <w:t>The case study models the benefits that would be required under a range of different passenger assumptions, based on patronage data fr</w:t>
      </w:r>
      <w:r w:rsidR="00DA4AB1">
        <w:t>o</w:t>
      </w:r>
      <w:r w:rsidR="00273F16" w:rsidRPr="00052C82">
        <w:t>m small, medium and large airports around Australia</w:t>
      </w:r>
      <w:r w:rsidR="000D3A52">
        <w:t>.</w:t>
      </w:r>
      <w:r w:rsidR="00DD74E9" w:rsidRPr="00C133AC">
        <w:rPr>
          <w:rStyle w:val="FootnoteReference"/>
          <w:sz w:val="24"/>
          <w:szCs w:val="24"/>
        </w:rPr>
        <w:footnoteReference w:id="27"/>
      </w:r>
    </w:p>
    <w:p w:rsidR="002716D9" w:rsidRPr="00052C82" w:rsidRDefault="002716D9" w:rsidP="006117C6">
      <w:pPr>
        <w:pStyle w:val="EYSubheading"/>
        <w:rPr>
          <w:b w:val="0"/>
        </w:rPr>
      </w:pPr>
      <w:r w:rsidRPr="00052C82">
        <w:rPr>
          <w:sz w:val="24"/>
        </w:rPr>
        <w:t>Case Study 6</w:t>
      </w:r>
      <w:r w:rsidR="000F2C08" w:rsidRPr="00052C82">
        <w:rPr>
          <w:sz w:val="24"/>
        </w:rPr>
        <w:t xml:space="preserve"> </w:t>
      </w:r>
      <w:r w:rsidR="00E84778" w:rsidRPr="00052C82">
        <w:rPr>
          <w:sz w:val="24"/>
        </w:rPr>
        <w:t>– A public aquatic facility</w:t>
      </w:r>
      <w:r w:rsidR="00DB5D74" w:rsidRPr="00052C82">
        <w:rPr>
          <w:sz w:val="24"/>
        </w:rPr>
        <w:t xml:space="preserve"> (Class 9b)</w:t>
      </w:r>
    </w:p>
    <w:p w:rsidR="002716D9" w:rsidRPr="00052C82" w:rsidRDefault="00495F8B">
      <w:pPr>
        <w:pStyle w:val="EYBodytextwithparaspace"/>
      </w:pPr>
      <w:r w:rsidRPr="00052C82">
        <w:t>This case study is based on a</w:t>
      </w:r>
      <w:r w:rsidR="005647A8" w:rsidRPr="00052C82">
        <w:t>n average of Australia’s public aquatic facilities</w:t>
      </w:r>
      <w:r w:rsidR="00DB43F3" w:rsidRPr="00052C82">
        <w:t>,</w:t>
      </w:r>
      <w:r w:rsidR="0052613A" w:rsidRPr="00052C82">
        <w:t xml:space="preserve"> with</w:t>
      </w:r>
      <w:r w:rsidR="00DB43F3" w:rsidRPr="00052C82">
        <w:t xml:space="preserve"> an assumed</w:t>
      </w:r>
      <w:r w:rsidR="0052613A" w:rsidRPr="00052C82">
        <w:t xml:space="preserve"> $26.39 worth of improved health outcomes per visit</w:t>
      </w:r>
      <w:r w:rsidR="008F0597" w:rsidRPr="00052C82">
        <w:t xml:space="preserve"> and</w:t>
      </w:r>
      <w:r w:rsidR="0052613A" w:rsidRPr="00052C82">
        <w:t xml:space="preserve"> an average of 4.4 visits per person per annum.</w:t>
      </w:r>
      <w:r w:rsidR="0010477E" w:rsidRPr="00C133AC">
        <w:rPr>
          <w:rStyle w:val="FootnoteReference"/>
          <w:sz w:val="24"/>
          <w:szCs w:val="24"/>
        </w:rPr>
        <w:footnoteReference w:id="28"/>
      </w:r>
    </w:p>
    <w:p w:rsidR="00273F16" w:rsidRPr="00052C82" w:rsidRDefault="00273F16" w:rsidP="006117C6">
      <w:pPr>
        <w:pStyle w:val="EYSubheading"/>
        <w:rPr>
          <w:b w:val="0"/>
        </w:rPr>
      </w:pPr>
      <w:r w:rsidRPr="00052C82">
        <w:rPr>
          <w:sz w:val="24"/>
        </w:rPr>
        <w:t>Qualitative case studies</w:t>
      </w:r>
    </w:p>
    <w:p w:rsidR="00A12A5A" w:rsidRPr="00052C82" w:rsidRDefault="002716D9" w:rsidP="006117C6">
      <w:pPr>
        <w:pStyle w:val="EYBulletedText1"/>
      </w:pPr>
      <w:r w:rsidRPr="00052C82">
        <w:t>P</w:t>
      </w:r>
      <w:r w:rsidR="00A12A5A" w:rsidRPr="00052C82">
        <w:t>ublic transport buildings</w:t>
      </w:r>
      <w:r w:rsidR="00273F16" w:rsidRPr="00052C82">
        <w:t xml:space="preserve"> are considered qualitatively based on stakeholder feedback and insights from the Survey of Disability</w:t>
      </w:r>
      <w:r w:rsidR="007C69BF">
        <w:t>, Ageing</w:t>
      </w:r>
      <w:r w:rsidR="00273F16" w:rsidRPr="00052C82">
        <w:t xml:space="preserve"> and Carers into the patronage of public transport by people with a disability.</w:t>
      </w:r>
    </w:p>
    <w:p w:rsidR="00DB43F3" w:rsidRPr="0042716B" w:rsidRDefault="00052C82" w:rsidP="00BA1F3B">
      <w:pPr>
        <w:pStyle w:val="EYBulletedText1"/>
      </w:pPr>
      <w:r>
        <w:t xml:space="preserve">The Consultation RIS </w:t>
      </w:r>
      <w:r w:rsidR="002C6550">
        <w:t>considered art</w:t>
      </w:r>
      <w:r w:rsidR="009B5649">
        <w:t xml:space="preserve"> galleries, </w:t>
      </w:r>
      <w:r w:rsidR="00273F16" w:rsidRPr="00052C82">
        <w:t>libraries, theatres and public halls</w:t>
      </w:r>
      <w:r>
        <w:t xml:space="preserve"> under the broad term </w:t>
      </w:r>
      <w:r w:rsidR="003108C3">
        <w:t>“</w:t>
      </w:r>
      <w:r>
        <w:t>museum</w:t>
      </w:r>
      <w:r w:rsidR="003108C3">
        <w:t>”</w:t>
      </w:r>
      <w:r>
        <w:t xml:space="preserve">. </w:t>
      </w:r>
      <w:r w:rsidR="009B5649">
        <w:t xml:space="preserve">Since the Consultation RIS, </w:t>
      </w:r>
      <w:r>
        <w:t xml:space="preserve">libraries, theatres and public halls </w:t>
      </w:r>
      <w:r w:rsidR="009B5649">
        <w:t xml:space="preserve">have been considered separately due to their varying uses. While these buildings are </w:t>
      </w:r>
      <w:r w:rsidR="002C6550">
        <w:t xml:space="preserve">now </w:t>
      </w:r>
      <w:r w:rsidR="002C6550" w:rsidRPr="00052C82">
        <w:t>considered</w:t>
      </w:r>
      <w:r w:rsidR="00273F16" w:rsidRPr="00052C82">
        <w:t xml:space="preserve"> qualitatively</w:t>
      </w:r>
      <w:r>
        <w:t xml:space="preserve"> in this Final RIS</w:t>
      </w:r>
      <w:r w:rsidR="009B5649">
        <w:t>, the term museum is still considered an architype for art galleries and the like</w:t>
      </w:r>
      <w:r w:rsidR="00652602">
        <w:t>.</w:t>
      </w:r>
    </w:p>
    <w:p w:rsidR="003057EC" w:rsidRDefault="00EC5748" w:rsidP="0072286A">
      <w:pPr>
        <w:pStyle w:val="Caption"/>
        <w:pBdr>
          <w:top w:val="single" w:sz="4" w:space="1" w:color="auto"/>
          <w:left w:val="single" w:sz="4" w:space="4" w:color="auto"/>
          <w:bottom w:val="single" w:sz="4" w:space="1" w:color="auto"/>
          <w:right w:val="single" w:sz="4" w:space="4" w:color="auto"/>
        </w:pBdr>
        <w:shd w:val="clear" w:color="auto" w:fill="D9D9D9" w:themeFill="background1" w:themeFillShade="D9"/>
      </w:pPr>
      <w:r>
        <w:t>Consultation q</w:t>
      </w:r>
      <w:r w:rsidR="0042716B">
        <w:t>uestion</w:t>
      </w:r>
      <w:r w:rsidR="00273F16">
        <w:t xml:space="preserve"> </w:t>
      </w:r>
    </w:p>
    <w:p w:rsidR="00187056" w:rsidRDefault="00187056" w:rsidP="00A15416">
      <w:pPr>
        <w:pStyle w:val="Caption"/>
        <w:numPr>
          <w:ilvl w:val="0"/>
          <w:numId w:val="38"/>
        </w:numPr>
        <w:pBdr>
          <w:top w:val="single" w:sz="4" w:space="1" w:color="auto"/>
          <w:left w:val="single" w:sz="4" w:space="4" w:color="auto"/>
          <w:bottom w:val="single" w:sz="4" w:space="1" w:color="auto"/>
          <w:right w:val="single" w:sz="4" w:space="4" w:color="auto"/>
        </w:pBdr>
        <w:shd w:val="clear" w:color="auto" w:fill="D9D9D9" w:themeFill="background1" w:themeFillShade="D9"/>
        <w:ind w:hanging="720"/>
        <w:rPr>
          <w:b w:val="0"/>
        </w:rPr>
      </w:pPr>
      <w:bookmarkStart w:id="86" w:name="_Ref506883407"/>
      <w:r w:rsidRPr="004B0ACC">
        <w:rPr>
          <w:b w:val="0"/>
        </w:rPr>
        <w:t>Do you consider that the case studies selected are representative of the types of buildings likely to be constructed over the next 10 years?</w:t>
      </w:r>
    </w:p>
    <w:p w:rsidR="00FD6D1A" w:rsidRPr="002C6550" w:rsidRDefault="00FD6D1A" w:rsidP="00FD6D1A">
      <w:pPr>
        <w:rPr>
          <w:sz w:val="2"/>
          <w:szCs w:val="2"/>
        </w:rPr>
      </w:pPr>
    </w:p>
    <w:p w:rsidR="00FD6D1A" w:rsidRPr="00490C3C" w:rsidRDefault="007E0B6F" w:rsidP="008A47A9">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pPr>
      <w:r w:rsidRPr="00490C3C">
        <w:t>Stakeholder feedback</w:t>
      </w:r>
    </w:p>
    <w:bookmarkEnd w:id="86"/>
    <w:p w:rsidR="002D3898" w:rsidRDefault="00333372" w:rsidP="0022711B">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490C3C">
        <w:rPr>
          <w:b w:val="0"/>
        </w:rPr>
        <w:t xml:space="preserve">While the case studies selected were generally considered appropriate for urban areas, </w:t>
      </w:r>
      <w:r w:rsidR="00D14AE5" w:rsidRPr="00490C3C">
        <w:rPr>
          <w:b w:val="0"/>
        </w:rPr>
        <w:t>some responses</w:t>
      </w:r>
      <w:r w:rsidR="00C446E5" w:rsidRPr="00490C3C">
        <w:rPr>
          <w:b w:val="0"/>
        </w:rPr>
        <w:t xml:space="preserve"> noted </w:t>
      </w:r>
      <w:r w:rsidR="006964CC">
        <w:rPr>
          <w:b w:val="0"/>
        </w:rPr>
        <w:t xml:space="preserve">that </w:t>
      </w:r>
      <w:r w:rsidR="00C446E5" w:rsidRPr="00490C3C">
        <w:rPr>
          <w:b w:val="0"/>
        </w:rPr>
        <w:t xml:space="preserve">they were not necessarily representative </w:t>
      </w:r>
      <w:r w:rsidRPr="00490C3C">
        <w:rPr>
          <w:b w:val="0"/>
        </w:rPr>
        <w:t>of the buildings likely to be constructed over the next 10 years in regional and rural areas.</w:t>
      </w:r>
      <w:r w:rsidR="00923893" w:rsidRPr="00490C3C">
        <w:rPr>
          <w:b w:val="0"/>
        </w:rPr>
        <w:t xml:space="preserve"> This view was supported by Shoalhaven City Council </w:t>
      </w:r>
      <w:r w:rsidR="00C06B40" w:rsidRPr="00490C3C">
        <w:rPr>
          <w:b w:val="0"/>
        </w:rPr>
        <w:t xml:space="preserve">which </w:t>
      </w:r>
      <w:r w:rsidR="00923893" w:rsidRPr="00490C3C">
        <w:rPr>
          <w:b w:val="0"/>
        </w:rPr>
        <w:t>stated:</w:t>
      </w:r>
    </w:p>
    <w:p w:rsidR="00B116AC" w:rsidRPr="002D3898" w:rsidRDefault="00923893" w:rsidP="0022711B">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490C3C">
        <w:rPr>
          <w:b w:val="0"/>
        </w:rPr>
        <w:lastRenderedPageBreak/>
        <w:t>“</w:t>
      </w:r>
      <w:r w:rsidRPr="00490C3C">
        <w:rPr>
          <w:b w:val="0"/>
          <w:i/>
        </w:rPr>
        <w:t>It is considered that the case studies selected are partially representative of the type of buildings likely to be constructed over the next 10 years … the buildings selected are not representative of buildings found in regional and remote areas</w:t>
      </w:r>
      <w:r w:rsidRPr="00490C3C">
        <w:rPr>
          <w:b w:val="0"/>
        </w:rPr>
        <w:t>.”</w:t>
      </w:r>
    </w:p>
    <w:p w:rsidR="003057EC" w:rsidRPr="00D30CA5" w:rsidRDefault="00AB45D7" w:rsidP="0022711B">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pPr>
      <w:r w:rsidRPr="0022711B">
        <w:rPr>
          <w:b w:val="0"/>
        </w:rPr>
        <w:t xml:space="preserve">The position that selected case studies could be more representative of regional, rural and remote environments is supported in principle. It is noted that the proposal relates exclusively to </w:t>
      </w:r>
      <w:r w:rsidR="002D118B" w:rsidRPr="0022711B">
        <w:rPr>
          <w:b w:val="0"/>
        </w:rPr>
        <w:t>C</w:t>
      </w:r>
      <w:r w:rsidRPr="0022711B">
        <w:rPr>
          <w:b w:val="0"/>
        </w:rPr>
        <w:t xml:space="preserve">lass 6 and </w:t>
      </w:r>
      <w:r w:rsidR="002D118B" w:rsidRPr="0022711B">
        <w:rPr>
          <w:b w:val="0"/>
        </w:rPr>
        <w:t>C</w:t>
      </w:r>
      <w:r w:rsidRPr="0022711B">
        <w:rPr>
          <w:b w:val="0"/>
        </w:rPr>
        <w:t>lass 9b buildings, the prevalence of which are closely correlated to population density. While this scope results in an intrinsic bias towards more populated areas, it is location agnostic and it does not exclude regional, rural or remote areas.</w:t>
      </w:r>
    </w:p>
    <w:p w:rsidR="00364066" w:rsidRPr="009260BA" w:rsidRDefault="00CC6F6D" w:rsidP="009260BA">
      <w:pPr>
        <w:pStyle w:val="Modifiedheading3"/>
        <w:rPr>
          <w:b/>
        </w:rPr>
      </w:pPr>
      <w:r w:rsidRPr="009260BA">
        <w:rPr>
          <w:b/>
        </w:rPr>
        <w:t>Whole</w:t>
      </w:r>
      <w:r>
        <w:rPr>
          <w:b/>
        </w:rPr>
        <w:t>-</w:t>
      </w:r>
      <w:r w:rsidRPr="009260BA">
        <w:rPr>
          <w:b/>
        </w:rPr>
        <w:t>of</w:t>
      </w:r>
      <w:r>
        <w:rPr>
          <w:b/>
        </w:rPr>
        <w:t>-</w:t>
      </w:r>
      <w:r w:rsidR="00364066" w:rsidRPr="009260BA">
        <w:rPr>
          <w:b/>
        </w:rPr>
        <w:t>economy analysis</w:t>
      </w:r>
    </w:p>
    <w:p w:rsidR="004B34CD" w:rsidRDefault="004B34CD" w:rsidP="00681E1A">
      <w:pPr>
        <w:pStyle w:val="EYBodytextwithparaspace"/>
        <w:spacing w:after="200"/>
      </w:pPr>
      <w:r>
        <w:t xml:space="preserve">While it is important to derive some estimate of the </w:t>
      </w:r>
      <w:r w:rsidR="00CC6F6D">
        <w:t>whole-of-</w:t>
      </w:r>
      <w:r>
        <w:t>economy impacts of a prospective regulatory change, there are difficulties associated with estimating the development pipeline</w:t>
      </w:r>
      <w:r w:rsidR="002E0E9D">
        <w:t>. In particular</w:t>
      </w:r>
      <w:r>
        <w:t>:</w:t>
      </w:r>
    </w:p>
    <w:p w:rsidR="00364066" w:rsidRDefault="00364066" w:rsidP="00406990">
      <w:pPr>
        <w:pStyle w:val="EYBulletedText1"/>
      </w:pPr>
      <w:r w:rsidRPr="009260BA">
        <w:rPr>
          <w:bCs/>
        </w:rPr>
        <w:t xml:space="preserve">There is no complete data set available that presents the extent of </w:t>
      </w:r>
      <w:r w:rsidR="00A12A5A" w:rsidRPr="009260BA">
        <w:rPr>
          <w:bCs/>
        </w:rPr>
        <w:t xml:space="preserve">relevant </w:t>
      </w:r>
      <w:r w:rsidRPr="009260BA">
        <w:rPr>
          <w:bCs/>
        </w:rPr>
        <w:t>buildings to be constructed</w:t>
      </w:r>
      <w:r w:rsidR="00547532">
        <w:rPr>
          <w:bCs/>
        </w:rPr>
        <w:t xml:space="preserve">. Furthermore, future large scale developments of shopping centres, </w:t>
      </w:r>
      <w:r w:rsidR="00BE1DFA">
        <w:rPr>
          <w:bCs/>
        </w:rPr>
        <w:t>stadiums</w:t>
      </w:r>
      <w:r w:rsidR="00547532">
        <w:rPr>
          <w:bCs/>
        </w:rPr>
        <w:t xml:space="preserve"> and museums are</w:t>
      </w:r>
      <w:r w:rsidR="004274AC">
        <w:rPr>
          <w:bCs/>
        </w:rPr>
        <w:t xml:space="preserve"> infrequent</w:t>
      </w:r>
      <w:r w:rsidR="00547532">
        <w:rPr>
          <w:bCs/>
        </w:rPr>
        <w:t>,</w:t>
      </w:r>
      <w:r w:rsidR="004274AC">
        <w:rPr>
          <w:bCs/>
        </w:rPr>
        <w:t xml:space="preserve"> compared to other building classes</w:t>
      </w:r>
      <w:r w:rsidR="00547532">
        <w:rPr>
          <w:bCs/>
        </w:rPr>
        <w:t xml:space="preserve"> meaning the results </w:t>
      </w:r>
      <w:r w:rsidR="004274AC">
        <w:rPr>
          <w:bCs/>
        </w:rPr>
        <w:t xml:space="preserve">are influenced by the known </w:t>
      </w:r>
      <w:r w:rsidR="00547532">
        <w:rPr>
          <w:bCs/>
        </w:rPr>
        <w:t xml:space="preserve">small development </w:t>
      </w:r>
      <w:r w:rsidR="00652602">
        <w:rPr>
          <w:bCs/>
        </w:rPr>
        <w:t>pipeline.</w:t>
      </w:r>
    </w:p>
    <w:p w:rsidR="00364066" w:rsidRDefault="00364066" w:rsidP="00406990">
      <w:pPr>
        <w:pStyle w:val="EYBulletedText1"/>
      </w:pPr>
      <w:r w:rsidRPr="009260BA">
        <w:rPr>
          <w:bCs/>
        </w:rPr>
        <w:t>The scale (and location) of the prospective benefits is dependent on the number</w:t>
      </w:r>
      <w:r w:rsidR="00A12A5A" w:rsidRPr="009260BA">
        <w:rPr>
          <w:bCs/>
        </w:rPr>
        <w:t xml:space="preserve"> and type</w:t>
      </w:r>
      <w:r w:rsidRPr="009260BA">
        <w:rPr>
          <w:bCs/>
        </w:rPr>
        <w:t xml:space="preserve"> of buildings being constructed</w:t>
      </w:r>
      <w:r w:rsidR="00A12A5A" w:rsidRPr="009260BA">
        <w:rPr>
          <w:bCs/>
        </w:rPr>
        <w:t>.</w:t>
      </w:r>
    </w:p>
    <w:p w:rsidR="00364066" w:rsidRPr="00244674" w:rsidRDefault="00364066" w:rsidP="00406990">
      <w:pPr>
        <w:pStyle w:val="EYBulletedText1"/>
      </w:pPr>
      <w:r w:rsidRPr="009260BA">
        <w:rPr>
          <w:bCs/>
        </w:rPr>
        <w:t>There will likely be an element of diminishing marginal returns</w:t>
      </w:r>
      <w:r w:rsidR="004B34CD" w:rsidRPr="00A12A5A">
        <w:t xml:space="preserve">: </w:t>
      </w:r>
      <w:r w:rsidR="002E0E9D">
        <w:t>g</w:t>
      </w:r>
      <w:r w:rsidRPr="00A12A5A">
        <w:t>iven</w:t>
      </w:r>
      <w:r w:rsidRPr="00244674">
        <w:t xml:space="preserve"> that many of the benefits to be calculated are dependent on scale, as more and more </w:t>
      </w:r>
      <w:r w:rsidR="006B1D2A">
        <w:t>buildings</w:t>
      </w:r>
      <w:r w:rsidR="006B1D2A" w:rsidRPr="00244674">
        <w:t xml:space="preserve"> </w:t>
      </w:r>
      <w:r w:rsidRPr="00244674">
        <w:t xml:space="preserve">begin to install </w:t>
      </w:r>
      <w:r w:rsidR="000B4EC8">
        <w:t>AACFs</w:t>
      </w:r>
      <w:r w:rsidRPr="00244674">
        <w:t>, the additional</w:t>
      </w:r>
      <w:r w:rsidR="00A12A5A">
        <w:t xml:space="preserve"> quantitative</w:t>
      </w:r>
      <w:r w:rsidRPr="00244674">
        <w:t xml:space="preserve"> benefits from each </w:t>
      </w:r>
      <w:r w:rsidR="000B4EC8">
        <w:t>additional facility</w:t>
      </w:r>
      <w:r w:rsidR="000B4EC8" w:rsidRPr="00244674">
        <w:t xml:space="preserve"> </w:t>
      </w:r>
      <w:r w:rsidRPr="00244674">
        <w:t>could be expected to diminish</w:t>
      </w:r>
      <w:r w:rsidR="000B4EC8">
        <w:t xml:space="preserve"> (but not diminish entirely)</w:t>
      </w:r>
      <w:r w:rsidRPr="00244674">
        <w:t>.</w:t>
      </w:r>
    </w:p>
    <w:p w:rsidR="00364066" w:rsidRDefault="00364066" w:rsidP="00117082">
      <w:pPr>
        <w:pStyle w:val="EYBodytextwithparaspace"/>
      </w:pPr>
      <w:r>
        <w:t xml:space="preserve">With these limitations in mind, the aggregate </w:t>
      </w:r>
      <w:r w:rsidR="001D0645">
        <w:t xml:space="preserve">quantitative </w:t>
      </w:r>
      <w:r>
        <w:t xml:space="preserve">figures presented in this </w:t>
      </w:r>
      <w:r w:rsidR="003F0BC1">
        <w:t xml:space="preserve">Final </w:t>
      </w:r>
      <w:r w:rsidR="001D0645">
        <w:t xml:space="preserve">RIS </w:t>
      </w:r>
      <w:r>
        <w:t xml:space="preserve">are best </w:t>
      </w:r>
      <w:r w:rsidR="000B4EC8">
        <w:t>considered</w:t>
      </w:r>
      <w:r>
        <w:t xml:space="preserve"> illustrative.</w:t>
      </w:r>
    </w:p>
    <w:p w:rsidR="00F106A2" w:rsidRDefault="00F106A2" w:rsidP="00145D1B">
      <w:pPr>
        <w:pStyle w:val="Heading3"/>
      </w:pPr>
      <w:r>
        <w:t>Consultations</w:t>
      </w:r>
    </w:p>
    <w:p w:rsidR="00D33F32" w:rsidRPr="00CA3BF0" w:rsidRDefault="004274AC" w:rsidP="006117C6">
      <w:pPr>
        <w:pStyle w:val="EYSubheading"/>
      </w:pPr>
      <w:r w:rsidRPr="00490C3C">
        <w:rPr>
          <w:sz w:val="24"/>
        </w:rPr>
        <w:t>Core cohort consultation</w:t>
      </w:r>
      <w:r w:rsidR="00D33F32" w:rsidRPr="006117C6">
        <w:rPr>
          <w:sz w:val="24"/>
        </w:rPr>
        <w:t xml:space="preserve"> </w:t>
      </w:r>
    </w:p>
    <w:p w:rsidR="0037661A" w:rsidRDefault="001D0645" w:rsidP="00117082">
      <w:pPr>
        <w:pStyle w:val="EYBodytextwithparaspace"/>
      </w:pPr>
      <w:r>
        <w:t xml:space="preserve">Initial consultation undertaken </w:t>
      </w:r>
      <w:r w:rsidR="00D70217">
        <w:t xml:space="preserve">by EY Sweeney </w:t>
      </w:r>
      <w:r w:rsidR="004274AC">
        <w:t>us</w:t>
      </w:r>
      <w:r w:rsidR="00582A14">
        <w:t>ed</w:t>
      </w:r>
      <w:r w:rsidR="004274AC">
        <w:t xml:space="preserve"> </w:t>
      </w:r>
      <w:r>
        <w:t>a series</w:t>
      </w:r>
      <w:r w:rsidR="003057EC">
        <w:t xml:space="preserve"> of</w:t>
      </w:r>
      <w:r>
        <w:t xml:space="preserve"> in-depth interviews with a small, representative group of potential end users</w:t>
      </w:r>
      <w:r w:rsidR="003057EC">
        <w:t xml:space="preserve"> and</w:t>
      </w:r>
      <w:r>
        <w:t xml:space="preserve"> their carers. This</w:t>
      </w:r>
      <w:r w:rsidR="00364066">
        <w:t xml:space="preserve"> </w:t>
      </w:r>
      <w:r w:rsidR="007553D2">
        <w:t>consultation phase</w:t>
      </w:r>
      <w:r w:rsidR="00364066">
        <w:t xml:space="preserve"> was not designed to be </w:t>
      </w:r>
      <w:r w:rsidR="00364066" w:rsidRPr="009260BA">
        <w:t xml:space="preserve">statistically </w:t>
      </w:r>
      <w:r w:rsidR="004274AC">
        <w:t>representative</w:t>
      </w:r>
      <w:r w:rsidR="00364066">
        <w:t xml:space="preserve">, but to obtain </w:t>
      </w:r>
      <w:r w:rsidR="004274AC">
        <w:t xml:space="preserve">lived experience </w:t>
      </w:r>
      <w:r w:rsidR="00364066">
        <w:t xml:space="preserve">insights from </w:t>
      </w:r>
      <w:r w:rsidR="004F0895">
        <w:t xml:space="preserve">parties </w:t>
      </w:r>
      <w:r w:rsidR="00582A14">
        <w:t xml:space="preserve">directly </w:t>
      </w:r>
      <w:r w:rsidR="004F0895">
        <w:t>impacted by the problem.</w:t>
      </w:r>
    </w:p>
    <w:p w:rsidR="00364066" w:rsidRDefault="00364066" w:rsidP="00117082">
      <w:pPr>
        <w:pStyle w:val="EYBodytextwithparaspace"/>
      </w:pPr>
      <w:r>
        <w:t xml:space="preserve">The information collected through the </w:t>
      </w:r>
      <w:r w:rsidR="00064592">
        <w:t xml:space="preserve">consultation process </w:t>
      </w:r>
      <w:r>
        <w:t>was analysed to identify key themes, determine consistencies between the different cohort groups, as wel</w:t>
      </w:r>
      <w:r w:rsidR="00BF183A">
        <w:t xml:space="preserve">l as key points of difference. </w:t>
      </w:r>
      <w:r>
        <w:t xml:space="preserve">The </w:t>
      </w:r>
      <w:r w:rsidR="00064592">
        <w:t xml:space="preserve">information </w:t>
      </w:r>
      <w:r>
        <w:t>was also explored through a series of lenses, including:</w:t>
      </w:r>
    </w:p>
    <w:p w:rsidR="00364066" w:rsidRPr="00406990" w:rsidRDefault="002E0E9D" w:rsidP="00F87CB7">
      <w:pPr>
        <w:pStyle w:val="EYBulletnoparaspace"/>
      </w:pPr>
      <w:r>
        <w:t>The n</w:t>
      </w:r>
      <w:r w:rsidR="00364066" w:rsidRPr="00406990">
        <w:t>eed</w:t>
      </w:r>
      <w:r>
        <w:t xml:space="preserve"> for</w:t>
      </w:r>
      <w:r w:rsidR="00364066" w:rsidRPr="00406990">
        <w:t xml:space="preserve">, </w:t>
      </w:r>
      <w:r>
        <w:t xml:space="preserve">and the </w:t>
      </w:r>
      <w:r w:rsidR="00364066" w:rsidRPr="00406990">
        <w:t>suitability and availability of</w:t>
      </w:r>
      <w:r>
        <w:t>,</w:t>
      </w:r>
      <w:r w:rsidR="001D0645">
        <w:t xml:space="preserve"> </w:t>
      </w:r>
      <w:r>
        <w:t>AACFs</w:t>
      </w:r>
      <w:r w:rsidR="007C69BF">
        <w:t>.</w:t>
      </w:r>
    </w:p>
    <w:p w:rsidR="00364066" w:rsidRPr="00406990" w:rsidRDefault="00364066" w:rsidP="00F87CB7">
      <w:pPr>
        <w:pStyle w:val="EYBulletnoparaspace"/>
      </w:pPr>
      <w:r w:rsidRPr="00406990">
        <w:t xml:space="preserve">Benefits and challenges associated with </w:t>
      </w:r>
      <w:r w:rsidR="002E0E9D">
        <w:t>AACFs</w:t>
      </w:r>
      <w:r w:rsidR="007C69BF">
        <w:t>.</w:t>
      </w:r>
    </w:p>
    <w:p w:rsidR="00364066" w:rsidRPr="00406990" w:rsidRDefault="00364066" w:rsidP="00F87CB7">
      <w:pPr>
        <w:pStyle w:val="EYBulletnoparaspace"/>
      </w:pPr>
      <w:r w:rsidRPr="00406990">
        <w:t>Minimum standards and legislative requirements</w:t>
      </w:r>
      <w:r w:rsidR="007C69BF">
        <w:t>.</w:t>
      </w:r>
    </w:p>
    <w:p w:rsidR="00364066" w:rsidRPr="00406990" w:rsidRDefault="00364066" w:rsidP="00F87CB7">
      <w:pPr>
        <w:pStyle w:val="EYBulletnoparaspace"/>
      </w:pPr>
      <w:r w:rsidRPr="00406990">
        <w:t xml:space="preserve">Discrimination and </w:t>
      </w:r>
      <w:r w:rsidR="001D0645">
        <w:t>c</w:t>
      </w:r>
      <w:r w:rsidRPr="00406990">
        <w:t xml:space="preserve">ommunity </w:t>
      </w:r>
      <w:r w:rsidR="001D0645">
        <w:t>p</w:t>
      </w:r>
      <w:r w:rsidRPr="00406990">
        <w:t>articipation</w:t>
      </w:r>
      <w:r w:rsidR="007C69BF">
        <w:t>.</w:t>
      </w:r>
    </w:p>
    <w:p w:rsidR="00364066" w:rsidRDefault="00364066" w:rsidP="00117082">
      <w:pPr>
        <w:pStyle w:val="EYBodytextwithparaspace"/>
      </w:pPr>
      <w:r>
        <w:lastRenderedPageBreak/>
        <w:t xml:space="preserve">The intent of the information collected through the qualitative research component </w:t>
      </w:r>
      <w:r w:rsidR="000B4EC8">
        <w:t>wa</w:t>
      </w:r>
      <w:r>
        <w:t xml:space="preserve">s to ensure that the voice of the end user, along with their thoughts, ideas, experiences and perceptions are incorporated as a key consideration </w:t>
      </w:r>
      <w:r w:rsidR="000B4EC8">
        <w:t xml:space="preserve">in </w:t>
      </w:r>
      <w:r>
        <w:t>th</w:t>
      </w:r>
      <w:r w:rsidR="004B29B4">
        <w:t>is</w:t>
      </w:r>
      <w:r>
        <w:t xml:space="preserve"> </w:t>
      </w:r>
      <w:r w:rsidR="00B76870">
        <w:t xml:space="preserve">Final </w:t>
      </w:r>
      <w:r w:rsidR="00064592">
        <w:t>RIS</w:t>
      </w:r>
      <w:r>
        <w:t>.</w:t>
      </w:r>
    </w:p>
    <w:p w:rsidR="007553D2" w:rsidRDefault="00D70217" w:rsidP="00117082">
      <w:pPr>
        <w:pStyle w:val="EYBodytextwithparaspace"/>
      </w:pPr>
      <w:r>
        <w:t>T</w:t>
      </w:r>
      <w:r w:rsidR="007553D2">
        <w:t xml:space="preserve">hroughout the remainder of this </w:t>
      </w:r>
      <w:r w:rsidR="004A6CE8">
        <w:t xml:space="preserve">Final </w:t>
      </w:r>
      <w:r w:rsidR="007553D2">
        <w:t xml:space="preserve">RIS, insights from the consultation </w:t>
      </w:r>
      <w:r w:rsidR="004A6CE8">
        <w:t xml:space="preserve">undertaken by EY Sweeney </w:t>
      </w:r>
      <w:r w:rsidR="007553D2">
        <w:t xml:space="preserve">are highlighted </w:t>
      </w:r>
      <w:r w:rsidR="007553D2" w:rsidRPr="005D3F23">
        <w:t xml:space="preserve">in yellow text boxes </w:t>
      </w:r>
      <w:r w:rsidRPr="005D3F23">
        <w:t>w</w:t>
      </w:r>
      <w:r w:rsidR="007553D2" w:rsidRPr="005D3F23">
        <w:t xml:space="preserve">here </w:t>
      </w:r>
      <w:r w:rsidR="007553D2">
        <w:t>relevan</w:t>
      </w:r>
      <w:r w:rsidR="00FF17D5">
        <w:t>t</w:t>
      </w:r>
      <w:r w:rsidR="007553D2">
        <w:t xml:space="preserve"> to the in</w:t>
      </w:r>
      <w:r w:rsidR="007C69BF">
        <w:t>-</w:t>
      </w:r>
      <w:r w:rsidR="007553D2">
        <w:t>text discussion. All insights and associated quotations are anonymised so that no individual participant can be identified.</w:t>
      </w:r>
    </w:p>
    <w:p w:rsidR="00D33F32" w:rsidRPr="00490C3C" w:rsidRDefault="00D33F32" w:rsidP="006117C6">
      <w:pPr>
        <w:pStyle w:val="EYSubheading"/>
      </w:pPr>
      <w:r w:rsidRPr="00490C3C">
        <w:rPr>
          <w:sz w:val="24"/>
        </w:rPr>
        <w:t>Public consultation</w:t>
      </w:r>
    </w:p>
    <w:p w:rsidR="00D33F32" w:rsidRDefault="00D33F32" w:rsidP="00117082">
      <w:pPr>
        <w:pStyle w:val="EYBodytextwithparaspace"/>
      </w:pPr>
      <w:r w:rsidRPr="00490C3C">
        <w:t xml:space="preserve">Following the release of the Consultation RIS, comments were sought from interested parties for a period of six weeks. This Final RIS incorporates </w:t>
      </w:r>
      <w:r w:rsidR="004274AC" w:rsidRPr="00490C3C">
        <w:t xml:space="preserve">and summarises </w:t>
      </w:r>
      <w:r w:rsidRPr="00490C3C">
        <w:t xml:space="preserve">the comments received during the public consultation period, and presents our </w:t>
      </w:r>
      <w:r w:rsidR="004274AC" w:rsidRPr="00490C3C">
        <w:t>conclusions</w:t>
      </w:r>
      <w:r w:rsidRPr="00490C3C">
        <w:t xml:space="preserve"> based on the analysis and the views of all those who provided feedback during the consultation period.</w:t>
      </w:r>
      <w:r>
        <w:t xml:space="preserve"> </w:t>
      </w:r>
    </w:p>
    <w:p w:rsidR="00F106A2" w:rsidRPr="00F106A2" w:rsidRDefault="001D0645" w:rsidP="00145D1B">
      <w:pPr>
        <w:pStyle w:val="Heading3"/>
      </w:pPr>
      <w:r>
        <w:t>Limitations</w:t>
      </w:r>
    </w:p>
    <w:bookmarkEnd w:id="27"/>
    <w:bookmarkEnd w:id="28"/>
    <w:bookmarkEnd w:id="29"/>
    <w:p w:rsidR="00364066" w:rsidRDefault="005D3F23" w:rsidP="00117082">
      <w:pPr>
        <w:pStyle w:val="EYBodytextwithparaspace"/>
      </w:pPr>
      <w:r>
        <w:t>T</w:t>
      </w:r>
      <w:r w:rsidR="00364066">
        <w:t xml:space="preserve">he estimated benefits are </w:t>
      </w:r>
      <w:r w:rsidR="007553D2">
        <w:t xml:space="preserve">just </w:t>
      </w:r>
      <w:r w:rsidR="00364066">
        <w:t>one small proportion of the potential total benef</w:t>
      </w:r>
      <w:r w:rsidR="00BF183A">
        <w:t>its</w:t>
      </w:r>
      <w:r w:rsidR="007553D2">
        <w:t xml:space="preserve"> of</w:t>
      </w:r>
      <w:r w:rsidR="00BF183A">
        <w:t xml:space="preserve"> </w:t>
      </w:r>
      <w:r w:rsidR="001D0645">
        <w:t xml:space="preserve">the proposed inclusion of </w:t>
      </w:r>
      <w:r w:rsidR="00801837">
        <w:t>AACFs</w:t>
      </w:r>
      <w:r w:rsidR="001D0645">
        <w:t xml:space="preserve"> in the Premises Standards and the NCC</w:t>
      </w:r>
      <w:r w:rsidR="00BF183A">
        <w:t>.</w:t>
      </w:r>
    </w:p>
    <w:p w:rsidR="00364066" w:rsidRDefault="007553D2" w:rsidP="00117082">
      <w:pPr>
        <w:pStyle w:val="EYBodytextwithparaspace"/>
      </w:pPr>
      <w:r>
        <w:t>W</w:t>
      </w:r>
      <w:r w:rsidR="00364066">
        <w:t xml:space="preserve">hat we have quantified is the relatively small component of overall benefits that might </w:t>
      </w:r>
      <w:r w:rsidR="00BF183A">
        <w:t>be deemed ‘</w:t>
      </w:r>
      <w:r>
        <w:t>use values’</w:t>
      </w:r>
      <w:r w:rsidR="0037661A">
        <w:t xml:space="preserve">; </w:t>
      </w:r>
      <w:r w:rsidR="001D0645">
        <w:t xml:space="preserve">specifically, </w:t>
      </w:r>
      <w:r w:rsidR="00364066">
        <w:t xml:space="preserve">the value of trips made to Class 6 shopping centres and </w:t>
      </w:r>
      <w:r w:rsidR="006B28B8">
        <w:t>Class 9b</w:t>
      </w:r>
      <w:r w:rsidR="00364066">
        <w:t xml:space="preserve"> assembly buildings </w:t>
      </w:r>
      <w:r w:rsidR="001D0645">
        <w:t xml:space="preserve">(where sufficient data </w:t>
      </w:r>
      <w:r w:rsidR="00CD68E8">
        <w:t>was</w:t>
      </w:r>
      <w:r w:rsidR="001D0645">
        <w:t xml:space="preserve"> available) </w:t>
      </w:r>
      <w:r w:rsidR="00364066">
        <w:t xml:space="preserve">as a result of the installation of </w:t>
      </w:r>
      <w:r w:rsidR="000B4EC8">
        <w:t>AACFs</w:t>
      </w:r>
      <w:r w:rsidR="00364066">
        <w:t xml:space="preserve">. </w:t>
      </w:r>
    </w:p>
    <w:p w:rsidR="00364066" w:rsidRDefault="001766F9" w:rsidP="00117082">
      <w:pPr>
        <w:pStyle w:val="EYBodytextwithparaspace"/>
      </w:pPr>
      <w:r>
        <w:t>F</w:t>
      </w:r>
      <w:r w:rsidR="00364066">
        <w:t xml:space="preserve">actors such as </w:t>
      </w:r>
      <w:r w:rsidR="001D0645">
        <w:t xml:space="preserve">potential improvements to </w:t>
      </w:r>
      <w:r w:rsidR="007553D2">
        <w:t xml:space="preserve">physical or mental health, </w:t>
      </w:r>
      <w:r w:rsidR="00364066">
        <w:t xml:space="preserve">quality of life, or </w:t>
      </w:r>
      <w:r w:rsidR="007553D2">
        <w:t xml:space="preserve">any </w:t>
      </w:r>
      <w:r w:rsidR="00364066">
        <w:t>other psychological</w:t>
      </w:r>
      <w:r w:rsidR="007553D2">
        <w:t>,</w:t>
      </w:r>
      <w:r w:rsidR="00364066">
        <w:t xml:space="preserve"> physical </w:t>
      </w:r>
      <w:r w:rsidR="007553D2">
        <w:t xml:space="preserve">or societal </w:t>
      </w:r>
      <w:r w:rsidR="00364066" w:rsidRPr="00490C3C">
        <w:t>b</w:t>
      </w:r>
      <w:r w:rsidR="00BF183A" w:rsidRPr="00490C3C">
        <w:t>enefits</w:t>
      </w:r>
      <w:r w:rsidRPr="00490C3C">
        <w:t xml:space="preserve"> have not been quantified</w:t>
      </w:r>
      <w:r w:rsidR="00BF183A" w:rsidRPr="00490C3C">
        <w:t>.</w:t>
      </w:r>
      <w:r w:rsidR="002E6235" w:rsidRPr="00490C3C">
        <w:t xml:space="preserve"> Feedback on the Consultation RIS from many stakeholders note</w:t>
      </w:r>
      <w:r w:rsidRPr="00490C3C">
        <w:t>d</w:t>
      </w:r>
      <w:r w:rsidR="002E6235" w:rsidRPr="00490C3C">
        <w:t xml:space="preserve"> that these </w:t>
      </w:r>
      <w:r w:rsidR="002D118B" w:rsidRPr="00490C3C">
        <w:t xml:space="preserve">intangible </w:t>
      </w:r>
      <w:r w:rsidR="002E6235" w:rsidRPr="00490C3C">
        <w:t>benefits are more relevant to the consideration of the proposal than the quantified benefits</w:t>
      </w:r>
      <w:r w:rsidR="00982BD8">
        <w:t xml:space="preserve"> and suggested that a cost-benefit fram</w:t>
      </w:r>
      <w:r w:rsidR="00EC48B9">
        <w:t>ework for evaluating the problem is inappropriate based on adult change facilities being a need rather than a desire for a proportion of the population</w:t>
      </w:r>
      <w:r w:rsidR="002E6235" w:rsidRPr="00490C3C">
        <w:t>.</w:t>
      </w:r>
    </w:p>
    <w:p w:rsidR="00364066" w:rsidRDefault="00364066" w:rsidP="00117082">
      <w:pPr>
        <w:pStyle w:val="EYBodytextwithparaspace"/>
      </w:pPr>
      <w:r>
        <w:t>The qualitative analysis</w:t>
      </w:r>
      <w:r w:rsidR="00670657">
        <w:t xml:space="preserve"> appl</w:t>
      </w:r>
      <w:r w:rsidR="001766F9">
        <w:t>ies</w:t>
      </w:r>
      <w:r w:rsidR="00670657">
        <w:t xml:space="preserve"> a more holistic lens </w:t>
      </w:r>
      <w:r w:rsidR="00EA7515">
        <w:t xml:space="preserve">to identifying </w:t>
      </w:r>
      <w:r w:rsidR="00670657">
        <w:t xml:space="preserve">potential benefits that </w:t>
      </w:r>
      <w:r w:rsidR="00EA7515">
        <w:t xml:space="preserve">the inclusion of </w:t>
      </w:r>
      <w:r w:rsidR="000B4EC8">
        <w:t>AACFs</w:t>
      </w:r>
      <w:r w:rsidR="00EA7515">
        <w:t xml:space="preserve"> in the Premises Standards and the NCC </w:t>
      </w:r>
      <w:r w:rsidR="001766F9">
        <w:t>is likely</w:t>
      </w:r>
      <w:r w:rsidR="00EA7515">
        <w:t xml:space="preserve"> </w:t>
      </w:r>
      <w:r w:rsidR="00504F76">
        <w:t xml:space="preserve">to </w:t>
      </w:r>
      <w:r w:rsidR="00EA7515">
        <w:t>generate</w:t>
      </w:r>
      <w:r w:rsidR="007553D2">
        <w:t>.</w:t>
      </w:r>
    </w:p>
    <w:p w:rsidR="00EA7515" w:rsidRDefault="00EA7515" w:rsidP="00EA7515">
      <w:pPr>
        <w:pStyle w:val="Heading3"/>
        <w:keepLines/>
        <w:autoSpaceDE/>
        <w:autoSpaceDN/>
        <w:adjustRightInd/>
        <w:spacing w:before="200" w:after="0" w:line="276" w:lineRule="auto"/>
        <w:ind w:left="431" w:hanging="431"/>
        <w:jc w:val="both"/>
      </w:pPr>
      <w:r>
        <w:t>Matters that are out-of-scope</w:t>
      </w:r>
    </w:p>
    <w:p w:rsidR="00EA7515" w:rsidRDefault="00EA7515" w:rsidP="009260BA">
      <w:pPr>
        <w:pStyle w:val="EYBodytextwithparaspace"/>
      </w:pPr>
      <w:r>
        <w:t xml:space="preserve">In line with the scope of the Premises Standards and the NCC, certain matters will fall outside the scope of what can be considered by this </w:t>
      </w:r>
      <w:r w:rsidR="0086722D">
        <w:t xml:space="preserve">Final </w:t>
      </w:r>
      <w:r>
        <w:t xml:space="preserve">RIS. These </w:t>
      </w:r>
      <w:r w:rsidR="002E0E9D">
        <w:t>include</w:t>
      </w:r>
      <w:r>
        <w:t>:</w:t>
      </w:r>
    </w:p>
    <w:p w:rsidR="00EA7515" w:rsidRPr="009260BA" w:rsidRDefault="00EA7515" w:rsidP="006E207A">
      <w:pPr>
        <w:pStyle w:val="Heading4"/>
        <w:keepNext/>
        <w:rPr>
          <w:b/>
        </w:rPr>
      </w:pPr>
      <w:r w:rsidRPr="009260BA">
        <w:rPr>
          <w:b/>
        </w:rPr>
        <w:t>Restricting access</w:t>
      </w:r>
    </w:p>
    <w:p w:rsidR="00EA7515" w:rsidRDefault="00EA7515" w:rsidP="00681E1A">
      <w:pPr>
        <w:pStyle w:val="EYBodytextwithparaspace"/>
        <w:spacing w:after="200"/>
      </w:pPr>
      <w:r>
        <w:t>Th</w:t>
      </w:r>
      <w:r w:rsidR="00347CC6">
        <w:t xml:space="preserve">is Final </w:t>
      </w:r>
      <w:r>
        <w:t xml:space="preserve">RIS </w:t>
      </w:r>
      <w:r w:rsidR="00347CC6">
        <w:t>does</w:t>
      </w:r>
      <w:r>
        <w:t xml:space="preserve"> not consider regulating to require that access to </w:t>
      </w:r>
      <w:r w:rsidR="00801837">
        <w:t xml:space="preserve">AACFs </w:t>
      </w:r>
      <w:r>
        <w:t>be restricted as a requirement of the Premises Standards or the NCC. This is consistent wit</w:t>
      </w:r>
      <w:r w:rsidR="00652602">
        <w:t>h the current approach whereby:</w:t>
      </w:r>
    </w:p>
    <w:p w:rsidR="00EA7515" w:rsidRDefault="00EA7515" w:rsidP="009260BA">
      <w:pPr>
        <w:pStyle w:val="EYBulletedText1"/>
      </w:pPr>
      <w:r>
        <w:t>There are no access restriction requirements applicable to sanitary facilities (accessible or otherwise).</w:t>
      </w:r>
    </w:p>
    <w:p w:rsidR="00EA7515" w:rsidRDefault="00EA7515" w:rsidP="009260BA">
      <w:pPr>
        <w:pStyle w:val="EYBulletedText1"/>
      </w:pPr>
      <w:r>
        <w:lastRenderedPageBreak/>
        <w:t>The Premises Standards and the NCC do not regulate security o</w:t>
      </w:r>
      <w:r w:rsidR="00652602">
        <w:t>r property protection matters.</w:t>
      </w:r>
    </w:p>
    <w:p w:rsidR="00EA7515" w:rsidRDefault="00EA7515" w:rsidP="009260BA">
      <w:pPr>
        <w:pStyle w:val="EYBodytextwithparaspace"/>
      </w:pPr>
      <w:r>
        <w:t>This limitation of scope would not prevent building owners electing to restrict access voluntarily, such as when accessible sanitary facilities, along with other facilities, are locked when the building is closed. Building owners would also be able</w:t>
      </w:r>
      <w:r w:rsidR="001A01F0">
        <w:t xml:space="preserve"> to</w:t>
      </w:r>
      <w:r>
        <w:t xml:space="preserve"> elect to install an MLAK system</w:t>
      </w:r>
      <w:r w:rsidRPr="00BD5A2B">
        <w:rPr>
          <w:rStyle w:val="FootnoteReference"/>
        </w:rPr>
        <w:footnoteReference w:id="29"/>
      </w:r>
      <w:r>
        <w:t xml:space="preserve"> to restrict access to an </w:t>
      </w:r>
      <w:r w:rsidR="00667694">
        <w:t>AACF</w:t>
      </w:r>
      <w:r>
        <w:t xml:space="preserve"> even when the building is open, should they consider it necessary to do so.</w:t>
      </w:r>
    </w:p>
    <w:p w:rsidR="00EA7515" w:rsidRDefault="00EA7515" w:rsidP="009260BA">
      <w:pPr>
        <w:pStyle w:val="EYBodytextwithparaspace"/>
      </w:pPr>
      <w:r>
        <w:t xml:space="preserve">However, it is important to note that restricting access to accessible sanitary facilities (including </w:t>
      </w:r>
      <w:r w:rsidR="00387B75">
        <w:t>AACF</w:t>
      </w:r>
      <w:r w:rsidR="00CD68E8">
        <w:t>s</w:t>
      </w:r>
      <w:r>
        <w:t>) in a way that is more onerous than for non-accessible sanitary facilities in the same building may be considered discrimination under the</w:t>
      </w:r>
      <w:r w:rsidR="00C60479" w:rsidRPr="00C60479">
        <w:rPr>
          <w:i/>
        </w:rPr>
        <w:t xml:space="preserve"> </w:t>
      </w:r>
      <w:r w:rsidR="00C60479">
        <w:t>DDA</w:t>
      </w:r>
      <w:r w:rsidR="00652602">
        <w:t>.</w:t>
      </w:r>
    </w:p>
    <w:p w:rsidR="00EA7515" w:rsidRPr="009260BA" w:rsidRDefault="00EA7515" w:rsidP="009260BA">
      <w:pPr>
        <w:pStyle w:val="Heading4"/>
        <w:rPr>
          <w:b/>
        </w:rPr>
      </w:pPr>
      <w:r w:rsidRPr="009260BA">
        <w:rPr>
          <w:b/>
        </w:rPr>
        <w:t>Ongoing maintenance and cleaning</w:t>
      </w:r>
    </w:p>
    <w:p w:rsidR="00EA7515" w:rsidRDefault="00EA7515" w:rsidP="009260BA">
      <w:pPr>
        <w:pStyle w:val="EYBodytextwithparaspace"/>
      </w:pPr>
      <w:r>
        <w:t>Ongoing maintenance and cleaning is outside the scope of the Premises Standards and NCC</w:t>
      </w:r>
      <w:r w:rsidR="001A01F0">
        <w:t>.</w:t>
      </w:r>
      <w:r>
        <w:t xml:space="preserve"> </w:t>
      </w:r>
      <w:r w:rsidR="000B4EC8">
        <w:t xml:space="preserve">This means these matters </w:t>
      </w:r>
      <w:r>
        <w:t xml:space="preserve">are also outside the scope of regulatory changes that can be considered in this </w:t>
      </w:r>
      <w:r w:rsidR="00862497">
        <w:t xml:space="preserve">Final </w:t>
      </w:r>
      <w:r>
        <w:t xml:space="preserve">RIS. </w:t>
      </w:r>
    </w:p>
    <w:p w:rsidR="003C6B6B" w:rsidRDefault="003C6B6B" w:rsidP="009260BA">
      <w:pPr>
        <w:pStyle w:val="EYBodytextwithparaspace"/>
      </w:pPr>
      <w:r>
        <w:t xml:space="preserve">That said, the analysis has considered ongoing operating expenses, including </w:t>
      </w:r>
      <w:r w:rsidRPr="00B90A4A">
        <w:t>those relating to the ongoing maintenance of facilities</w:t>
      </w:r>
      <w:r>
        <w:t>, devised by the Property Council of Australia in its 2017 Benchmarks Survey of Australian shopping centres. It is assumed that the operating costs for AACFs do not differ by location.</w:t>
      </w:r>
    </w:p>
    <w:p w:rsidR="00BE1DFA" w:rsidRDefault="00AA3195" w:rsidP="009260BA">
      <w:pPr>
        <w:pStyle w:val="EYBodytextwithparaspace"/>
      </w:pPr>
      <w:r w:rsidRPr="007722EE">
        <w:t xml:space="preserve">It </w:t>
      </w:r>
      <w:r w:rsidR="00DF650C" w:rsidRPr="007722EE">
        <w:t xml:space="preserve">is </w:t>
      </w:r>
      <w:r w:rsidRPr="007722EE">
        <w:t>acknowledged that some stakeholders noted the variance in ongoing maintenance and cleaning costs depending on the building that contains an AACF</w:t>
      </w:r>
      <w:r w:rsidR="0071304A" w:rsidRPr="007722EE">
        <w:t>.</w:t>
      </w:r>
      <w:r w:rsidR="0071304A">
        <w:t xml:space="preserve"> S</w:t>
      </w:r>
      <w:r w:rsidR="003C6B6B">
        <w:t xml:space="preserve">uch variances </w:t>
      </w:r>
      <w:r w:rsidR="0071304A">
        <w:t xml:space="preserve">are expected to have a minor impact on the analysis and have not been considered in </w:t>
      </w:r>
      <w:r w:rsidR="003C6B6B">
        <w:t xml:space="preserve">this </w:t>
      </w:r>
      <w:r w:rsidR="0071304A">
        <w:t>modelling</w:t>
      </w:r>
      <w:r>
        <w:t>.</w:t>
      </w:r>
    </w:p>
    <w:p w:rsidR="00EA7515" w:rsidRPr="009260BA" w:rsidRDefault="00EA7515" w:rsidP="009260BA">
      <w:pPr>
        <w:pStyle w:val="Heading4"/>
        <w:rPr>
          <w:b/>
        </w:rPr>
      </w:pPr>
      <w:r w:rsidRPr="009260BA">
        <w:rPr>
          <w:b/>
        </w:rPr>
        <w:t xml:space="preserve"> Accreditation</w:t>
      </w:r>
    </w:p>
    <w:p w:rsidR="00325AF0" w:rsidRDefault="00EA7515" w:rsidP="002667A8">
      <w:pPr>
        <w:pStyle w:val="EYBodytextwithparaspace"/>
      </w:pPr>
      <w:r w:rsidRPr="009260BA">
        <w:t xml:space="preserve">An </w:t>
      </w:r>
      <w:r w:rsidR="00667694">
        <w:t>AACF</w:t>
      </w:r>
      <w:r>
        <w:t xml:space="preserve"> </w:t>
      </w:r>
      <w:r w:rsidRPr="009260BA">
        <w:t>designed and installed according to the NCC would not be subject to any mandatory third-party accreditation requirement under the NCC (e.g. Changing Places accreditation). This is because it is outside the scope of the NCC to create administrative obligations. However, this would not preclude anyone from voluntar</w:t>
      </w:r>
      <w:r w:rsidR="001A01F0">
        <w:t>il</w:t>
      </w:r>
      <w:r w:rsidRPr="009260BA">
        <w:t>y seeking accreditation by a thi</w:t>
      </w:r>
      <w:r w:rsidRPr="00EA7515">
        <w:t xml:space="preserve">rd party, as currently occurs. </w:t>
      </w:r>
      <w:bookmarkStart w:id="87" w:name="_Ref520815711"/>
      <w:bookmarkStart w:id="88" w:name="_Toc504063159"/>
      <w:bookmarkStart w:id="89" w:name="_Toc504388850"/>
      <w:bookmarkStart w:id="90" w:name="_Toc504401701"/>
      <w:bookmarkStart w:id="91" w:name="_Toc504649907"/>
      <w:r w:rsidR="00325AF0">
        <w:br w:type="page"/>
      </w:r>
    </w:p>
    <w:p w:rsidR="008B5F84" w:rsidRPr="005E7E6E" w:rsidRDefault="008B5F84" w:rsidP="0042716B">
      <w:pPr>
        <w:pStyle w:val="Heading1"/>
      </w:pPr>
      <w:bookmarkStart w:id="92" w:name="_Ref523151324"/>
      <w:bookmarkStart w:id="93" w:name="_Toc525897783"/>
      <w:r>
        <w:lastRenderedPageBreak/>
        <w:t>What is the problem?</w:t>
      </w:r>
      <w:bookmarkEnd w:id="87"/>
      <w:bookmarkEnd w:id="92"/>
      <w:bookmarkEnd w:id="93"/>
      <w:r>
        <w:t xml:space="preserve"> </w:t>
      </w:r>
    </w:p>
    <w:p w:rsidR="008B5F84" w:rsidRDefault="008B5F84" w:rsidP="008B5F84">
      <w:pPr>
        <w:pStyle w:val="EYBodytextwithparaspace"/>
      </w:pPr>
      <w:r>
        <w:t xml:space="preserve">The Premises Standards </w:t>
      </w:r>
      <w:r w:rsidR="001E7783">
        <w:t>r</w:t>
      </w:r>
      <w:r>
        <w:t>eview acknowledged that ‘the lack of accessible sanitary facilities incorporating adult change facilities is affecting people with more complex disabilities and their ability to use sanitary facilities when out in public.</w:t>
      </w:r>
      <w:r w:rsidRPr="00C133AC">
        <w:rPr>
          <w:rStyle w:val="FootnoteReference"/>
          <w:sz w:val="24"/>
          <w:szCs w:val="24"/>
        </w:rPr>
        <w:footnoteReference w:id="30"/>
      </w:r>
      <w:r>
        <w:t xml:space="preserve"> This can limit the participation of people with complex disabilities in the social, cultural, civic, political and economic opportunities available within their communities.</w:t>
      </w:r>
    </w:p>
    <w:p w:rsidR="008B5F84" w:rsidRDefault="008B5F84" w:rsidP="008B5F84">
      <w:pPr>
        <w:pStyle w:val="EYBodytextwithparaspace"/>
      </w:pPr>
      <w:r>
        <w:t>Although accessible sanitary facilities are currently required by the NCC and the Premises Standards, these do not include equipment that can be used by people with more complex disabilities</w:t>
      </w:r>
      <w:r w:rsidR="00E26468">
        <w:t>.</w:t>
      </w:r>
      <w:r w:rsidRPr="00C133AC">
        <w:rPr>
          <w:rStyle w:val="FootnoteReference"/>
          <w:sz w:val="24"/>
          <w:szCs w:val="24"/>
        </w:rPr>
        <w:footnoteReference w:id="31"/>
      </w:r>
    </w:p>
    <w:p w:rsidR="008B5F84" w:rsidRDefault="008B5F84" w:rsidP="008B5F84">
      <w:pPr>
        <w:pStyle w:val="EYBodytextwithparaspace"/>
      </w:pPr>
      <w:r>
        <w:t>This section describes why the current level of provision of AACFs is insufficient to account for the needs of persons with a complex disability, and why the uptake of facilities is inconsistent with national and global legal frameworks, and how this creates considerable impacts at an economic and societal level.</w:t>
      </w:r>
    </w:p>
    <w:p w:rsidR="008B5F84" w:rsidRDefault="008B5F84" w:rsidP="00A15416">
      <w:pPr>
        <w:pStyle w:val="Heading2"/>
      </w:pPr>
      <w:bookmarkStart w:id="94" w:name="_Toc525897784"/>
      <w:r>
        <w:t>The current provision of accessible adult change facilities</w:t>
      </w:r>
      <w:bookmarkEnd w:id="94"/>
      <w:r>
        <w:t xml:space="preserve"> </w:t>
      </w:r>
    </w:p>
    <w:p w:rsidR="008B5F84" w:rsidRDefault="008B5F84" w:rsidP="008B5F84">
      <w:pPr>
        <w:pStyle w:val="EYBodytextwithparaspace"/>
      </w:pPr>
      <w:r>
        <w:t xml:space="preserve">As of August 2017 there were </w:t>
      </w:r>
      <w:r w:rsidRPr="00F3527E">
        <w:t>52</w:t>
      </w:r>
      <w:r>
        <w:t xml:space="preserve"> AACFs and 30 Changing Places facilities</w:t>
      </w:r>
      <w:r w:rsidRPr="00F3527E">
        <w:t xml:space="preserve"> already in existence across Australia.</w:t>
      </w:r>
      <w:r w:rsidRPr="00C133AC">
        <w:rPr>
          <w:rStyle w:val="FootnoteReference"/>
          <w:color w:val="000000" w:themeColor="text1"/>
          <w:sz w:val="24"/>
          <w:szCs w:val="24"/>
        </w:rPr>
        <w:footnoteReference w:id="32"/>
      </w:r>
      <w:r w:rsidRPr="00E26468">
        <w:t xml:space="preserve"> </w:t>
      </w:r>
      <w:r>
        <w:t>The fundamental question underlying this Final RIS is whether or not the current provision of facilities is sufficient to enable the equitable and dignified participation of people with more complex disabilities in the community.</w:t>
      </w:r>
    </w:p>
    <w:p w:rsidR="008B5F84" w:rsidRDefault="00B54305" w:rsidP="008B5F84">
      <w:pPr>
        <w:pStyle w:val="EYBodytextwithparaspace"/>
      </w:pPr>
      <w:r>
        <w:fldChar w:fldCharType="begin"/>
      </w:r>
      <w:r>
        <w:instrText xml:space="preserve"> REF _Ref523134505 \h </w:instrText>
      </w:r>
      <w:r>
        <w:fldChar w:fldCharType="separate"/>
      </w:r>
      <w:r w:rsidR="00910A73">
        <w:t xml:space="preserve">Figure </w:t>
      </w:r>
      <w:r w:rsidR="00910A73">
        <w:rPr>
          <w:noProof/>
        </w:rPr>
        <w:t>2</w:t>
      </w:r>
      <w:r w:rsidR="00910A73">
        <w:noBreakHyphen/>
      </w:r>
      <w:r w:rsidR="00910A73">
        <w:rPr>
          <w:noProof/>
        </w:rPr>
        <w:t>1</w:t>
      </w:r>
      <w:r>
        <w:fldChar w:fldCharType="end"/>
      </w:r>
      <w:r>
        <w:t xml:space="preserve"> </w:t>
      </w:r>
      <w:r w:rsidR="008B5F84">
        <w:t xml:space="preserve">shows that the number of AACFs in each State and Territory varies, with 52 in Victoria, 11 in Queensland, eight in Western Australia, seven in NSW, two in South Australia, one in both the Northern Territory and Tasmania, and none in the ACT. </w:t>
      </w:r>
    </w:p>
    <w:p w:rsidR="008B5F84" w:rsidRDefault="00BA13E6" w:rsidP="00566C92">
      <w:pPr>
        <w:pStyle w:val="Caption"/>
        <w:keepNext/>
      </w:pPr>
      <w:bookmarkStart w:id="95" w:name="_Ref521493271"/>
      <w:bookmarkStart w:id="96" w:name="_Ref523134505"/>
      <w:bookmarkStart w:id="97" w:name="_Ref520889359"/>
      <w:bookmarkStart w:id="98" w:name="_Ref521493253"/>
      <w:bookmarkStart w:id="99" w:name="_Toc525897834"/>
      <w:r>
        <w:lastRenderedPageBreak/>
        <w:t>Figure</w:t>
      </w:r>
      <w:bookmarkEnd w:id="95"/>
      <w:r>
        <w:t xml:space="preserve"> </w:t>
      </w:r>
      <w:r w:rsidR="00E71337">
        <w:rPr>
          <w:noProof/>
        </w:rPr>
        <w:fldChar w:fldCharType="begin"/>
      </w:r>
      <w:r w:rsidR="00E71337">
        <w:rPr>
          <w:noProof/>
        </w:rPr>
        <w:instrText xml:space="preserve"> STYLEREF 1 \s </w:instrText>
      </w:r>
      <w:r w:rsidR="00E71337">
        <w:rPr>
          <w:noProof/>
        </w:rPr>
        <w:fldChar w:fldCharType="separate"/>
      </w:r>
      <w:r w:rsidR="00910A73">
        <w:rPr>
          <w:noProof/>
        </w:rPr>
        <w:t>2</w:t>
      </w:r>
      <w:r w:rsidR="00E71337">
        <w:rPr>
          <w:noProof/>
        </w:rPr>
        <w:fldChar w:fldCharType="end"/>
      </w:r>
      <w:r>
        <w:noBreakHyphen/>
      </w:r>
      <w:r w:rsidR="00E71337">
        <w:rPr>
          <w:noProof/>
        </w:rPr>
        <w:fldChar w:fldCharType="begin"/>
      </w:r>
      <w:r w:rsidR="00E71337">
        <w:rPr>
          <w:noProof/>
        </w:rPr>
        <w:instrText xml:space="preserve"> SEQ Figure \* ARABIC \s 1 </w:instrText>
      </w:r>
      <w:r w:rsidR="00E71337">
        <w:rPr>
          <w:noProof/>
        </w:rPr>
        <w:fldChar w:fldCharType="separate"/>
      </w:r>
      <w:r w:rsidR="00910A73">
        <w:rPr>
          <w:noProof/>
        </w:rPr>
        <w:t>1</w:t>
      </w:r>
      <w:r w:rsidR="00E71337">
        <w:rPr>
          <w:noProof/>
        </w:rPr>
        <w:fldChar w:fldCharType="end"/>
      </w:r>
      <w:bookmarkEnd w:id="96"/>
      <w:r w:rsidR="008B5F84">
        <w:t>: Number of Changing Places Facilities and AACFs as at August 2017</w:t>
      </w:r>
      <w:bookmarkEnd w:id="97"/>
      <w:bookmarkEnd w:id="98"/>
      <w:bookmarkEnd w:id="99"/>
    </w:p>
    <w:p w:rsidR="008B5F84" w:rsidRDefault="008B5F84" w:rsidP="008B5F84">
      <w:pPr>
        <w:keepNext/>
      </w:pPr>
      <w:r>
        <w:rPr>
          <w:noProof/>
          <w:lang w:eastAsia="en-AU"/>
        </w:rPr>
        <w:drawing>
          <wp:inline distT="0" distB="0" distL="0" distR="0" wp14:anchorId="3DD31E09" wp14:editId="67340879">
            <wp:extent cx="5731510" cy="3506470"/>
            <wp:effectExtent l="0" t="0" r="254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B5F84" w:rsidRDefault="008B5F84" w:rsidP="008B5F84">
      <w:pPr>
        <w:keepNext/>
        <w:rPr>
          <w:sz w:val="20"/>
        </w:rPr>
      </w:pPr>
      <w:r>
        <w:rPr>
          <w:sz w:val="20"/>
        </w:rPr>
        <w:t>Source: Changing Places 2017</w:t>
      </w:r>
    </w:p>
    <w:p w:rsidR="008B5F84" w:rsidRDefault="008B5F84" w:rsidP="008B5F84">
      <w:pPr>
        <w:pStyle w:val="EYBodytextwithparaspace"/>
      </w:pPr>
      <w:r>
        <w:t xml:space="preserve">Although uptake is increasing, a comparison of the number of facilities with the number of people in each jurisdiction potentially in need of those facilities (the core cohort assessed in this Final RIS) indicates that the number of facilities may still be insufficient (refer </w:t>
      </w:r>
      <w:r w:rsidR="003E07DF">
        <w:fldChar w:fldCharType="begin"/>
      </w:r>
      <w:r w:rsidR="003E07DF">
        <w:instrText xml:space="preserve"> REF _Ref520814157 \h </w:instrText>
      </w:r>
      <w:r w:rsidR="003E07DF">
        <w:fldChar w:fldCharType="separate"/>
      </w:r>
      <w:r w:rsidR="00910A73">
        <w:t xml:space="preserve">Table </w:t>
      </w:r>
      <w:r w:rsidR="00910A73">
        <w:rPr>
          <w:noProof/>
        </w:rPr>
        <w:t>2</w:t>
      </w:r>
      <w:r w:rsidR="00910A73">
        <w:noBreakHyphen/>
      </w:r>
      <w:r w:rsidR="00910A73">
        <w:rPr>
          <w:noProof/>
        </w:rPr>
        <w:t>1</w:t>
      </w:r>
      <w:r w:rsidR="003E07DF">
        <w:fldChar w:fldCharType="end"/>
      </w:r>
      <w:r>
        <w:t xml:space="preserve">). The core cohort is based on the definition outlined in Section </w:t>
      </w:r>
      <w:r>
        <w:fldChar w:fldCharType="begin"/>
      </w:r>
      <w:r>
        <w:instrText xml:space="preserve"> REF _Ref504057824 \r \h  \* MERGEFORMAT </w:instrText>
      </w:r>
      <w:r>
        <w:fldChar w:fldCharType="separate"/>
      </w:r>
      <w:r w:rsidR="00910A73">
        <w:t>5.1</w:t>
      </w:r>
      <w:r>
        <w:fldChar w:fldCharType="end"/>
      </w:r>
      <w:r>
        <w:t>, which calculates that there are 350,357 people with a disability and profoundly or severely limited in core activities who have either had difficulty accessing buildings or facilities in the last 12 months or who do not leave home.</w:t>
      </w:r>
    </w:p>
    <w:p w:rsidR="008B5F84" w:rsidRDefault="008B5F84" w:rsidP="0013176B">
      <w:pPr>
        <w:pStyle w:val="EYBodytextwithparaspace"/>
      </w:pPr>
      <w:r w:rsidRPr="00BC1247">
        <w:t xml:space="preserve">Even in Victoria, </w:t>
      </w:r>
      <w:r>
        <w:t>which has more</w:t>
      </w:r>
      <w:r w:rsidRPr="00BC1247">
        <w:t xml:space="preserve"> AACFs </w:t>
      </w:r>
      <w:r>
        <w:t>than any other jurisdiction, there are only 52 facilities for approximately 100,000 potential users State wide</w:t>
      </w:r>
      <w:r w:rsidRPr="00BC1247">
        <w:t xml:space="preserve"> (refer</w:t>
      </w:r>
      <w:r w:rsidR="0039043B">
        <w:t xml:space="preserve"> to</w:t>
      </w:r>
      <w:r w:rsidR="00300253">
        <w:t xml:space="preserve"> </w:t>
      </w:r>
      <w:r w:rsidR="00B54305">
        <w:fldChar w:fldCharType="begin"/>
      </w:r>
      <w:r w:rsidR="00B54305">
        <w:instrText xml:space="preserve"> REF _Ref523134505 \h </w:instrText>
      </w:r>
      <w:r w:rsidR="00B54305">
        <w:fldChar w:fldCharType="separate"/>
      </w:r>
      <w:r w:rsidR="00910A73">
        <w:t xml:space="preserve">Figure </w:t>
      </w:r>
      <w:r w:rsidR="00910A73">
        <w:rPr>
          <w:noProof/>
        </w:rPr>
        <w:t>2</w:t>
      </w:r>
      <w:r w:rsidR="00910A73">
        <w:noBreakHyphen/>
      </w:r>
      <w:r w:rsidR="00910A73">
        <w:rPr>
          <w:noProof/>
        </w:rPr>
        <w:t>1</w:t>
      </w:r>
      <w:r w:rsidR="00B54305">
        <w:fldChar w:fldCharType="end"/>
      </w:r>
      <w:r w:rsidR="0039043B">
        <w:t xml:space="preserve"> </w:t>
      </w:r>
      <w:r w:rsidR="0042716B">
        <w:t xml:space="preserve">and </w:t>
      </w:r>
      <w:r w:rsidR="0039043B">
        <w:fldChar w:fldCharType="begin"/>
      </w:r>
      <w:r w:rsidR="0039043B">
        <w:instrText xml:space="preserve"> REF _Ref520814157 \h </w:instrText>
      </w:r>
      <w:r w:rsidR="0039043B">
        <w:fldChar w:fldCharType="separate"/>
      </w:r>
      <w:r w:rsidR="00910A73">
        <w:t xml:space="preserve">Table </w:t>
      </w:r>
      <w:r w:rsidR="00910A73">
        <w:rPr>
          <w:noProof/>
        </w:rPr>
        <w:t>2</w:t>
      </w:r>
      <w:r w:rsidR="00910A73">
        <w:noBreakHyphen/>
      </w:r>
      <w:r w:rsidR="00910A73">
        <w:rPr>
          <w:noProof/>
        </w:rPr>
        <w:t>1</w:t>
      </w:r>
      <w:r w:rsidR="0039043B">
        <w:fldChar w:fldCharType="end"/>
      </w:r>
      <w:r w:rsidRPr="00BC1247">
        <w:t>).</w:t>
      </w:r>
    </w:p>
    <w:p w:rsidR="008B5F84" w:rsidRDefault="008B5F84" w:rsidP="008B5F84">
      <w:pPr>
        <w:pStyle w:val="EYBodytextwithparaspace"/>
      </w:pPr>
      <w:r>
        <w:t xml:space="preserve">Based on this information, it is clear that the provision of AACFs across the country is insufficient to account for need, particularly when compared with wheelchair accessible </w:t>
      </w:r>
      <w:r w:rsidR="00A675D7">
        <w:t xml:space="preserve">facilities </w:t>
      </w:r>
      <w:r>
        <w:t xml:space="preserve">and general public </w:t>
      </w:r>
      <w:r w:rsidR="00A675D7">
        <w:t xml:space="preserve">facilities </w:t>
      </w:r>
      <w:r>
        <w:t>which are commonplace across the country</w:t>
      </w:r>
      <w:r w:rsidR="00E26468">
        <w:t>.</w:t>
      </w:r>
      <w:r w:rsidRPr="00C133AC">
        <w:rPr>
          <w:rStyle w:val="FootnoteReference"/>
          <w:sz w:val="24"/>
          <w:szCs w:val="24"/>
        </w:rPr>
        <w:footnoteReference w:id="33"/>
      </w:r>
      <w:r>
        <w:t xml:space="preserve">  </w:t>
      </w:r>
    </w:p>
    <w:p w:rsidR="008B5F84" w:rsidRDefault="008B5F84" w:rsidP="008B5F84">
      <w:pPr>
        <w:pStyle w:val="Caption"/>
        <w:keepNext/>
      </w:pPr>
      <w:bookmarkStart w:id="100" w:name="_Ref520814157"/>
      <w:bookmarkStart w:id="101" w:name="_Toc525897812"/>
      <w:r>
        <w:lastRenderedPageBreak/>
        <w:t xml:space="preserve">Table </w:t>
      </w:r>
      <w:r w:rsidR="00695371">
        <w:rPr>
          <w:noProof/>
        </w:rPr>
        <w:fldChar w:fldCharType="begin"/>
      </w:r>
      <w:r w:rsidR="00695371">
        <w:rPr>
          <w:noProof/>
        </w:rPr>
        <w:instrText xml:space="preserve"> STYLEREF 1 \s </w:instrText>
      </w:r>
      <w:r w:rsidR="00695371">
        <w:rPr>
          <w:noProof/>
        </w:rPr>
        <w:fldChar w:fldCharType="separate"/>
      </w:r>
      <w:r w:rsidR="00910A73">
        <w:rPr>
          <w:noProof/>
        </w:rPr>
        <w:t>2</w:t>
      </w:r>
      <w:r w:rsidR="00695371">
        <w:rPr>
          <w:noProof/>
        </w:rPr>
        <w:fldChar w:fldCharType="end"/>
      </w:r>
      <w:r w:rsidR="00325A73">
        <w:noBreakHyphen/>
      </w:r>
      <w:r w:rsidR="00695371">
        <w:rPr>
          <w:noProof/>
        </w:rPr>
        <w:fldChar w:fldCharType="begin"/>
      </w:r>
      <w:r w:rsidR="00695371">
        <w:rPr>
          <w:noProof/>
        </w:rPr>
        <w:instrText xml:space="preserve"> SEQ Table \* ARABIC \s 1 </w:instrText>
      </w:r>
      <w:r w:rsidR="00695371">
        <w:rPr>
          <w:noProof/>
        </w:rPr>
        <w:fldChar w:fldCharType="separate"/>
      </w:r>
      <w:r w:rsidR="00910A73">
        <w:rPr>
          <w:noProof/>
        </w:rPr>
        <w:t>1</w:t>
      </w:r>
      <w:r w:rsidR="00695371">
        <w:rPr>
          <w:noProof/>
        </w:rPr>
        <w:fldChar w:fldCharType="end"/>
      </w:r>
      <w:bookmarkEnd w:id="100"/>
      <w:r>
        <w:rPr>
          <w:noProof/>
        </w:rPr>
        <w:t>:</w:t>
      </w:r>
      <w:r w:rsidRPr="00211D82">
        <w:t xml:space="preserve"> </w:t>
      </w:r>
      <w:r>
        <w:t>Estimated number of AACF users by jurisdiction</w:t>
      </w:r>
      <w:bookmarkEnd w:id="101"/>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Caption w:val="Table 2 1: Estimated number of AACF users by jurisdiction"/>
        <w:tblDescription w:val="The estimated number of AACF users by jurisdiction."/>
      </w:tblPr>
      <w:tblGrid>
        <w:gridCol w:w="2231"/>
        <w:gridCol w:w="2257"/>
        <w:gridCol w:w="2746"/>
        <w:gridCol w:w="2393"/>
      </w:tblGrid>
      <w:tr w:rsidR="008B5F84" w:rsidRPr="008B76CB" w:rsidTr="00602F49">
        <w:tc>
          <w:tcPr>
            <w:tcW w:w="11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hideMark/>
          </w:tcPr>
          <w:p w:rsidR="008B5F84" w:rsidRPr="00602F49" w:rsidRDefault="008B5F84" w:rsidP="00602F49">
            <w:pPr>
              <w:pStyle w:val="EYTableText"/>
              <w:keepNext/>
              <w:spacing w:before="60" w:after="60"/>
              <w:rPr>
                <w:color w:val="FFFFFF" w:themeColor="background1"/>
                <w:sz w:val="20"/>
                <w:szCs w:val="20"/>
                <w:lang w:eastAsia="en-AU"/>
              </w:rPr>
            </w:pPr>
            <w:r w:rsidRPr="00602F49">
              <w:rPr>
                <w:color w:val="FFFFFF" w:themeColor="background1"/>
                <w:sz w:val="20"/>
                <w:szCs w:val="20"/>
                <w:lang w:eastAsia="en-AU"/>
              </w:rPr>
              <w:t>State / Territory</w:t>
            </w:r>
          </w:p>
        </w:tc>
        <w:tc>
          <w:tcPr>
            <w:tcW w:w="11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hideMark/>
          </w:tcPr>
          <w:p w:rsidR="008B5F84" w:rsidRPr="00602F49" w:rsidRDefault="008B5F84" w:rsidP="00602F49">
            <w:pPr>
              <w:pStyle w:val="EYTableText"/>
              <w:keepNext/>
              <w:spacing w:before="60" w:after="60"/>
              <w:rPr>
                <w:color w:val="FFFFFF" w:themeColor="background1"/>
                <w:sz w:val="20"/>
                <w:szCs w:val="20"/>
                <w:lang w:eastAsia="en-AU"/>
              </w:rPr>
            </w:pPr>
            <w:r w:rsidRPr="00602F49">
              <w:rPr>
                <w:color w:val="FFFFFF" w:themeColor="background1"/>
                <w:sz w:val="20"/>
                <w:szCs w:val="20"/>
                <w:lang w:eastAsia="en-AU"/>
              </w:rPr>
              <w:t>Capital city</w:t>
            </w:r>
          </w:p>
        </w:tc>
        <w:tc>
          <w:tcPr>
            <w:tcW w:w="14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hideMark/>
          </w:tcPr>
          <w:p w:rsidR="008B5F84" w:rsidRPr="00602F49" w:rsidRDefault="008B5F84" w:rsidP="00602F49">
            <w:pPr>
              <w:pStyle w:val="EYTableText"/>
              <w:keepNext/>
              <w:spacing w:before="60" w:after="60"/>
              <w:rPr>
                <w:color w:val="FFFFFF" w:themeColor="background1"/>
                <w:sz w:val="20"/>
                <w:szCs w:val="20"/>
                <w:lang w:eastAsia="en-AU"/>
              </w:rPr>
            </w:pPr>
            <w:r w:rsidRPr="00602F49">
              <w:rPr>
                <w:color w:val="FFFFFF" w:themeColor="background1"/>
                <w:sz w:val="20"/>
                <w:szCs w:val="20"/>
                <w:lang w:eastAsia="en-AU"/>
              </w:rPr>
              <w:t>Rest of State/Territory</w:t>
            </w:r>
          </w:p>
        </w:tc>
        <w:tc>
          <w:tcPr>
            <w:tcW w:w="124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hideMark/>
          </w:tcPr>
          <w:p w:rsidR="008B5F84" w:rsidRPr="00602F49" w:rsidRDefault="008B5F84" w:rsidP="00602F49">
            <w:pPr>
              <w:pStyle w:val="EYTableText"/>
              <w:keepNext/>
              <w:spacing w:before="60" w:after="60"/>
              <w:rPr>
                <w:color w:val="FFFFFF" w:themeColor="background1"/>
                <w:sz w:val="20"/>
                <w:szCs w:val="20"/>
                <w:lang w:eastAsia="en-AU"/>
              </w:rPr>
            </w:pPr>
            <w:r w:rsidRPr="00602F49">
              <w:rPr>
                <w:color w:val="FFFFFF" w:themeColor="background1"/>
                <w:sz w:val="20"/>
                <w:szCs w:val="20"/>
                <w:lang w:eastAsia="en-AU"/>
              </w:rPr>
              <w:t>Total</w:t>
            </w:r>
          </w:p>
        </w:tc>
      </w:tr>
      <w:tr w:rsidR="008B5F84" w:rsidRPr="00FD6094" w:rsidTr="00602F49">
        <w:tc>
          <w:tcPr>
            <w:tcW w:w="1159" w:type="pct"/>
            <w:tcBorders>
              <w:top w:val="single" w:sz="4" w:space="0" w:color="FFFFFF" w:themeColor="background1"/>
            </w:tcBorders>
            <w:shd w:val="clear" w:color="auto" w:fill="auto"/>
            <w:noWrap/>
            <w:hideMark/>
          </w:tcPr>
          <w:p w:rsidR="008B5F84" w:rsidRPr="0022711B" w:rsidRDefault="008B5F84" w:rsidP="00D30CA5">
            <w:pPr>
              <w:pStyle w:val="EYTableText"/>
              <w:keepNext/>
              <w:rPr>
                <w:sz w:val="20"/>
                <w:szCs w:val="20"/>
                <w:lang w:eastAsia="en-AU"/>
              </w:rPr>
            </w:pPr>
            <w:r w:rsidRPr="0022711B">
              <w:rPr>
                <w:sz w:val="20"/>
                <w:szCs w:val="20"/>
                <w:lang w:eastAsia="en-AU"/>
              </w:rPr>
              <w:t>NSW</w:t>
            </w:r>
          </w:p>
        </w:tc>
        <w:tc>
          <w:tcPr>
            <w:tcW w:w="1172" w:type="pct"/>
            <w:tcBorders>
              <w:top w:val="single" w:sz="4" w:space="0" w:color="FFFFFF" w:themeColor="background1"/>
            </w:tcBorders>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70,986</w:t>
            </w:r>
          </w:p>
        </w:tc>
        <w:tc>
          <w:tcPr>
            <w:tcW w:w="1426" w:type="pct"/>
            <w:tcBorders>
              <w:top w:val="single" w:sz="4" w:space="0" w:color="FFFFFF" w:themeColor="background1"/>
            </w:tcBorders>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53,016</w:t>
            </w:r>
          </w:p>
        </w:tc>
        <w:tc>
          <w:tcPr>
            <w:tcW w:w="1243" w:type="pct"/>
            <w:tcBorders>
              <w:top w:val="single" w:sz="4" w:space="0" w:color="FFFFFF" w:themeColor="background1"/>
            </w:tcBorders>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124,002</w:t>
            </w:r>
          </w:p>
        </w:tc>
      </w:tr>
      <w:tr w:rsidR="008B5F84" w:rsidRPr="00FD6094" w:rsidTr="00602F49">
        <w:tc>
          <w:tcPr>
            <w:tcW w:w="1159" w:type="pct"/>
            <w:shd w:val="clear" w:color="auto" w:fill="auto"/>
            <w:noWrap/>
            <w:hideMark/>
          </w:tcPr>
          <w:p w:rsidR="008B5F84" w:rsidRPr="0022711B" w:rsidRDefault="008B5F84" w:rsidP="00D30CA5">
            <w:pPr>
              <w:pStyle w:val="EYTableText"/>
              <w:keepNext/>
              <w:rPr>
                <w:sz w:val="20"/>
                <w:szCs w:val="20"/>
                <w:lang w:eastAsia="en-AU"/>
              </w:rPr>
            </w:pPr>
            <w:r w:rsidRPr="0022711B">
              <w:rPr>
                <w:sz w:val="20"/>
                <w:szCs w:val="20"/>
                <w:lang w:eastAsia="en-AU"/>
              </w:rPr>
              <w:t>VIC</w:t>
            </w:r>
          </w:p>
        </w:tc>
        <w:tc>
          <w:tcPr>
            <w:tcW w:w="1172"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67,778</w:t>
            </w:r>
          </w:p>
        </w:tc>
        <w:tc>
          <w:tcPr>
            <w:tcW w:w="1426"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29,848</w:t>
            </w:r>
          </w:p>
        </w:tc>
        <w:tc>
          <w:tcPr>
            <w:tcW w:w="1243"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97,626</w:t>
            </w:r>
          </w:p>
        </w:tc>
      </w:tr>
      <w:tr w:rsidR="008B5F84" w:rsidRPr="00FD6094" w:rsidTr="00602F49">
        <w:tc>
          <w:tcPr>
            <w:tcW w:w="1159" w:type="pct"/>
            <w:shd w:val="clear" w:color="auto" w:fill="auto"/>
            <w:noWrap/>
            <w:hideMark/>
          </w:tcPr>
          <w:p w:rsidR="008B5F84" w:rsidRPr="0022711B" w:rsidRDefault="008B5F84" w:rsidP="00D30CA5">
            <w:pPr>
              <w:pStyle w:val="EYTableText"/>
              <w:keepNext/>
              <w:rPr>
                <w:sz w:val="20"/>
                <w:szCs w:val="20"/>
                <w:lang w:eastAsia="en-AU"/>
              </w:rPr>
            </w:pPr>
            <w:r w:rsidRPr="0022711B">
              <w:rPr>
                <w:sz w:val="20"/>
                <w:szCs w:val="20"/>
                <w:lang w:eastAsia="en-AU"/>
              </w:rPr>
              <w:t>QLD</w:t>
            </w:r>
          </w:p>
        </w:tc>
        <w:tc>
          <w:tcPr>
            <w:tcW w:w="1172"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29,268</w:t>
            </w:r>
          </w:p>
        </w:tc>
        <w:tc>
          <w:tcPr>
            <w:tcW w:w="1426"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33,140</w:t>
            </w:r>
          </w:p>
        </w:tc>
        <w:tc>
          <w:tcPr>
            <w:tcW w:w="1243"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62,408</w:t>
            </w:r>
          </w:p>
        </w:tc>
      </w:tr>
      <w:tr w:rsidR="008B5F84" w:rsidRPr="00FD6094" w:rsidTr="00602F49">
        <w:tc>
          <w:tcPr>
            <w:tcW w:w="1159" w:type="pct"/>
            <w:shd w:val="clear" w:color="auto" w:fill="auto"/>
            <w:noWrap/>
            <w:hideMark/>
          </w:tcPr>
          <w:p w:rsidR="008B5F84" w:rsidRPr="0022711B" w:rsidRDefault="008B5F84" w:rsidP="00D30CA5">
            <w:pPr>
              <w:pStyle w:val="EYTableText"/>
              <w:keepNext/>
              <w:rPr>
                <w:sz w:val="20"/>
                <w:szCs w:val="20"/>
                <w:lang w:eastAsia="en-AU"/>
              </w:rPr>
            </w:pPr>
            <w:r w:rsidRPr="0022711B">
              <w:rPr>
                <w:sz w:val="20"/>
                <w:szCs w:val="20"/>
                <w:lang w:eastAsia="en-AU"/>
              </w:rPr>
              <w:t>SA</w:t>
            </w:r>
          </w:p>
        </w:tc>
        <w:tc>
          <w:tcPr>
            <w:tcW w:w="1172"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22,025</w:t>
            </w:r>
          </w:p>
        </w:tc>
        <w:tc>
          <w:tcPr>
            <w:tcW w:w="1426"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5,908</w:t>
            </w:r>
          </w:p>
        </w:tc>
        <w:tc>
          <w:tcPr>
            <w:tcW w:w="1243"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27,933</w:t>
            </w:r>
          </w:p>
        </w:tc>
      </w:tr>
      <w:tr w:rsidR="008B5F84" w:rsidRPr="00FD6094" w:rsidTr="00602F49">
        <w:tc>
          <w:tcPr>
            <w:tcW w:w="1159" w:type="pct"/>
            <w:shd w:val="clear" w:color="auto" w:fill="auto"/>
            <w:noWrap/>
            <w:hideMark/>
          </w:tcPr>
          <w:p w:rsidR="008B5F84" w:rsidRPr="0022711B" w:rsidRDefault="008B5F84" w:rsidP="00D30CA5">
            <w:pPr>
              <w:pStyle w:val="EYTableText"/>
              <w:keepNext/>
              <w:rPr>
                <w:sz w:val="20"/>
                <w:szCs w:val="20"/>
                <w:lang w:eastAsia="en-AU"/>
              </w:rPr>
            </w:pPr>
            <w:r w:rsidRPr="0022711B">
              <w:rPr>
                <w:sz w:val="20"/>
                <w:szCs w:val="20"/>
                <w:lang w:eastAsia="en-AU"/>
              </w:rPr>
              <w:t>WA</w:t>
            </w:r>
          </w:p>
        </w:tc>
        <w:tc>
          <w:tcPr>
            <w:tcW w:w="1172"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19,283</w:t>
            </w:r>
          </w:p>
        </w:tc>
        <w:tc>
          <w:tcPr>
            <w:tcW w:w="1426"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4,080</w:t>
            </w:r>
          </w:p>
        </w:tc>
        <w:tc>
          <w:tcPr>
            <w:tcW w:w="1243"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23,363</w:t>
            </w:r>
          </w:p>
        </w:tc>
      </w:tr>
      <w:tr w:rsidR="008B5F84" w:rsidRPr="00FD6094" w:rsidTr="00602F49">
        <w:tc>
          <w:tcPr>
            <w:tcW w:w="1159" w:type="pct"/>
            <w:shd w:val="clear" w:color="auto" w:fill="auto"/>
            <w:noWrap/>
            <w:hideMark/>
          </w:tcPr>
          <w:p w:rsidR="008B5F84" w:rsidRPr="0022711B" w:rsidRDefault="008B5F84" w:rsidP="00D30CA5">
            <w:pPr>
              <w:pStyle w:val="EYTableText"/>
              <w:keepNext/>
              <w:rPr>
                <w:sz w:val="20"/>
                <w:szCs w:val="20"/>
                <w:lang w:eastAsia="en-AU"/>
              </w:rPr>
            </w:pPr>
            <w:r w:rsidRPr="0022711B">
              <w:rPr>
                <w:sz w:val="20"/>
                <w:szCs w:val="20"/>
                <w:lang w:eastAsia="en-AU"/>
              </w:rPr>
              <w:t>TAS</w:t>
            </w:r>
          </w:p>
        </w:tc>
        <w:tc>
          <w:tcPr>
            <w:tcW w:w="1172"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3,486</w:t>
            </w:r>
          </w:p>
        </w:tc>
        <w:tc>
          <w:tcPr>
            <w:tcW w:w="1426"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5,310</w:t>
            </w:r>
          </w:p>
        </w:tc>
        <w:tc>
          <w:tcPr>
            <w:tcW w:w="1243"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8,795</w:t>
            </w:r>
          </w:p>
        </w:tc>
      </w:tr>
      <w:tr w:rsidR="008B5F84" w:rsidRPr="00FD6094" w:rsidTr="00602F49">
        <w:tc>
          <w:tcPr>
            <w:tcW w:w="1159" w:type="pct"/>
            <w:shd w:val="clear" w:color="auto" w:fill="auto"/>
            <w:noWrap/>
            <w:hideMark/>
          </w:tcPr>
          <w:p w:rsidR="008B5F84" w:rsidRPr="0022711B" w:rsidRDefault="008B5F84" w:rsidP="00D30CA5">
            <w:pPr>
              <w:pStyle w:val="EYTableText"/>
              <w:keepNext/>
              <w:rPr>
                <w:sz w:val="20"/>
                <w:szCs w:val="20"/>
                <w:lang w:eastAsia="en-AU"/>
              </w:rPr>
            </w:pPr>
            <w:r w:rsidRPr="0022711B">
              <w:rPr>
                <w:sz w:val="20"/>
                <w:szCs w:val="20"/>
                <w:lang w:eastAsia="en-AU"/>
              </w:rPr>
              <w:t>NT</w:t>
            </w:r>
          </w:p>
        </w:tc>
        <w:tc>
          <w:tcPr>
            <w:tcW w:w="1172"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w:t>
            </w:r>
          </w:p>
        </w:tc>
        <w:tc>
          <w:tcPr>
            <w:tcW w:w="1426"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1,751</w:t>
            </w:r>
          </w:p>
        </w:tc>
        <w:tc>
          <w:tcPr>
            <w:tcW w:w="1243"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1,751</w:t>
            </w:r>
          </w:p>
        </w:tc>
      </w:tr>
      <w:tr w:rsidR="008B5F84" w:rsidRPr="00FD6094" w:rsidTr="00602F49">
        <w:trPr>
          <w:trHeight w:val="54"/>
        </w:trPr>
        <w:tc>
          <w:tcPr>
            <w:tcW w:w="1159" w:type="pct"/>
            <w:shd w:val="clear" w:color="auto" w:fill="auto"/>
            <w:noWrap/>
            <w:hideMark/>
          </w:tcPr>
          <w:p w:rsidR="008B5F84" w:rsidRPr="0022711B" w:rsidRDefault="008B5F84" w:rsidP="00D30CA5">
            <w:pPr>
              <w:pStyle w:val="EYTableText"/>
              <w:keepNext/>
              <w:rPr>
                <w:sz w:val="20"/>
                <w:szCs w:val="20"/>
                <w:lang w:eastAsia="en-AU"/>
              </w:rPr>
            </w:pPr>
            <w:r w:rsidRPr="0022711B">
              <w:rPr>
                <w:sz w:val="20"/>
                <w:szCs w:val="20"/>
                <w:lang w:eastAsia="en-AU"/>
              </w:rPr>
              <w:t>ACT</w:t>
            </w:r>
          </w:p>
        </w:tc>
        <w:tc>
          <w:tcPr>
            <w:tcW w:w="1172"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w:t>
            </w:r>
          </w:p>
        </w:tc>
        <w:tc>
          <w:tcPr>
            <w:tcW w:w="1426"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4,479</w:t>
            </w:r>
          </w:p>
        </w:tc>
        <w:tc>
          <w:tcPr>
            <w:tcW w:w="1243"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4,479</w:t>
            </w:r>
          </w:p>
        </w:tc>
      </w:tr>
      <w:tr w:rsidR="008B5F84" w:rsidRPr="00FD6094" w:rsidTr="00602F49">
        <w:tc>
          <w:tcPr>
            <w:tcW w:w="1159" w:type="pct"/>
            <w:shd w:val="clear" w:color="auto" w:fill="auto"/>
            <w:noWrap/>
            <w:hideMark/>
          </w:tcPr>
          <w:p w:rsidR="008B5F84" w:rsidRPr="0022711B" w:rsidRDefault="008B5F84" w:rsidP="00D30CA5">
            <w:pPr>
              <w:pStyle w:val="EYTableText"/>
              <w:keepNext/>
              <w:rPr>
                <w:sz w:val="20"/>
                <w:szCs w:val="20"/>
                <w:lang w:eastAsia="en-AU"/>
              </w:rPr>
            </w:pPr>
            <w:r w:rsidRPr="0022711B">
              <w:rPr>
                <w:sz w:val="20"/>
                <w:szCs w:val="20"/>
                <w:lang w:eastAsia="en-AU"/>
              </w:rPr>
              <w:t>Total</w:t>
            </w:r>
          </w:p>
        </w:tc>
        <w:tc>
          <w:tcPr>
            <w:tcW w:w="1172"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212,826</w:t>
            </w:r>
          </w:p>
        </w:tc>
        <w:tc>
          <w:tcPr>
            <w:tcW w:w="1426"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137,532</w:t>
            </w:r>
          </w:p>
        </w:tc>
        <w:tc>
          <w:tcPr>
            <w:tcW w:w="1243" w:type="pct"/>
            <w:shd w:val="clear" w:color="auto" w:fill="auto"/>
            <w:noWrap/>
            <w:hideMark/>
          </w:tcPr>
          <w:p w:rsidR="008B5F84" w:rsidRPr="00602F49" w:rsidRDefault="008B5F84" w:rsidP="00602F49">
            <w:pPr>
              <w:pStyle w:val="EYTableText"/>
              <w:keepNext/>
              <w:rPr>
                <w:sz w:val="20"/>
                <w:szCs w:val="20"/>
                <w:lang w:eastAsia="en-AU"/>
              </w:rPr>
            </w:pPr>
            <w:r w:rsidRPr="00602F49">
              <w:rPr>
                <w:sz w:val="20"/>
                <w:szCs w:val="20"/>
                <w:lang w:eastAsia="en-AU"/>
              </w:rPr>
              <w:t>350,357</w:t>
            </w:r>
          </w:p>
        </w:tc>
      </w:tr>
    </w:tbl>
    <w:p w:rsidR="008B5F84" w:rsidRDefault="008B5F84" w:rsidP="008B5F84">
      <w:pPr>
        <w:pStyle w:val="Caption"/>
        <w:keepNext/>
      </w:pPr>
      <w:r w:rsidRPr="009260BA">
        <w:rPr>
          <w:b w:val="0"/>
          <w:sz w:val="20"/>
        </w:rPr>
        <w:t xml:space="preserve">Source: ABS Survey of </w:t>
      </w:r>
      <w:r w:rsidR="007C69BF" w:rsidRPr="009260BA">
        <w:rPr>
          <w:b w:val="0"/>
          <w:sz w:val="20"/>
        </w:rPr>
        <w:t>Disabilit</w:t>
      </w:r>
      <w:r w:rsidR="007C69BF">
        <w:rPr>
          <w:b w:val="0"/>
          <w:sz w:val="20"/>
        </w:rPr>
        <w:t>y, Ageing</w:t>
      </w:r>
      <w:r w:rsidR="007C69BF" w:rsidRPr="009260BA">
        <w:rPr>
          <w:b w:val="0"/>
          <w:sz w:val="20"/>
        </w:rPr>
        <w:t xml:space="preserve"> </w:t>
      </w:r>
      <w:r w:rsidRPr="009260BA">
        <w:rPr>
          <w:b w:val="0"/>
          <w:sz w:val="20"/>
        </w:rPr>
        <w:t>and Carers, EY estimates</w:t>
      </w:r>
    </w:p>
    <w:p w:rsidR="008B5F84" w:rsidRDefault="008B5F84" w:rsidP="00602F49">
      <w:pPr>
        <w:pStyle w:val="Caption"/>
        <w:pBdr>
          <w:top w:val="single" w:sz="4" w:space="1" w:color="auto"/>
          <w:left w:val="single" w:sz="4" w:space="4" w:color="auto"/>
          <w:bottom w:val="single" w:sz="4" w:space="1" w:color="auto"/>
          <w:right w:val="single" w:sz="4" w:space="3" w:color="auto"/>
        </w:pBdr>
        <w:shd w:val="clear" w:color="auto" w:fill="D9D9D9" w:themeFill="background1" w:themeFillShade="D9"/>
      </w:pPr>
      <w:r>
        <w:t xml:space="preserve">Consultation questions </w:t>
      </w:r>
    </w:p>
    <w:p w:rsidR="008B5F84" w:rsidRDefault="008B5F84" w:rsidP="00A15416">
      <w:pPr>
        <w:pStyle w:val="Caption"/>
        <w:numPr>
          <w:ilvl w:val="0"/>
          <w:numId w:val="39"/>
        </w:numPr>
        <w:pBdr>
          <w:top w:val="single" w:sz="4" w:space="1" w:color="auto"/>
          <w:left w:val="single" w:sz="4" w:space="4" w:color="auto"/>
          <w:bottom w:val="single" w:sz="4" w:space="1" w:color="auto"/>
          <w:right w:val="single" w:sz="4" w:space="3" w:color="auto"/>
        </w:pBdr>
        <w:shd w:val="clear" w:color="auto" w:fill="D9D9D9" w:themeFill="background1" w:themeFillShade="D9"/>
        <w:ind w:hanging="720"/>
        <w:rPr>
          <w:b w:val="0"/>
        </w:rPr>
      </w:pPr>
      <w:r>
        <w:rPr>
          <w:b w:val="0"/>
        </w:rPr>
        <w:t>Do you agree with the description of the problem given in Section 2?</w:t>
      </w:r>
    </w:p>
    <w:p w:rsidR="008B5F84" w:rsidRDefault="008B5F84" w:rsidP="00A15416">
      <w:pPr>
        <w:pStyle w:val="Caption"/>
        <w:numPr>
          <w:ilvl w:val="0"/>
          <w:numId w:val="39"/>
        </w:numPr>
        <w:pBdr>
          <w:top w:val="single" w:sz="4" w:space="1" w:color="auto"/>
          <w:left w:val="single" w:sz="4" w:space="4" w:color="auto"/>
          <w:bottom w:val="single" w:sz="4" w:space="1" w:color="auto"/>
          <w:right w:val="single" w:sz="4" w:space="3" w:color="auto"/>
        </w:pBdr>
        <w:shd w:val="clear" w:color="auto" w:fill="D9D9D9" w:themeFill="background1" w:themeFillShade="D9"/>
        <w:ind w:hanging="720"/>
        <w:rPr>
          <w:b w:val="0"/>
        </w:rPr>
      </w:pPr>
      <w:r>
        <w:rPr>
          <w:b w:val="0"/>
        </w:rPr>
        <w:t xml:space="preserve">Are there any other characteristics of the problem that should be included in the analysis? </w:t>
      </w:r>
    </w:p>
    <w:p w:rsidR="008B5F84" w:rsidRDefault="008B5F84" w:rsidP="008B5F8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pPr>
      <w:r>
        <w:t>Stakeholder feedback</w:t>
      </w:r>
    </w:p>
    <w:p w:rsidR="008B5F84" w:rsidRPr="007722EE" w:rsidRDefault="008B5F84" w:rsidP="008B5F8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7722EE">
        <w:rPr>
          <w:b w:val="0"/>
        </w:rPr>
        <w:t>While most responses expressed general agreement with the definition of the problem, many qualified their agreement by noting its social and economic impacts are somewhat underestimated by the parameters of the core and non-core cohorts, and the split of quantitative and qualitative</w:t>
      </w:r>
      <w:r w:rsidR="00BA0AD2">
        <w:rPr>
          <w:b w:val="0"/>
        </w:rPr>
        <w:t xml:space="preserve"> benefits. The Victorian </w:t>
      </w:r>
      <w:r w:rsidR="005A7F77">
        <w:rPr>
          <w:b w:val="0"/>
        </w:rPr>
        <w:t>HHS</w:t>
      </w:r>
      <w:r w:rsidR="00BA0AD2">
        <w:rPr>
          <w:b w:val="0"/>
        </w:rPr>
        <w:t>BA</w:t>
      </w:r>
      <w:r w:rsidRPr="007722EE">
        <w:rPr>
          <w:b w:val="0"/>
        </w:rPr>
        <w:t xml:space="preserve"> noted: </w:t>
      </w:r>
    </w:p>
    <w:p w:rsidR="008B5F84" w:rsidRPr="007722EE" w:rsidRDefault="008B5F84" w:rsidP="008B5F8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7722EE">
        <w:rPr>
          <w:b w:val="0"/>
        </w:rPr>
        <w:t>“</w:t>
      </w:r>
      <w:r w:rsidRPr="007722EE">
        <w:rPr>
          <w:b w:val="0"/>
          <w:i/>
        </w:rPr>
        <w:t>We would include the lost economic benefit that arises from a large proportion of the population not being out and about and therefore not spending money</w:t>
      </w:r>
      <w:r w:rsidRPr="007722EE">
        <w:rPr>
          <w:b w:val="0"/>
        </w:rPr>
        <w:t>.”</w:t>
      </w:r>
    </w:p>
    <w:p w:rsidR="008B5F84" w:rsidRPr="007722EE" w:rsidRDefault="008B5F84" w:rsidP="008B5F8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7722EE">
        <w:rPr>
          <w:b w:val="0"/>
        </w:rPr>
        <w:t>A number of disability advocates also noted greater definition of the problem could assist in further refining a fit-for-purpose and cost-effective design solution.</w:t>
      </w:r>
    </w:p>
    <w:p w:rsidR="008B5F84" w:rsidRPr="007722EE" w:rsidRDefault="008B5F84" w:rsidP="008B5F8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7722EE">
        <w:rPr>
          <w:b w:val="0"/>
        </w:rPr>
        <w:t>In the context of stakeholder feedback through this RIS, it is important to note both TfNSW and the Australasian Railway Association highlighted the significance of the problem:</w:t>
      </w:r>
    </w:p>
    <w:p w:rsidR="008B5F84" w:rsidRPr="007722EE" w:rsidRDefault="008B5F84" w:rsidP="008B5F8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7722EE">
        <w:rPr>
          <w:rFonts w:ascii="Verdana" w:hAnsi="Verdana"/>
          <w:b w:val="0"/>
        </w:rPr>
        <w:t>●</w:t>
      </w:r>
      <w:r w:rsidRPr="007722EE">
        <w:rPr>
          <w:b w:val="0"/>
        </w:rPr>
        <w:t xml:space="preserve"> “</w:t>
      </w:r>
      <w:r w:rsidRPr="007722EE">
        <w:rPr>
          <w:b w:val="0"/>
          <w:i/>
        </w:rPr>
        <w:t>The industry recognises that there is a need to provide AACF within our communities …</w:t>
      </w:r>
      <w:r w:rsidRPr="007722EE">
        <w:rPr>
          <w:b w:val="0"/>
        </w:rPr>
        <w:t xml:space="preserve">’ </w:t>
      </w:r>
      <w:r w:rsidRPr="007722EE">
        <w:rPr>
          <w:rFonts w:ascii="Verdana" w:hAnsi="Verdana"/>
          <w:b w:val="0"/>
        </w:rPr>
        <w:t>─</w:t>
      </w:r>
      <w:r w:rsidRPr="007722EE">
        <w:rPr>
          <w:b w:val="0"/>
        </w:rPr>
        <w:t xml:space="preserve"> Australasian Railway Association</w:t>
      </w:r>
    </w:p>
    <w:p w:rsidR="008B5F84" w:rsidRPr="007722EE" w:rsidRDefault="008B5F84" w:rsidP="008B5F8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7722EE">
        <w:rPr>
          <w:rFonts w:ascii="Verdana" w:hAnsi="Verdana"/>
          <w:b w:val="0"/>
        </w:rPr>
        <w:t>●</w:t>
      </w:r>
      <w:r w:rsidRPr="007722EE">
        <w:rPr>
          <w:b w:val="0"/>
        </w:rPr>
        <w:t xml:space="preserve"> “</w:t>
      </w:r>
      <w:r w:rsidRPr="007722EE">
        <w:rPr>
          <w:b w:val="0"/>
          <w:i/>
        </w:rPr>
        <w:t>Feedback from stakeholders shows that the availability of public toilets with full size change tables and hoists can make a considerable difference to people with severe and profound disability and their families and carers</w:t>
      </w:r>
      <w:r w:rsidRPr="007722EE">
        <w:rPr>
          <w:b w:val="0"/>
        </w:rPr>
        <w:t xml:space="preserve">” </w:t>
      </w:r>
      <w:r w:rsidRPr="007722EE">
        <w:rPr>
          <w:rFonts w:ascii="Verdana" w:hAnsi="Verdana"/>
          <w:b w:val="0"/>
        </w:rPr>
        <w:t>─</w:t>
      </w:r>
      <w:r w:rsidRPr="007722EE">
        <w:rPr>
          <w:b w:val="0"/>
        </w:rPr>
        <w:t xml:space="preserve"> TfNSW</w:t>
      </w:r>
    </w:p>
    <w:p w:rsidR="008B5F84" w:rsidRPr="007722EE" w:rsidRDefault="008B5F84" w:rsidP="008B5F8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noProof/>
        </w:rPr>
      </w:pPr>
      <w:r w:rsidRPr="007722EE">
        <w:rPr>
          <w:b w:val="0"/>
          <w:noProof/>
        </w:rPr>
        <w:t>Stakeholder feedback regarding use of existing facilities and discussion of the core needs these facilities address is complementary to the description of the problem detailed above. While it is agreed greater participation of the core and non-core cohorts will result in more economic activity, it is considered that this effect is best considered qualitatively. The reason for this is that it would be difficult, if not impossible, to reliably estimate the amount of spending which is truly addit</w:t>
      </w:r>
      <w:r w:rsidR="001E7783">
        <w:rPr>
          <w:b w:val="0"/>
          <w:noProof/>
        </w:rPr>
        <w:t>i</w:t>
      </w:r>
      <w:r w:rsidRPr="007722EE">
        <w:rPr>
          <w:b w:val="0"/>
          <w:noProof/>
        </w:rPr>
        <w:t xml:space="preserve">onal – i.e. spending which would not have occurred in the absence of the AACF.  </w:t>
      </w:r>
    </w:p>
    <w:p w:rsidR="008B5F84" w:rsidRPr="007722EE" w:rsidRDefault="008B5F84" w:rsidP="008B5F8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7722EE">
        <w:rPr>
          <w:b w:val="0"/>
        </w:rPr>
        <w:lastRenderedPageBreak/>
        <w:t>The implementation of the NDIS wa</w:t>
      </w:r>
      <w:r w:rsidR="003344FF">
        <w:rPr>
          <w:b w:val="0"/>
        </w:rPr>
        <w:t xml:space="preserve">s noted by the Victorian </w:t>
      </w:r>
      <w:r w:rsidR="005A7F77">
        <w:rPr>
          <w:b w:val="0"/>
        </w:rPr>
        <w:t>HHS</w:t>
      </w:r>
      <w:r w:rsidR="003344FF">
        <w:rPr>
          <w:b w:val="0"/>
        </w:rPr>
        <w:t>BA</w:t>
      </w:r>
      <w:r w:rsidRPr="007722EE">
        <w:rPr>
          <w:b w:val="0"/>
        </w:rPr>
        <w:t>, and Australia’s ageing population was noted by the Australian Human Rights Commission as factors that would significantly increase demand for AACFs over time, and increase the scale of the problem. Spe</w:t>
      </w:r>
      <w:r w:rsidR="00BA0AD2">
        <w:rPr>
          <w:b w:val="0"/>
        </w:rPr>
        <w:t xml:space="preserve">cifically, the Victorian </w:t>
      </w:r>
      <w:r w:rsidR="005A7F77">
        <w:rPr>
          <w:b w:val="0"/>
        </w:rPr>
        <w:t>HHS</w:t>
      </w:r>
      <w:r w:rsidR="00BA0AD2">
        <w:rPr>
          <w:b w:val="0"/>
        </w:rPr>
        <w:t>BA</w:t>
      </w:r>
      <w:r w:rsidRPr="007722EE">
        <w:rPr>
          <w:b w:val="0"/>
        </w:rPr>
        <w:t xml:space="preserve"> was of the view that:</w:t>
      </w:r>
    </w:p>
    <w:p w:rsidR="008B5F84" w:rsidRPr="007722EE" w:rsidRDefault="008B5F84" w:rsidP="008B5F8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7722EE">
        <w:rPr>
          <w:b w:val="0"/>
        </w:rPr>
        <w:t>“</w:t>
      </w:r>
      <w:r w:rsidRPr="007722EE">
        <w:rPr>
          <w:b w:val="0"/>
          <w:i/>
        </w:rPr>
        <w:t>The NDIS will fund greater support to enable people with complex disabilities to engage support workers and other supports to assist them to get out and about and increase social, recreational and economic participation</w:t>
      </w:r>
      <w:r w:rsidRPr="007722EE">
        <w:rPr>
          <w:b w:val="0"/>
        </w:rPr>
        <w:t>.”</w:t>
      </w:r>
    </w:p>
    <w:p w:rsidR="008B5F84" w:rsidRPr="007722EE" w:rsidRDefault="008B5F84" w:rsidP="008B5F8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noProof/>
        </w:rPr>
      </w:pPr>
      <w:r w:rsidRPr="007722EE">
        <w:rPr>
          <w:b w:val="0"/>
        </w:rPr>
        <w:t>Responses addressing a variety of other issues such as further data collection, societal awareness of the problem, the benefits to carers and exemption of public transport buildings were also received.</w:t>
      </w:r>
    </w:p>
    <w:p w:rsidR="008B5F84" w:rsidRDefault="008B5F84" w:rsidP="00A15416">
      <w:pPr>
        <w:pStyle w:val="Heading2"/>
      </w:pPr>
      <w:bookmarkStart w:id="102" w:name="_Toc525897785"/>
      <w:r>
        <w:t>Obligations under national and international legal frameworks</w:t>
      </w:r>
      <w:bookmarkEnd w:id="102"/>
    </w:p>
    <w:p w:rsidR="008B5F84" w:rsidRDefault="008B5F84" w:rsidP="008B5F84">
      <w:pPr>
        <w:pStyle w:val="EYBodytextwithparaspace"/>
      </w:pPr>
      <w:r>
        <w:t xml:space="preserve">The avoidance of discrimination against people with a disability is a basic human right that is reflected in Commonwealth legislation and international conventions, in particular the </w:t>
      </w:r>
      <w:r w:rsidR="001E7783">
        <w:t>DDA</w:t>
      </w:r>
      <w:r>
        <w:t xml:space="preserve"> and the United Nations (UN) </w:t>
      </w:r>
      <w:r>
        <w:rPr>
          <w:i/>
        </w:rPr>
        <w:t>Convention on the Rights of People with Disability</w:t>
      </w:r>
      <w:r>
        <w:t>. Both instruments are intended to prevent discrimination against people with a disability.</w:t>
      </w:r>
    </w:p>
    <w:p w:rsidR="008B5F84" w:rsidRPr="00AA5B35" w:rsidRDefault="008B5F84" w:rsidP="008B5F84">
      <w:pPr>
        <w:pStyle w:val="EYBodytextwithparaspace"/>
      </w:pPr>
      <w:r>
        <w:t xml:space="preserve">Feedback obtained from the Premises Standards review highlighted a clear delineation between the objectives of the frameworks below and the day to day experiences of people with a complex disability. Throughout the development of the Consultation RIS we met with people living with complex disabilities and </w:t>
      </w:r>
      <w:r w:rsidR="001E7783">
        <w:t xml:space="preserve">were </w:t>
      </w:r>
      <w:r>
        <w:t>told of several instances where people affected by the problem believed that one or both of the below frameworks are clearly not being adhered to.</w:t>
      </w:r>
    </w:p>
    <w:p w:rsidR="008B5F84" w:rsidRDefault="008B5F84" w:rsidP="008B5F84">
      <w:pPr>
        <w:pStyle w:val="EYAppendixHeading3"/>
      </w:pPr>
      <w:r w:rsidRPr="006E4743">
        <w:t xml:space="preserve">The Disability Discrimination Act (1992) </w:t>
      </w:r>
    </w:p>
    <w:p w:rsidR="008B5F84" w:rsidRDefault="008B5F84" w:rsidP="008B5F84">
      <w:pPr>
        <w:pStyle w:val="EYBodytextwithparaspace"/>
      </w:pPr>
      <w:r>
        <w:t>The DDA prohibits discrimination against people with disability in several areas, including the provision of access to premises</w:t>
      </w:r>
      <w:r w:rsidR="006F6C47">
        <w:t>.</w:t>
      </w:r>
      <w:r>
        <w:rPr>
          <w:vertAlign w:val="superscript"/>
        </w:rPr>
        <w:footnoteReference w:id="34"/>
      </w:r>
      <w:r>
        <w:t xml:space="preserve"> It aims to influence community attitudes and behaviour through its objectives and the setting of a series of standards, including: </w:t>
      </w:r>
    </w:p>
    <w:p w:rsidR="008B5F84" w:rsidRDefault="008B5F84" w:rsidP="008B5F84">
      <w:pPr>
        <w:pStyle w:val="EYBulletedText1"/>
      </w:pPr>
      <w:r>
        <w:t>To eliminate, as far as possible, discrimination against persons on the basis of their disability in a range of areas including premises used by the public.</w:t>
      </w:r>
    </w:p>
    <w:p w:rsidR="008B5F84" w:rsidRDefault="008B5F84" w:rsidP="008B5F84">
      <w:pPr>
        <w:pStyle w:val="EYBulletedText1"/>
      </w:pPr>
      <w:r>
        <w:t>To ensure that, as far as practicable, persons with disability have the same rights before the law as the rest of the community.</w:t>
      </w:r>
    </w:p>
    <w:p w:rsidR="008B5F84" w:rsidRDefault="008B5F84" w:rsidP="008B5F84">
      <w:pPr>
        <w:pStyle w:val="EYBulletedText1"/>
      </w:pPr>
      <w:r>
        <w:t>To promote recognition and acceptance that persons with disabilities have the same fundamental rights as the rest of the community.</w:t>
      </w:r>
    </w:p>
    <w:p w:rsidR="008B5F84" w:rsidRDefault="008B5F84" w:rsidP="008B5F84">
      <w:pPr>
        <w:pStyle w:val="EYBulletedText1"/>
        <w:numPr>
          <w:ilvl w:val="0"/>
          <w:numId w:val="0"/>
        </w:numPr>
      </w:pPr>
      <w:r>
        <w:t>The DDA is complaints based legislation, meaning that members of the community are able to make complaints where they feel the Act has not been complied with. Various complaints regarding accessibility of facilities have been made over the years, with most of these complaints resulting in the issue being rectified.</w:t>
      </w:r>
      <w:r w:rsidRPr="00C133AC">
        <w:rPr>
          <w:rStyle w:val="FootnoteReference"/>
          <w:sz w:val="24"/>
          <w:szCs w:val="24"/>
        </w:rPr>
        <w:footnoteReference w:id="35"/>
      </w:r>
      <w:r>
        <w:t xml:space="preserve"> </w:t>
      </w:r>
      <w:r w:rsidRPr="00013CD3">
        <w:rPr>
          <w:iCs/>
        </w:rPr>
        <w:t xml:space="preserve">Although </w:t>
      </w:r>
      <w:r>
        <w:rPr>
          <w:iCs/>
        </w:rPr>
        <w:t>such</w:t>
      </w:r>
      <w:r w:rsidRPr="00013CD3">
        <w:rPr>
          <w:iCs/>
        </w:rPr>
        <w:t xml:space="preserve"> case</w:t>
      </w:r>
      <w:r>
        <w:rPr>
          <w:iCs/>
        </w:rPr>
        <w:t>s</w:t>
      </w:r>
      <w:r w:rsidRPr="00013CD3">
        <w:rPr>
          <w:iCs/>
        </w:rPr>
        <w:t xml:space="preserve"> might</w:t>
      </w:r>
      <w:r>
        <w:rPr>
          <w:iCs/>
        </w:rPr>
        <w:t>,</w:t>
      </w:r>
      <w:r w:rsidRPr="00013CD3">
        <w:rPr>
          <w:iCs/>
        </w:rPr>
        <w:t xml:space="preserve"> on the one hand</w:t>
      </w:r>
      <w:r>
        <w:rPr>
          <w:iCs/>
        </w:rPr>
        <w:t>,</w:t>
      </w:r>
      <w:r w:rsidRPr="00013CD3">
        <w:rPr>
          <w:iCs/>
        </w:rPr>
        <w:t xml:space="preserve"> be interpreted as evidence that the DDA is functioning as intended (by providing an outlet for people to voice their concerns), it is also likely the majority of people who are </w:t>
      </w:r>
      <w:r w:rsidRPr="00013CD3">
        <w:rPr>
          <w:iCs/>
        </w:rPr>
        <w:lastRenderedPageBreak/>
        <w:t>affected by a lack of accessibility do not raise such complaints. Thus, the fact that complaints are being raised could also be seen as evidence that for a large majority of people with complex disability, their accessibility needs are not being met</w:t>
      </w:r>
      <w:r>
        <w:rPr>
          <w:iCs/>
        </w:rPr>
        <w:t>.</w:t>
      </w:r>
    </w:p>
    <w:p w:rsidR="008B5F84" w:rsidRPr="006E4743" w:rsidRDefault="008B5F84" w:rsidP="008B5F84">
      <w:pPr>
        <w:pStyle w:val="EYAppendixHeading3"/>
      </w:pPr>
      <w:r w:rsidRPr="006E4743">
        <w:t xml:space="preserve">United Nations Convention on the Rights of People with </w:t>
      </w:r>
      <w:r>
        <w:t xml:space="preserve">a </w:t>
      </w:r>
      <w:r w:rsidRPr="006E4743">
        <w:t>Disability</w:t>
      </w:r>
    </w:p>
    <w:p w:rsidR="008B5F84" w:rsidRDefault="008B5F84" w:rsidP="008B5F84">
      <w:pPr>
        <w:pStyle w:val="EYBodytextwithparaspace"/>
      </w:pPr>
      <w:r>
        <w:t>Australia has international obligations under the UN Convention on the Rights of People with a Disability. Australia ratified the Convention in 2008 in an effort to promote the equal and active participation of all people with disability. In 2009, Australia became a party to the Optional Protocol to the Convention. This sets out with clarity the obligations on countries to promote, protect and ensure the rights of people with disability, and specifically prohibits discrimination against people with disability in all areas of life.</w:t>
      </w:r>
    </w:p>
    <w:p w:rsidR="008B5F84" w:rsidRPr="009260BA" w:rsidRDefault="008B5F84" w:rsidP="008B5F84">
      <w:pPr>
        <w:pStyle w:val="EYBodytextwithparaspace"/>
      </w:pPr>
      <w:r>
        <w:t>The Convention further states that signatories must take “appropriate measures to ensure persons with disabilities [have] access, on an equal basis with others, to the physical environment, and to other facilities and services open or provided to the public, both in urban and in rural areas</w:t>
      </w:r>
      <w:r>
        <w:rPr>
          <w:i/>
        </w:rPr>
        <w:t>.”</w:t>
      </w:r>
      <w:r>
        <w:t xml:space="preserve"> </w:t>
      </w:r>
    </w:p>
    <w:p w:rsidR="008B5F84" w:rsidRDefault="008B5F84" w:rsidP="008B5F84">
      <w:pPr>
        <w:pBdr>
          <w:top w:val="single" w:sz="4" w:space="1" w:color="auto"/>
          <w:left w:val="single" w:sz="4" w:space="4" w:color="auto"/>
          <w:bottom w:val="single" w:sz="4" w:space="1" w:color="auto"/>
          <w:right w:val="single" w:sz="4" w:space="4" w:color="auto"/>
        </w:pBdr>
        <w:shd w:val="clear" w:color="auto" w:fill="FFE600"/>
        <w:jc w:val="left"/>
        <w:rPr>
          <w:rFonts w:cs="Arial"/>
          <w:b/>
          <w:szCs w:val="24"/>
        </w:rPr>
      </w:pPr>
      <w:r>
        <w:rPr>
          <w:rFonts w:cs="Arial"/>
          <w:b/>
          <w:szCs w:val="24"/>
        </w:rPr>
        <w:t>End user c</w:t>
      </w:r>
      <w:r w:rsidRPr="00760E98">
        <w:rPr>
          <w:rFonts w:cs="Arial"/>
          <w:b/>
          <w:szCs w:val="24"/>
        </w:rPr>
        <w:t>onsultation findings</w:t>
      </w:r>
    </w:p>
    <w:p w:rsidR="008B5F84" w:rsidRDefault="008B5F84" w:rsidP="008B5F84">
      <w:pPr>
        <w:pBdr>
          <w:top w:val="single" w:sz="4" w:space="1" w:color="auto"/>
          <w:left w:val="single" w:sz="4" w:space="4" w:color="auto"/>
          <w:bottom w:val="single" w:sz="4" w:space="1" w:color="auto"/>
          <w:right w:val="single" w:sz="4" w:space="4" w:color="auto"/>
        </w:pBdr>
        <w:shd w:val="clear" w:color="auto" w:fill="FFE600"/>
        <w:jc w:val="left"/>
        <w:rPr>
          <w:rFonts w:cs="Arial"/>
          <w:szCs w:val="24"/>
        </w:rPr>
      </w:pPr>
      <w:r w:rsidRPr="00354873">
        <w:rPr>
          <w:rFonts w:cs="Arial"/>
          <w:szCs w:val="24"/>
        </w:rPr>
        <w:t xml:space="preserve">Despite the access needs and rights of people with disability being recognised in </w:t>
      </w:r>
      <w:r>
        <w:rPr>
          <w:rFonts w:cs="Arial"/>
          <w:szCs w:val="24"/>
        </w:rPr>
        <w:t>the D</w:t>
      </w:r>
      <w:r w:rsidR="008637A0">
        <w:rPr>
          <w:rFonts w:cs="Arial"/>
          <w:szCs w:val="24"/>
        </w:rPr>
        <w:t>DA</w:t>
      </w:r>
      <w:r>
        <w:rPr>
          <w:rFonts w:cs="Arial"/>
          <w:szCs w:val="24"/>
        </w:rPr>
        <w:t xml:space="preserve"> and</w:t>
      </w:r>
      <w:r w:rsidRPr="00354873">
        <w:rPr>
          <w:rFonts w:cs="Arial"/>
          <w:szCs w:val="24"/>
        </w:rPr>
        <w:t xml:space="preserve"> Human Rights Convention and even the establishment of the NDIS, inequities of access for people with disability still exist</w:t>
      </w:r>
      <w:r>
        <w:rPr>
          <w:rFonts w:cs="Arial"/>
          <w:szCs w:val="24"/>
        </w:rPr>
        <w:t xml:space="preserve">. </w:t>
      </w:r>
    </w:p>
    <w:p w:rsidR="008B5F84" w:rsidRDefault="008B5F84" w:rsidP="0022711B">
      <w:pPr>
        <w:pBdr>
          <w:top w:val="single" w:sz="4" w:space="1" w:color="auto"/>
          <w:left w:val="single" w:sz="4" w:space="4" w:color="auto"/>
          <w:bottom w:val="single" w:sz="4" w:space="1" w:color="auto"/>
          <w:right w:val="single" w:sz="4" w:space="4" w:color="auto"/>
        </w:pBdr>
        <w:shd w:val="clear" w:color="auto" w:fill="FFE600"/>
        <w:jc w:val="left"/>
      </w:pPr>
      <w:r w:rsidRPr="009260BA">
        <w:rPr>
          <w:rFonts w:cs="Arial"/>
          <w:i/>
          <w:szCs w:val="24"/>
        </w:rPr>
        <w:t>“Especially now with the new NDIS and taking clients out more often … it would be good to have places to go when people need to go to the toilet” (Care Group, WA)</w:t>
      </w:r>
      <w:r>
        <w:rPr>
          <w:rFonts w:cs="Arial"/>
          <w:i/>
          <w:szCs w:val="24"/>
        </w:rPr>
        <w:t>.</w:t>
      </w:r>
    </w:p>
    <w:p w:rsidR="008B5F84" w:rsidRPr="006E4743" w:rsidRDefault="008B5F84" w:rsidP="008B5F84">
      <w:pPr>
        <w:pStyle w:val="EYAppendixHeading3"/>
      </w:pPr>
      <w:r>
        <w:t>The National Disability Insurance Scheme and an insurance approach to social welfare</w:t>
      </w:r>
    </w:p>
    <w:p w:rsidR="008B5F84" w:rsidRDefault="008B5F84" w:rsidP="008B5F84">
      <w:pPr>
        <w:pStyle w:val="EYBodytextwithparaspace"/>
      </w:pPr>
      <w:r>
        <w:t>While not directly related, it is worth pointing out the broader alignment between the current regulatory proposal and the overarching goal of the National Disability Insurance Scheme (NDIS). The NDIS was introduced after the Productivity Commission conducted a review in 2011 which identified considerable shortcomings of Australia’s disability support system.</w:t>
      </w:r>
    </w:p>
    <w:p w:rsidR="008B5F84" w:rsidRDefault="008B5F84" w:rsidP="008B5F84">
      <w:pPr>
        <w:pStyle w:val="EYBodytextwithparaspace"/>
      </w:pPr>
      <w:r>
        <w:t xml:space="preserve">An overarching premise of the NDIS is that it is operated as an insurance type system; one that focuses on improving independence through greater social and economic participation, therefore reducing long term reliance on government funded supports. </w:t>
      </w:r>
    </w:p>
    <w:p w:rsidR="008B5F84" w:rsidRDefault="008B5F84" w:rsidP="008B5F84">
      <w:pPr>
        <w:pStyle w:val="EYBodytextwithparaspace"/>
      </w:pPr>
      <w:r>
        <w:t>To the extent that increased social and economic participation of some of the most vulnerable members of our society will drive better outcomes, not only for people with a disability but also for people close to people with a disability, the current regulatory proposal could be seen as an important enabling factor for the ongoing success of the NDIS.</w:t>
      </w:r>
    </w:p>
    <w:p w:rsidR="00B508EB" w:rsidRDefault="00B508EB">
      <w:pPr>
        <w:jc w:val="left"/>
        <w:rPr>
          <w:rFonts w:cs="Arial"/>
          <w:b/>
          <w:szCs w:val="24"/>
        </w:rPr>
      </w:pPr>
      <w:r>
        <w:rPr>
          <w:rFonts w:cs="Arial"/>
          <w:b/>
          <w:szCs w:val="24"/>
        </w:rPr>
        <w:br w:type="page"/>
      </w:r>
    </w:p>
    <w:p w:rsidR="008B5F84" w:rsidRDefault="008B5F84" w:rsidP="008B5F84">
      <w:pPr>
        <w:pBdr>
          <w:top w:val="single" w:sz="4" w:space="1" w:color="auto"/>
          <w:left w:val="single" w:sz="4" w:space="4" w:color="auto"/>
          <w:bottom w:val="single" w:sz="4" w:space="1" w:color="auto"/>
          <w:right w:val="single" w:sz="4" w:space="4" w:color="auto"/>
        </w:pBdr>
        <w:shd w:val="clear" w:color="auto" w:fill="FFE600"/>
        <w:jc w:val="left"/>
        <w:rPr>
          <w:rFonts w:cs="Arial"/>
          <w:b/>
          <w:szCs w:val="24"/>
        </w:rPr>
      </w:pPr>
      <w:r>
        <w:rPr>
          <w:rFonts w:cs="Arial"/>
          <w:b/>
          <w:szCs w:val="24"/>
        </w:rPr>
        <w:lastRenderedPageBreak/>
        <w:t>End user c</w:t>
      </w:r>
      <w:r w:rsidRPr="00760E98">
        <w:rPr>
          <w:rFonts w:cs="Arial"/>
          <w:b/>
          <w:szCs w:val="24"/>
        </w:rPr>
        <w:t>onsultation findings</w:t>
      </w:r>
    </w:p>
    <w:p w:rsidR="008B5F84" w:rsidRPr="009260BA" w:rsidRDefault="008B5F84" w:rsidP="008B5F84">
      <w:pPr>
        <w:pBdr>
          <w:top w:val="single" w:sz="4" w:space="1" w:color="auto"/>
          <w:left w:val="single" w:sz="4" w:space="4" w:color="auto"/>
          <w:bottom w:val="single" w:sz="4" w:space="1" w:color="auto"/>
          <w:right w:val="single" w:sz="4" w:space="4" w:color="auto"/>
        </w:pBdr>
        <w:shd w:val="clear" w:color="auto" w:fill="FFE600"/>
        <w:spacing w:after="240" w:line="240" w:lineRule="auto"/>
        <w:jc w:val="left"/>
        <w:rPr>
          <w:rFonts w:cs="Arial"/>
          <w:b/>
          <w:szCs w:val="24"/>
        </w:rPr>
      </w:pPr>
      <w:r>
        <w:t>The majority of participants highlighted that the role of the NDIS is to support a better life for those with a significant and permanent disability, as well as their families and carers, and that this included supporting people to become more active participants and contributors within the community. The perception was therefore that the need for AACFs was likely to increase. Some of the key issues raised included:</w:t>
      </w:r>
    </w:p>
    <w:p w:rsidR="008B5F84" w:rsidRPr="00A0489B" w:rsidRDefault="008B5F84" w:rsidP="00A15416">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sidRPr="009260BA">
        <w:rPr>
          <w:rFonts w:cs="Arial"/>
          <w:b/>
          <w:szCs w:val="24"/>
        </w:rPr>
        <w:t>The success of the NDIS</w:t>
      </w:r>
      <w:r w:rsidRPr="00EF72DF">
        <w:rPr>
          <w:rFonts w:cs="Arial"/>
          <w:szCs w:val="24"/>
        </w:rPr>
        <w:t>… will, to a large extent, be determined by the built environment.  Ensuring accessibility and useability will therefore be a key influence, with the value of inaccessible buildings significantly diminishing</w:t>
      </w:r>
      <w:r w:rsidR="00641B84">
        <w:rPr>
          <w:rFonts w:cs="Arial"/>
          <w:szCs w:val="24"/>
        </w:rPr>
        <w:t>.</w:t>
      </w:r>
    </w:p>
    <w:p w:rsidR="008B5F84" w:rsidRPr="00A0489B" w:rsidRDefault="008B5F84" w:rsidP="00A15416">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sidRPr="009260BA">
        <w:rPr>
          <w:rFonts w:cs="Arial"/>
          <w:b/>
          <w:szCs w:val="24"/>
        </w:rPr>
        <w:t>Inaccessibility still exists</w:t>
      </w:r>
      <w:r w:rsidRPr="00EF72DF">
        <w:rPr>
          <w:rFonts w:cs="Arial"/>
          <w:szCs w:val="24"/>
        </w:rPr>
        <w:t>… and while some activities will simply not be possible for some people, preventing people from being engaged by not providing them with access to appropriate facilities was seen as discrimination</w:t>
      </w:r>
      <w:r w:rsidR="00641B84">
        <w:rPr>
          <w:rFonts w:cs="Arial"/>
          <w:szCs w:val="24"/>
        </w:rPr>
        <w:t>.</w:t>
      </w:r>
    </w:p>
    <w:p w:rsidR="008B5F84" w:rsidRPr="00226D6B" w:rsidRDefault="008B5F84" w:rsidP="00A15416">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sidRPr="009260BA">
        <w:rPr>
          <w:rFonts w:cs="Arial"/>
          <w:b/>
          <w:szCs w:val="24"/>
        </w:rPr>
        <w:t>Incidental diversity</w:t>
      </w:r>
      <w:r w:rsidRPr="00EF72DF">
        <w:rPr>
          <w:rFonts w:cs="Arial"/>
          <w:szCs w:val="24"/>
        </w:rPr>
        <w:t xml:space="preserve">… was believed to be critical if Australia was to become a truly inclusive society, and could only really be achieved if people with disability became more visible in the community, so that disability was “normalised”. </w:t>
      </w:r>
      <w:r>
        <w:rPr>
          <w:rFonts w:cs="Arial"/>
          <w:szCs w:val="24"/>
        </w:rPr>
        <w:t>AACFs</w:t>
      </w:r>
      <w:r w:rsidRPr="00EF72DF">
        <w:rPr>
          <w:rFonts w:cs="Arial"/>
          <w:szCs w:val="24"/>
        </w:rPr>
        <w:t xml:space="preserve"> were seen as a critical component of achiev</w:t>
      </w:r>
      <w:r w:rsidRPr="00A0489B">
        <w:rPr>
          <w:rFonts w:cs="Arial"/>
          <w:szCs w:val="24"/>
        </w:rPr>
        <w:t>ing this by simply supporting the needs of people and increasing their ability to be actively engaged and visible in the community</w:t>
      </w:r>
      <w:r w:rsidR="00641B84">
        <w:rPr>
          <w:rFonts w:cs="Arial"/>
          <w:szCs w:val="24"/>
        </w:rPr>
        <w:t>.</w:t>
      </w:r>
    </w:p>
    <w:p w:rsidR="008B5F84" w:rsidRPr="009260BA" w:rsidRDefault="008B5F84" w:rsidP="008B5F84">
      <w:p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i/>
          <w:szCs w:val="24"/>
        </w:rPr>
      </w:pPr>
      <w:r w:rsidRPr="009260BA">
        <w:rPr>
          <w:rFonts w:cs="Arial"/>
          <w:i/>
          <w:szCs w:val="24"/>
        </w:rPr>
        <w:t>“</w:t>
      </w:r>
      <w:r>
        <w:rPr>
          <w:rFonts w:cs="Arial"/>
          <w:i/>
          <w:szCs w:val="24"/>
        </w:rPr>
        <w:t xml:space="preserve">The </w:t>
      </w:r>
      <w:r w:rsidRPr="009260BA">
        <w:rPr>
          <w:rFonts w:cs="Arial"/>
          <w:i/>
          <w:szCs w:val="24"/>
        </w:rPr>
        <w:t xml:space="preserve">NDIS will enable people to get out and about, which will mean the need for appropriate bathroom facilities will become an even bigger problem … it will be a social disgrace” </w:t>
      </w:r>
      <w:r w:rsidRPr="009F2D46">
        <w:rPr>
          <w:rFonts w:cs="Arial"/>
          <w:szCs w:val="24"/>
        </w:rPr>
        <w:t>(CEO and lifetime wheelchair user, NSW)</w:t>
      </w:r>
      <w:r w:rsidR="007C69BF">
        <w:rPr>
          <w:rFonts w:cs="Arial"/>
          <w:szCs w:val="24"/>
        </w:rPr>
        <w:t>.</w:t>
      </w:r>
    </w:p>
    <w:p w:rsidR="008B5F84" w:rsidRPr="00FD6A57" w:rsidRDefault="008B5F84" w:rsidP="00A15416">
      <w:pPr>
        <w:pStyle w:val="Heading2"/>
      </w:pPr>
      <w:bookmarkStart w:id="103" w:name="_Toc525897786"/>
      <w:r w:rsidRPr="0022711B">
        <w:t>The lack of accessible adult change facilities has a range of negative consequences</w:t>
      </w:r>
      <w:bookmarkEnd w:id="103"/>
    </w:p>
    <w:p w:rsidR="008B5F84" w:rsidRDefault="008B5F84" w:rsidP="008B5F84">
      <w:pPr>
        <w:pStyle w:val="EYBodytextwithparaspace"/>
      </w:pPr>
      <w:r>
        <w:t>It is acknowledged that the implications from a lack of facilities are wide-ranging and can include health, psychological and social, and economic impacts. These impacts are discussed below.</w:t>
      </w:r>
    </w:p>
    <w:p w:rsidR="008B5F84" w:rsidRPr="008C2683" w:rsidRDefault="008B5F84" w:rsidP="0022711B">
      <w:pPr>
        <w:pStyle w:val="EYAppendixHeading3"/>
      </w:pPr>
      <w:r w:rsidRPr="008C2683">
        <w:t xml:space="preserve">Health </w:t>
      </w:r>
      <w:r>
        <w:t>i</w:t>
      </w:r>
      <w:r w:rsidRPr="008C2683">
        <w:t>mpacts</w:t>
      </w:r>
    </w:p>
    <w:p w:rsidR="008B5F84" w:rsidRDefault="008B5F84" w:rsidP="008B5F84">
      <w:pPr>
        <w:pStyle w:val="EYBodytextwithparaspace"/>
      </w:pPr>
      <w:r>
        <w:t>An absence of AACFs provides a great challenge when going out in public for people with a complex disability and their carers. For example, consultations uncovered instances of carers delaying or tweaking medication to enable public outings. Although the necessity of such work arounds is apparent, so too are the potential unintended health impacts, for example urinary tract infection or increased digestive issues as detailed in the consultation findings below.</w:t>
      </w:r>
    </w:p>
    <w:p w:rsidR="008B5F84" w:rsidRDefault="008B5F84" w:rsidP="008B5F84">
      <w:pPr>
        <w:pStyle w:val="EYBodytextwithparaspace"/>
      </w:pPr>
      <w:r>
        <w:t>Another major health impact is detailed within responses from the Premises Standards</w:t>
      </w:r>
      <w:r w:rsidR="008637A0">
        <w:t xml:space="preserve"> review</w:t>
      </w:r>
      <w:r>
        <w:rPr>
          <w:rStyle w:val="FootnoteReference"/>
        </w:rPr>
        <w:footnoteReference w:id="36"/>
      </w:r>
      <w:r>
        <w:t xml:space="preserve"> which describe how carers have had to change their loved ones on the floor of a </w:t>
      </w:r>
      <w:r w:rsidR="00873EB4">
        <w:t>SASF</w:t>
      </w:r>
      <w:r>
        <w:t>. In addition to the obvious hygiene issues and risks of disease associated with this, there are also considerable dignity issues for people with a complex disability and their carers.</w:t>
      </w:r>
    </w:p>
    <w:p w:rsidR="00B508EB" w:rsidRDefault="00B508EB">
      <w:pPr>
        <w:jc w:val="left"/>
        <w:rPr>
          <w:rFonts w:cs="Arial"/>
          <w:b/>
          <w:szCs w:val="24"/>
        </w:rPr>
      </w:pPr>
      <w:r>
        <w:rPr>
          <w:rFonts w:cs="Arial"/>
          <w:b/>
          <w:szCs w:val="24"/>
        </w:rPr>
        <w:br w:type="page"/>
      </w:r>
    </w:p>
    <w:p w:rsidR="008B5F84" w:rsidRPr="00760E98" w:rsidRDefault="008B5F84" w:rsidP="008B5F84">
      <w:pPr>
        <w:pBdr>
          <w:top w:val="single" w:sz="4" w:space="1" w:color="auto"/>
          <w:left w:val="single" w:sz="4" w:space="4" w:color="auto"/>
          <w:bottom w:val="single" w:sz="4" w:space="1" w:color="auto"/>
          <w:right w:val="single" w:sz="4" w:space="4" w:color="auto"/>
        </w:pBdr>
        <w:shd w:val="clear" w:color="auto" w:fill="FFE600"/>
        <w:jc w:val="left"/>
        <w:rPr>
          <w:rFonts w:cs="Arial"/>
          <w:b/>
          <w:szCs w:val="24"/>
        </w:rPr>
      </w:pPr>
      <w:r>
        <w:rPr>
          <w:rFonts w:cs="Arial"/>
          <w:b/>
          <w:szCs w:val="24"/>
        </w:rPr>
        <w:lastRenderedPageBreak/>
        <w:t>End user c</w:t>
      </w:r>
      <w:r w:rsidRPr="00760E98">
        <w:rPr>
          <w:rFonts w:cs="Arial"/>
          <w:b/>
          <w:szCs w:val="24"/>
        </w:rPr>
        <w:t>onsultation findings</w:t>
      </w:r>
    </w:p>
    <w:p w:rsidR="008B5F84" w:rsidRDefault="008B5F84" w:rsidP="008B5F84">
      <w:p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Pr>
          <w:rFonts w:cs="Arial"/>
          <w:szCs w:val="24"/>
        </w:rPr>
        <w:t>Participants consistently noted that the absence of change facilities often forces them to adopt various ‘work arounds’ in order to get on with their daily lives. As noted above, one such ‘work around’ is the manual adjustment of medications, for example by withholding or adjusting prescribed timings to fit in with a schedule.</w:t>
      </w:r>
    </w:p>
    <w:p w:rsidR="008B5F84" w:rsidRDefault="008B5F84" w:rsidP="008B5F84">
      <w:p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sidRPr="00A67E29">
        <w:rPr>
          <w:rFonts w:cs="Arial"/>
          <w:szCs w:val="24"/>
        </w:rPr>
        <w:t>Incontinence is still considered a hidden problem and is largel</w:t>
      </w:r>
      <w:r>
        <w:rPr>
          <w:rFonts w:cs="Arial"/>
          <w:szCs w:val="24"/>
        </w:rPr>
        <w:t xml:space="preserve">y regarded as a taboo subject. </w:t>
      </w:r>
      <w:r w:rsidRPr="00A67E29">
        <w:rPr>
          <w:rFonts w:cs="Arial"/>
          <w:szCs w:val="24"/>
        </w:rPr>
        <w:t>As such</w:t>
      </w:r>
      <w:r>
        <w:rPr>
          <w:rFonts w:cs="Arial"/>
          <w:szCs w:val="24"/>
        </w:rPr>
        <w:t>,</w:t>
      </w:r>
      <w:r w:rsidRPr="00A67E29">
        <w:rPr>
          <w:rFonts w:cs="Arial"/>
          <w:szCs w:val="24"/>
        </w:rPr>
        <w:t xml:space="preserve"> people d</w:t>
      </w:r>
      <w:r>
        <w:rPr>
          <w:rFonts w:cs="Arial"/>
          <w:szCs w:val="24"/>
        </w:rPr>
        <w:t>evise their own solutions, which</w:t>
      </w:r>
      <w:r w:rsidRPr="00A67E29">
        <w:rPr>
          <w:rFonts w:cs="Arial"/>
          <w:szCs w:val="24"/>
        </w:rPr>
        <w:t xml:space="preserve"> can lead to </w:t>
      </w:r>
      <w:r>
        <w:rPr>
          <w:rFonts w:cs="Arial"/>
          <w:szCs w:val="24"/>
        </w:rPr>
        <w:t xml:space="preserve">a range of adverse health impacts. </w:t>
      </w:r>
    </w:p>
    <w:p w:rsidR="008B5F84" w:rsidRDefault="008B5F84" w:rsidP="008B5F84">
      <w:p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sidRPr="009260BA">
        <w:rPr>
          <w:rFonts w:cs="Arial"/>
          <w:i/>
          <w:szCs w:val="24"/>
        </w:rPr>
        <w:t>“Incontinence is one of the gr</w:t>
      </w:r>
      <w:r>
        <w:rPr>
          <w:rFonts w:cs="Arial"/>
          <w:i/>
          <w:szCs w:val="24"/>
        </w:rPr>
        <w:t>eat</w:t>
      </w:r>
      <w:r w:rsidRPr="009260BA">
        <w:rPr>
          <w:rFonts w:cs="Arial"/>
          <w:i/>
          <w:szCs w:val="24"/>
        </w:rPr>
        <w:t xml:space="preserve"> unspoken embarrassing things.  Whether you are a middle aged woman with pelvic floor problems or a bloke struggling with his pros</w:t>
      </w:r>
      <w:r>
        <w:rPr>
          <w:rFonts w:cs="Arial"/>
          <w:i/>
          <w:szCs w:val="24"/>
        </w:rPr>
        <w:t>t</w:t>
      </w:r>
      <w:r w:rsidRPr="009260BA">
        <w:rPr>
          <w:rFonts w:cs="Arial"/>
          <w:i/>
          <w:szCs w:val="24"/>
        </w:rPr>
        <w:t xml:space="preserve">ate, or you’re a person with a disability – none of them like to talk about incontinence.  You don’t see a bunch of people sitting around a café comparing which incontinence products they prefer to use.  So it is a really hidden problem within our community.  No one talks about it.  People often devise their own solutions, which often aren’t best practice, so it can lead to things like increased </w:t>
      </w:r>
      <w:r>
        <w:rPr>
          <w:rFonts w:cs="Arial"/>
          <w:i/>
          <w:szCs w:val="24"/>
        </w:rPr>
        <w:t>urinary tract infections</w:t>
      </w:r>
      <w:r w:rsidRPr="009260BA">
        <w:rPr>
          <w:rFonts w:cs="Arial"/>
          <w:i/>
          <w:szCs w:val="24"/>
        </w:rPr>
        <w:t>, increased digestive issues … Incontinence in general is taboo in our community, we don’t talk about it, and we don’t learn the best way to manage it.  And then you add that to someone who lacks the basic skills to stand up and change a pad because they can’t stand up and the problem gets even worse”</w:t>
      </w:r>
      <w:r w:rsidRPr="000746AB">
        <w:rPr>
          <w:rFonts w:cs="Arial"/>
          <w:szCs w:val="24"/>
        </w:rPr>
        <w:t xml:space="preserve"> (CEO and lifetime wheelchair user, NSW)</w:t>
      </w:r>
      <w:r>
        <w:rPr>
          <w:rFonts w:cs="Arial"/>
          <w:szCs w:val="24"/>
        </w:rPr>
        <w:t>.</w:t>
      </w:r>
    </w:p>
    <w:p w:rsidR="008B5F84" w:rsidRPr="008C2683" w:rsidRDefault="008B5F84" w:rsidP="0022711B">
      <w:pPr>
        <w:pStyle w:val="EYAppendixHeading3"/>
      </w:pPr>
      <w:r>
        <w:t>Psychological and s</w:t>
      </w:r>
      <w:r w:rsidRPr="008C2683">
        <w:t>ocial impacts</w:t>
      </w:r>
    </w:p>
    <w:p w:rsidR="008B5F84" w:rsidRDefault="008B5F84" w:rsidP="008B5F84">
      <w:pPr>
        <w:pStyle w:val="EYBodytextwithparaspace"/>
      </w:pPr>
      <w:r>
        <w:t>The absence of AACFs in public places means that both those with a complex disability and their carers are often unable to access and utilise facilities that support social connectivity. This can affect the psychological development and wellbeing of both groups, and can lead to feelings of isolation and disengagement.</w:t>
      </w:r>
    </w:p>
    <w:p w:rsidR="008B5F84" w:rsidRDefault="008B5F84" w:rsidP="008B5F84">
      <w:pPr>
        <w:pStyle w:val="EYBodytextwithparaspace"/>
      </w:pPr>
      <w:r>
        <w:t>There is a large body of literature detailing the psychological benefits of behavioural activation, which aims to improve mental health outcomes by increasing engagement in social activities</w:t>
      </w:r>
      <w:r>
        <w:rPr>
          <w:rStyle w:val="FootnoteReference"/>
        </w:rPr>
        <w:footnoteReference w:id="37"/>
      </w:r>
      <w:r>
        <w:t>. For example, one study found that behavioural activation may be a feasible approach to tackling depression in people with intellectual disabilities.</w:t>
      </w:r>
      <w:r>
        <w:rPr>
          <w:rStyle w:val="FootnoteReference"/>
        </w:rPr>
        <w:footnoteReference w:id="38"/>
      </w:r>
      <w:r>
        <w:t xml:space="preserve"> Another study noted that although there were a number of methodological problems in studies conducted to date, behavioural activation may be effective in the treatment of depression.</w:t>
      </w:r>
      <w:r>
        <w:rPr>
          <w:rStyle w:val="FootnoteReference"/>
        </w:rPr>
        <w:footnoteReference w:id="39"/>
      </w:r>
      <w:r>
        <w:t xml:space="preserve"> In summary, the simple act of increasing participation of people with complex disabilities in social activities such as attending a shopping centre, museum or stadium, could itself generate improved mental and physical health outcomes.</w:t>
      </w:r>
    </w:p>
    <w:p w:rsidR="008B5F84" w:rsidRDefault="008B5F84" w:rsidP="008B5F84">
      <w:p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Pr>
          <w:rFonts w:cs="Arial"/>
          <w:b/>
          <w:szCs w:val="24"/>
        </w:rPr>
        <w:lastRenderedPageBreak/>
        <w:t xml:space="preserve">End user consultation </w:t>
      </w:r>
      <w:r w:rsidR="008637A0">
        <w:rPr>
          <w:rFonts w:cs="Arial"/>
          <w:b/>
          <w:szCs w:val="24"/>
        </w:rPr>
        <w:t>f</w:t>
      </w:r>
      <w:r>
        <w:rPr>
          <w:rFonts w:cs="Arial"/>
          <w:b/>
          <w:szCs w:val="24"/>
        </w:rPr>
        <w:t>indings</w:t>
      </w:r>
    </w:p>
    <w:p w:rsidR="008B5F84" w:rsidRPr="00C15EAB" w:rsidRDefault="008B5F84" w:rsidP="008B5F84">
      <w:p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sidRPr="00C15EAB">
        <w:rPr>
          <w:rFonts w:cs="Arial"/>
          <w:szCs w:val="24"/>
        </w:rPr>
        <w:t>Participants also noted the unhygienic and undignified manner in which they are often forced to change their loved ones. Often, for example, there is no choice but to put a plastic sheet on the floor of a</w:t>
      </w:r>
      <w:r w:rsidR="00FF17D5">
        <w:rPr>
          <w:rFonts w:cs="Arial"/>
          <w:szCs w:val="24"/>
        </w:rPr>
        <w:t>n</w:t>
      </w:r>
      <w:r w:rsidRPr="00C15EAB">
        <w:rPr>
          <w:rFonts w:cs="Arial"/>
          <w:szCs w:val="24"/>
        </w:rPr>
        <w:t xml:space="preserve"> </w:t>
      </w:r>
      <w:r w:rsidR="008637A0">
        <w:rPr>
          <w:rFonts w:cs="Arial"/>
          <w:szCs w:val="24"/>
        </w:rPr>
        <w:t>SAS</w:t>
      </w:r>
      <w:r w:rsidR="00FF17D5">
        <w:rPr>
          <w:rFonts w:cs="Arial"/>
          <w:szCs w:val="24"/>
        </w:rPr>
        <w:t>F</w:t>
      </w:r>
      <w:r w:rsidRPr="00C15EAB">
        <w:rPr>
          <w:rFonts w:cs="Arial"/>
          <w:szCs w:val="24"/>
        </w:rPr>
        <w:t xml:space="preserve">, lifting the individual onto the plastic sheet, changing them and then lifting them back into their wheelchair, resulting in health and safety issues for individuals </w:t>
      </w:r>
      <w:r w:rsidRPr="00CA004D">
        <w:rPr>
          <w:rFonts w:cs="Arial"/>
          <w:szCs w:val="24"/>
        </w:rPr>
        <w:t>and</w:t>
      </w:r>
      <w:r w:rsidRPr="00C15EAB">
        <w:rPr>
          <w:rFonts w:cs="Arial"/>
          <w:szCs w:val="24"/>
        </w:rPr>
        <w:t xml:space="preserve"> their carers.</w:t>
      </w:r>
    </w:p>
    <w:p w:rsidR="008B5F84" w:rsidRDefault="008B5F84" w:rsidP="008B5F84">
      <w:p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sidRPr="009260BA" w:rsidDel="00A67E29">
        <w:rPr>
          <w:rFonts w:cs="Arial"/>
          <w:i/>
          <w:szCs w:val="24"/>
        </w:rPr>
        <w:t xml:space="preserve"> </w:t>
      </w:r>
      <w:r w:rsidRPr="009260BA">
        <w:rPr>
          <w:rFonts w:cs="Arial"/>
          <w:i/>
          <w:szCs w:val="24"/>
        </w:rPr>
        <w:t>“Accessing toilets is the biggest issue when going out.  While [my son] (aged 23 with cerebral palsy) has a routine, outings tend to be shorter than he would like them to be, and can be further shortened if his “routine” needs to be interrupted or altered.  As with all of us, things happen.”</w:t>
      </w:r>
      <w:r w:rsidRPr="00CA004D">
        <w:rPr>
          <w:iCs/>
        </w:rPr>
        <w:t xml:space="preserve"> </w:t>
      </w:r>
      <w:r w:rsidRPr="00CA004D">
        <w:rPr>
          <w:rFonts w:cs="Arial"/>
          <w:szCs w:val="24"/>
        </w:rPr>
        <w:t>(Mother, VIC)</w:t>
      </w:r>
    </w:p>
    <w:p w:rsidR="008B5F84" w:rsidRPr="00CA004D" w:rsidRDefault="008B5F84" w:rsidP="008B5F84">
      <w:p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Pr>
          <w:rFonts w:cs="Arial"/>
          <w:szCs w:val="24"/>
        </w:rPr>
        <w:t>P</w:t>
      </w:r>
      <w:r w:rsidRPr="00C15EAB">
        <w:rPr>
          <w:rFonts w:cs="Arial"/>
          <w:szCs w:val="24"/>
        </w:rPr>
        <w:t>articipants wanted the opportunity to live an ordinary life</w:t>
      </w:r>
      <w:r>
        <w:rPr>
          <w:rFonts w:cs="Arial"/>
          <w:szCs w:val="24"/>
        </w:rPr>
        <w:t>,</w:t>
      </w:r>
      <w:r w:rsidRPr="00C15EAB">
        <w:rPr>
          <w:rFonts w:cs="Arial"/>
          <w:szCs w:val="24"/>
        </w:rPr>
        <w:t xml:space="preserve"> with the freedom to go where they wanted to. With the overall goal of the </w:t>
      </w:r>
      <w:r>
        <w:rPr>
          <w:rFonts w:cs="Arial"/>
          <w:szCs w:val="24"/>
        </w:rPr>
        <w:t>NDIS</w:t>
      </w:r>
      <w:r w:rsidRPr="00C15EAB">
        <w:rPr>
          <w:rFonts w:cs="Arial"/>
          <w:szCs w:val="24"/>
        </w:rPr>
        <w:t xml:space="preserve"> being to enable people with disabilit</w:t>
      </w:r>
      <w:r>
        <w:rPr>
          <w:rFonts w:cs="Arial"/>
          <w:szCs w:val="24"/>
        </w:rPr>
        <w:t>ies</w:t>
      </w:r>
      <w:r w:rsidRPr="00C15EAB">
        <w:rPr>
          <w:rFonts w:cs="Arial"/>
          <w:szCs w:val="24"/>
        </w:rPr>
        <w:t xml:space="preserve"> </w:t>
      </w:r>
      <w:r>
        <w:rPr>
          <w:rFonts w:cs="Arial"/>
          <w:szCs w:val="24"/>
        </w:rPr>
        <w:t xml:space="preserve">to </w:t>
      </w:r>
      <w:r w:rsidRPr="00C15EAB">
        <w:rPr>
          <w:rFonts w:cs="Arial"/>
          <w:szCs w:val="24"/>
        </w:rPr>
        <w:t xml:space="preserve">live “ordinary lives”, minimising the problems individuals and families face, and making sure that our community becomes more accessible and inclusive of people with disability is imperative. </w:t>
      </w:r>
    </w:p>
    <w:p w:rsidR="008B5F84" w:rsidRDefault="008B5F84" w:rsidP="0022711B">
      <w:pPr>
        <w:pStyle w:val="EYAppendixHeading3"/>
      </w:pPr>
      <w:r>
        <w:t>Economic impacts</w:t>
      </w:r>
    </w:p>
    <w:p w:rsidR="008B5F84" w:rsidRDefault="008B5F84" w:rsidP="008B5F84">
      <w:pPr>
        <w:pStyle w:val="EYBodytextwithparaspace"/>
      </w:pPr>
      <w:r w:rsidRPr="006C06DD">
        <w:t>Many people</w:t>
      </w:r>
      <w:r w:rsidRPr="009A0CB1">
        <w:t xml:space="preserve"> with </w:t>
      </w:r>
      <w:r>
        <w:t xml:space="preserve">a </w:t>
      </w:r>
      <w:r w:rsidRPr="009A0CB1">
        <w:t>disability</w:t>
      </w:r>
      <w:r>
        <w:t xml:space="preserve"> have difficulties reconciling their physical needs with the rigours of daily life. For example, as noted above people often adopt ‘work arounds’ where such inconsistencies exist. In addition to the obvious health ramifications, this also clearly affects the extent to which people with a disability, as well as their carers and broader social and family networks, can participate in the broader economy to the same extent as</w:t>
      </w:r>
      <w:r w:rsidRPr="009E3389">
        <w:t xml:space="preserve"> able bodied persons.</w:t>
      </w:r>
    </w:p>
    <w:p w:rsidR="008B5F84" w:rsidRPr="009260BA" w:rsidRDefault="008B5F84" w:rsidP="008B5F84">
      <w:pPr>
        <w:pBdr>
          <w:top w:val="single" w:sz="4" w:space="1" w:color="auto"/>
          <w:left w:val="single" w:sz="4" w:space="4" w:color="auto"/>
          <w:bottom w:val="single" w:sz="4" w:space="1" w:color="auto"/>
          <w:right w:val="single" w:sz="4" w:space="4" w:color="auto"/>
        </w:pBdr>
        <w:shd w:val="clear" w:color="auto" w:fill="FFE600"/>
        <w:spacing w:line="240" w:lineRule="auto"/>
        <w:jc w:val="left"/>
        <w:rPr>
          <w:b/>
          <w:szCs w:val="24"/>
        </w:rPr>
      </w:pPr>
      <w:r>
        <w:rPr>
          <w:b/>
          <w:szCs w:val="24"/>
        </w:rPr>
        <w:t>End user c</w:t>
      </w:r>
      <w:r w:rsidRPr="009260BA">
        <w:rPr>
          <w:b/>
          <w:szCs w:val="24"/>
        </w:rPr>
        <w:t xml:space="preserve">onsultation </w:t>
      </w:r>
      <w:r w:rsidR="008637A0">
        <w:rPr>
          <w:b/>
          <w:szCs w:val="24"/>
        </w:rPr>
        <w:t>f</w:t>
      </w:r>
      <w:r w:rsidRPr="009260BA">
        <w:rPr>
          <w:b/>
          <w:szCs w:val="24"/>
        </w:rPr>
        <w:t>indings</w:t>
      </w:r>
    </w:p>
    <w:p w:rsidR="008B5F84" w:rsidRDefault="008B5F84" w:rsidP="008B5F84">
      <w:p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Pr>
          <w:rFonts w:cs="Arial"/>
          <w:szCs w:val="24"/>
        </w:rPr>
        <w:t>A key theme emerging from the consultations was that the economic impacts – in terms of reduced spending and overall participation – of a lack of facilities are ‘bigger than you might think’.</w:t>
      </w:r>
    </w:p>
    <w:p w:rsidR="008B5F84" w:rsidRPr="009A0CB1" w:rsidRDefault="008B5F84" w:rsidP="008B5F84">
      <w:p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Pr>
          <w:rFonts w:cs="Arial"/>
          <w:szCs w:val="24"/>
        </w:rPr>
        <w:t>For example, while the main person impacted is the person with a disability, participants consistently commented how cutting a trip short affects not only the person with a disability, but also those who are around them. In other words, it is not uncommon for a group of four or five people to all leave a shopping centre or other social activity when a change facility is needed but not available. Clearly then, while it is impossible to quantify, a lack of AACFs affects the economic participation of a far broader group than just those with a disability.</w:t>
      </w:r>
    </w:p>
    <w:p w:rsidR="008B5F84" w:rsidRDefault="008B5F84" w:rsidP="008B5F84">
      <w:pPr>
        <w:pBdr>
          <w:top w:val="single" w:sz="4" w:space="1" w:color="auto"/>
          <w:left w:val="single" w:sz="4" w:space="4" w:color="auto"/>
          <w:bottom w:val="single" w:sz="4" w:space="1" w:color="auto"/>
          <w:right w:val="single" w:sz="4" w:space="4" w:color="auto"/>
        </w:pBdr>
        <w:shd w:val="clear" w:color="auto" w:fill="FFE600"/>
        <w:spacing w:line="240" w:lineRule="auto"/>
        <w:jc w:val="left"/>
      </w:pPr>
      <w:r>
        <w:rPr>
          <w:rFonts w:cs="Arial"/>
          <w:szCs w:val="24"/>
        </w:rPr>
        <w:t>Importantly, research participants also indicated that when</w:t>
      </w:r>
      <w:r w:rsidRPr="00016A38">
        <w:rPr>
          <w:rFonts w:cs="Arial"/>
          <w:szCs w:val="24"/>
        </w:rPr>
        <w:t xml:space="preserve"> </w:t>
      </w:r>
      <w:r>
        <w:rPr>
          <w:rFonts w:cs="Arial"/>
          <w:szCs w:val="24"/>
        </w:rPr>
        <w:t>they</w:t>
      </w:r>
      <w:r w:rsidRPr="00016A38">
        <w:rPr>
          <w:rFonts w:cs="Arial"/>
          <w:szCs w:val="24"/>
        </w:rPr>
        <w:t xml:space="preserve"> find a place that works</w:t>
      </w:r>
      <w:r>
        <w:rPr>
          <w:rFonts w:cs="Arial"/>
          <w:szCs w:val="24"/>
        </w:rPr>
        <w:t>, they will keep going back</w:t>
      </w:r>
      <w:r w:rsidRPr="00090CC5">
        <w:rPr>
          <w:rFonts w:cs="Arial"/>
          <w:szCs w:val="24"/>
        </w:rPr>
        <w:t xml:space="preserve"> </w:t>
      </w:r>
      <w:r>
        <w:rPr>
          <w:rFonts w:cs="Arial"/>
          <w:szCs w:val="24"/>
        </w:rPr>
        <w:t>(</w:t>
      </w:r>
      <w:r w:rsidRPr="00016A38">
        <w:rPr>
          <w:rFonts w:cs="Arial"/>
          <w:szCs w:val="24"/>
        </w:rPr>
        <w:t>loyal repeat customers</w:t>
      </w:r>
      <w:r>
        <w:rPr>
          <w:rFonts w:cs="Arial"/>
          <w:szCs w:val="24"/>
        </w:rPr>
        <w:t>), and in fact will travel out of their way to such places.</w:t>
      </w:r>
      <w:r w:rsidRPr="00016A38">
        <w:rPr>
          <w:rFonts w:cs="Arial"/>
          <w:szCs w:val="24"/>
        </w:rPr>
        <w:t xml:space="preserve"> </w:t>
      </w:r>
      <w:r>
        <w:rPr>
          <w:rFonts w:cs="Arial"/>
          <w:szCs w:val="24"/>
        </w:rPr>
        <w:t>It was also clear that participants believed that having a larger “network” of places that were “good enough” was far more important than having a smaller number of places that were of the highest specification</w:t>
      </w:r>
      <w:r w:rsidRPr="00016A38">
        <w:rPr>
          <w:rFonts w:cs="Arial"/>
          <w:szCs w:val="24"/>
        </w:rPr>
        <w:t>.</w:t>
      </w:r>
      <w:r>
        <w:rPr>
          <w:rFonts w:cs="Arial"/>
          <w:szCs w:val="24"/>
        </w:rPr>
        <w:t xml:space="preserve"> </w:t>
      </w:r>
    </w:p>
    <w:p w:rsidR="008B5F84" w:rsidRDefault="008B5F84" w:rsidP="008B5F84">
      <w:pPr>
        <w:pBdr>
          <w:top w:val="single" w:sz="4" w:space="1" w:color="auto"/>
          <w:left w:val="single" w:sz="4" w:space="4" w:color="auto"/>
          <w:bottom w:val="single" w:sz="4" w:space="1" w:color="auto"/>
          <w:right w:val="single" w:sz="4" w:space="4" w:color="auto"/>
        </w:pBdr>
        <w:shd w:val="clear" w:color="auto" w:fill="FFE600"/>
        <w:spacing w:line="240" w:lineRule="auto"/>
        <w:jc w:val="left"/>
      </w:pPr>
      <w:r>
        <w:t xml:space="preserve">An important economic impact caused by the inclusion of AACFs in shopping centres and other public buildings is it will enable people requiring AACFs and their carers to visit for </w:t>
      </w:r>
      <w:r>
        <w:lastRenderedPageBreak/>
        <w:t xml:space="preserve">longer and more frequently. Participants were of the view that they would spend more money at these businesses which will have be an economic benefit for the community. </w:t>
      </w:r>
    </w:p>
    <w:p w:rsidR="008B5F84" w:rsidRPr="00C15EAB" w:rsidRDefault="008B5F84" w:rsidP="008B5F84">
      <w:p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Pr>
          <w:rFonts w:cs="Arial"/>
          <w:szCs w:val="24"/>
        </w:rPr>
        <w:t xml:space="preserve">To the extent that provision of AACFs will improve access to buildings more broadly, it is clear that, in addition to the opportunities for greater social inclusion, considerable spending benefits could result: </w:t>
      </w:r>
    </w:p>
    <w:p w:rsidR="008B5F84" w:rsidRDefault="008B5F84" w:rsidP="008B5F84">
      <w:pPr>
        <w:pBdr>
          <w:top w:val="single" w:sz="4" w:space="1" w:color="auto"/>
          <w:left w:val="single" w:sz="4" w:space="4" w:color="auto"/>
          <w:bottom w:val="single" w:sz="4" w:space="1" w:color="auto"/>
          <w:right w:val="single" w:sz="4" w:space="4" w:color="auto"/>
        </w:pBdr>
        <w:shd w:val="clear" w:color="auto" w:fill="FFE600"/>
        <w:spacing w:line="240" w:lineRule="auto"/>
        <w:jc w:val="left"/>
      </w:pPr>
      <w:r w:rsidRPr="00CA004D">
        <w:rPr>
          <w:rFonts w:cs="Arial"/>
          <w:i/>
          <w:iCs/>
        </w:rPr>
        <w:t xml:space="preserve">“Access to buildings is one of my big bug bears. I recently went to a street with high end shops in it with another client who wanted to buy a fancy dress. But we couldn’t get into any of the shops and the staff just laughed at us. My money’s as good as the next guy’s. This was not just discriminatory, but it was awful that we went all the way there and didn’t get to look at anything - my friend just cried.” </w:t>
      </w:r>
      <w:r w:rsidRPr="00CA004D">
        <w:rPr>
          <w:rFonts w:cs="Arial"/>
          <w:szCs w:val="24"/>
        </w:rPr>
        <w:t>(Male, 35-45 year</w:t>
      </w:r>
      <w:r>
        <w:rPr>
          <w:rFonts w:cs="Arial"/>
          <w:szCs w:val="24"/>
        </w:rPr>
        <w:t xml:space="preserve"> old</w:t>
      </w:r>
      <w:r w:rsidRPr="00CA004D">
        <w:rPr>
          <w:rFonts w:cs="Arial"/>
          <w:szCs w:val="24"/>
        </w:rPr>
        <w:t xml:space="preserve"> with spinal cord and head injuries, WA)</w:t>
      </w:r>
    </w:p>
    <w:p w:rsidR="008B5F84" w:rsidRDefault="008B5F84" w:rsidP="008B5F84">
      <w:pPr>
        <w:jc w:val="left"/>
        <w:rPr>
          <w:rFonts w:eastAsia="Times New Roman" w:cs="Arial"/>
          <w:b/>
          <w:bCs/>
          <w:sz w:val="36"/>
          <w:szCs w:val="24"/>
        </w:rPr>
      </w:pPr>
      <w:r>
        <w:br w:type="page"/>
      </w:r>
    </w:p>
    <w:p w:rsidR="003A2745" w:rsidRDefault="003A071C" w:rsidP="000A6962">
      <w:pPr>
        <w:pStyle w:val="Heading1"/>
      </w:pPr>
      <w:bookmarkStart w:id="104" w:name="_Toc521497595"/>
      <w:bookmarkStart w:id="105" w:name="_Toc521501380"/>
      <w:bookmarkStart w:id="106" w:name="_Toc521935132"/>
      <w:bookmarkStart w:id="107" w:name="_Toc521941491"/>
      <w:bookmarkStart w:id="108" w:name="_Toc521943142"/>
      <w:bookmarkStart w:id="109" w:name="_Toc521497598"/>
      <w:bookmarkStart w:id="110" w:name="_Toc521501383"/>
      <w:bookmarkStart w:id="111" w:name="_Toc521935135"/>
      <w:bookmarkStart w:id="112" w:name="_Toc521941494"/>
      <w:bookmarkStart w:id="113" w:name="_Toc521943145"/>
      <w:bookmarkStart w:id="114" w:name="_Toc521497599"/>
      <w:bookmarkStart w:id="115" w:name="_Toc521501384"/>
      <w:bookmarkStart w:id="116" w:name="_Toc521935136"/>
      <w:bookmarkStart w:id="117" w:name="_Toc521941495"/>
      <w:bookmarkStart w:id="118" w:name="_Toc521943146"/>
      <w:bookmarkStart w:id="119" w:name="_Toc521497600"/>
      <w:bookmarkStart w:id="120" w:name="_Toc521501385"/>
      <w:bookmarkStart w:id="121" w:name="_Toc521935137"/>
      <w:bookmarkStart w:id="122" w:name="_Toc521941496"/>
      <w:bookmarkStart w:id="123" w:name="_Toc521943147"/>
      <w:bookmarkStart w:id="124" w:name="_Toc521497601"/>
      <w:bookmarkStart w:id="125" w:name="_Toc521501386"/>
      <w:bookmarkStart w:id="126" w:name="_Toc521935138"/>
      <w:bookmarkStart w:id="127" w:name="_Toc521941497"/>
      <w:bookmarkStart w:id="128" w:name="_Toc521943148"/>
      <w:bookmarkStart w:id="129" w:name="_Toc521497603"/>
      <w:bookmarkStart w:id="130" w:name="_Toc521501388"/>
      <w:bookmarkStart w:id="131" w:name="_Toc521935140"/>
      <w:bookmarkStart w:id="132" w:name="_Toc521941499"/>
      <w:bookmarkStart w:id="133" w:name="_Toc521943150"/>
      <w:bookmarkStart w:id="134" w:name="_Toc521497604"/>
      <w:bookmarkStart w:id="135" w:name="_Toc521501389"/>
      <w:bookmarkStart w:id="136" w:name="_Toc521935141"/>
      <w:bookmarkStart w:id="137" w:name="_Toc521941500"/>
      <w:bookmarkStart w:id="138" w:name="_Toc521943151"/>
      <w:bookmarkStart w:id="139" w:name="_Toc521497606"/>
      <w:bookmarkStart w:id="140" w:name="_Toc521501391"/>
      <w:bookmarkStart w:id="141" w:name="_Toc521935143"/>
      <w:bookmarkStart w:id="142" w:name="_Toc521941502"/>
      <w:bookmarkStart w:id="143" w:name="_Toc521943153"/>
      <w:bookmarkStart w:id="144" w:name="_Toc521497607"/>
      <w:bookmarkStart w:id="145" w:name="_Toc521501392"/>
      <w:bookmarkStart w:id="146" w:name="_Toc521935144"/>
      <w:bookmarkStart w:id="147" w:name="_Toc521941503"/>
      <w:bookmarkStart w:id="148" w:name="_Toc521943154"/>
      <w:bookmarkStart w:id="149" w:name="_Toc521497608"/>
      <w:bookmarkStart w:id="150" w:name="_Toc521501393"/>
      <w:bookmarkStart w:id="151" w:name="_Toc521935145"/>
      <w:bookmarkStart w:id="152" w:name="_Toc521941504"/>
      <w:bookmarkStart w:id="153" w:name="_Toc521943155"/>
      <w:bookmarkStart w:id="154" w:name="_Toc521497659"/>
      <w:bookmarkStart w:id="155" w:name="_Toc521501444"/>
      <w:bookmarkStart w:id="156" w:name="_Toc521935196"/>
      <w:bookmarkStart w:id="157" w:name="_Toc521941555"/>
      <w:bookmarkStart w:id="158" w:name="_Toc521943206"/>
      <w:bookmarkStart w:id="159" w:name="_Toc521497663"/>
      <w:bookmarkStart w:id="160" w:name="_Toc521501448"/>
      <w:bookmarkStart w:id="161" w:name="_Toc521935200"/>
      <w:bookmarkStart w:id="162" w:name="_Toc521941559"/>
      <w:bookmarkStart w:id="163" w:name="_Toc521943210"/>
      <w:bookmarkStart w:id="164" w:name="_Toc521497674"/>
      <w:bookmarkStart w:id="165" w:name="_Toc521501459"/>
      <w:bookmarkStart w:id="166" w:name="_Toc521935211"/>
      <w:bookmarkStart w:id="167" w:name="_Toc521941570"/>
      <w:bookmarkStart w:id="168" w:name="_Toc521943221"/>
      <w:bookmarkStart w:id="169" w:name="_Toc521497675"/>
      <w:bookmarkStart w:id="170" w:name="_Toc521501460"/>
      <w:bookmarkStart w:id="171" w:name="_Toc521935212"/>
      <w:bookmarkStart w:id="172" w:name="_Toc521941571"/>
      <w:bookmarkStart w:id="173" w:name="_Toc521943222"/>
      <w:bookmarkStart w:id="174" w:name="_Toc521497676"/>
      <w:bookmarkStart w:id="175" w:name="_Toc521501461"/>
      <w:bookmarkStart w:id="176" w:name="_Toc521935213"/>
      <w:bookmarkStart w:id="177" w:name="_Toc521941572"/>
      <w:bookmarkStart w:id="178" w:name="_Toc521943223"/>
      <w:bookmarkStart w:id="179" w:name="_Toc521497677"/>
      <w:bookmarkStart w:id="180" w:name="_Toc521501462"/>
      <w:bookmarkStart w:id="181" w:name="_Toc521935214"/>
      <w:bookmarkStart w:id="182" w:name="_Toc521941573"/>
      <w:bookmarkStart w:id="183" w:name="_Toc521943224"/>
      <w:bookmarkStart w:id="184" w:name="_Toc521497679"/>
      <w:bookmarkStart w:id="185" w:name="_Toc521501464"/>
      <w:bookmarkStart w:id="186" w:name="_Toc521935216"/>
      <w:bookmarkStart w:id="187" w:name="_Toc521941575"/>
      <w:bookmarkStart w:id="188" w:name="_Toc521943226"/>
      <w:bookmarkStart w:id="189" w:name="_Toc521497680"/>
      <w:bookmarkStart w:id="190" w:name="_Toc521501465"/>
      <w:bookmarkStart w:id="191" w:name="_Toc521935217"/>
      <w:bookmarkStart w:id="192" w:name="_Toc521941576"/>
      <w:bookmarkStart w:id="193" w:name="_Toc521943227"/>
      <w:bookmarkStart w:id="194" w:name="_Toc521497682"/>
      <w:bookmarkStart w:id="195" w:name="_Toc521501467"/>
      <w:bookmarkStart w:id="196" w:name="_Toc521935219"/>
      <w:bookmarkStart w:id="197" w:name="_Toc521941578"/>
      <w:bookmarkStart w:id="198" w:name="_Toc521943229"/>
      <w:bookmarkStart w:id="199" w:name="_Toc521497683"/>
      <w:bookmarkStart w:id="200" w:name="_Toc521501468"/>
      <w:bookmarkStart w:id="201" w:name="_Toc521935220"/>
      <w:bookmarkStart w:id="202" w:name="_Toc521941579"/>
      <w:bookmarkStart w:id="203" w:name="_Toc521943230"/>
      <w:bookmarkStart w:id="204" w:name="_Toc521497684"/>
      <w:bookmarkStart w:id="205" w:name="_Toc521501469"/>
      <w:bookmarkStart w:id="206" w:name="_Toc521935221"/>
      <w:bookmarkStart w:id="207" w:name="_Toc521941580"/>
      <w:bookmarkStart w:id="208" w:name="_Toc521943231"/>
      <w:bookmarkStart w:id="209" w:name="_Toc521497685"/>
      <w:bookmarkStart w:id="210" w:name="_Toc521501470"/>
      <w:bookmarkStart w:id="211" w:name="_Toc521935222"/>
      <w:bookmarkStart w:id="212" w:name="_Toc521941581"/>
      <w:bookmarkStart w:id="213" w:name="_Toc521943232"/>
      <w:bookmarkStart w:id="214" w:name="_Toc521497687"/>
      <w:bookmarkStart w:id="215" w:name="_Toc521501472"/>
      <w:bookmarkStart w:id="216" w:name="_Toc521935224"/>
      <w:bookmarkStart w:id="217" w:name="_Toc521941583"/>
      <w:bookmarkStart w:id="218" w:name="_Toc521943234"/>
      <w:bookmarkStart w:id="219" w:name="_Toc521497688"/>
      <w:bookmarkStart w:id="220" w:name="_Toc521501473"/>
      <w:bookmarkStart w:id="221" w:name="_Toc521935225"/>
      <w:bookmarkStart w:id="222" w:name="_Toc521941584"/>
      <w:bookmarkStart w:id="223" w:name="_Toc521943235"/>
      <w:bookmarkStart w:id="224" w:name="_Toc521497689"/>
      <w:bookmarkStart w:id="225" w:name="_Toc521501474"/>
      <w:bookmarkStart w:id="226" w:name="_Toc521935226"/>
      <w:bookmarkStart w:id="227" w:name="_Toc521941585"/>
      <w:bookmarkStart w:id="228" w:name="_Toc521943236"/>
      <w:bookmarkStart w:id="229" w:name="_Toc521497692"/>
      <w:bookmarkStart w:id="230" w:name="_Toc521501477"/>
      <w:bookmarkStart w:id="231" w:name="_Toc521935229"/>
      <w:bookmarkStart w:id="232" w:name="_Toc521941588"/>
      <w:bookmarkStart w:id="233" w:name="_Toc521943239"/>
      <w:bookmarkStart w:id="234" w:name="_Toc521497693"/>
      <w:bookmarkStart w:id="235" w:name="_Toc521501478"/>
      <w:bookmarkStart w:id="236" w:name="_Toc521935230"/>
      <w:bookmarkStart w:id="237" w:name="_Toc521941589"/>
      <w:bookmarkStart w:id="238" w:name="_Toc521943240"/>
      <w:bookmarkStart w:id="239" w:name="_Toc521497694"/>
      <w:bookmarkStart w:id="240" w:name="_Toc521501479"/>
      <w:bookmarkStart w:id="241" w:name="_Toc521935231"/>
      <w:bookmarkStart w:id="242" w:name="_Toc521941590"/>
      <w:bookmarkStart w:id="243" w:name="_Toc521943241"/>
      <w:bookmarkStart w:id="244" w:name="_Toc521497696"/>
      <w:bookmarkStart w:id="245" w:name="_Toc521501481"/>
      <w:bookmarkStart w:id="246" w:name="_Toc521935233"/>
      <w:bookmarkStart w:id="247" w:name="_Toc521941592"/>
      <w:bookmarkStart w:id="248" w:name="_Toc521943243"/>
      <w:bookmarkStart w:id="249" w:name="_Toc521497697"/>
      <w:bookmarkStart w:id="250" w:name="_Toc521501482"/>
      <w:bookmarkStart w:id="251" w:name="_Toc521935234"/>
      <w:bookmarkStart w:id="252" w:name="_Toc521941593"/>
      <w:bookmarkStart w:id="253" w:name="_Toc521943244"/>
      <w:bookmarkStart w:id="254" w:name="_Toc521497698"/>
      <w:bookmarkStart w:id="255" w:name="_Toc521501483"/>
      <w:bookmarkStart w:id="256" w:name="_Toc521935235"/>
      <w:bookmarkStart w:id="257" w:name="_Toc521941594"/>
      <w:bookmarkStart w:id="258" w:name="_Toc521943245"/>
      <w:bookmarkStart w:id="259" w:name="_Toc521497699"/>
      <w:bookmarkStart w:id="260" w:name="_Toc521501484"/>
      <w:bookmarkStart w:id="261" w:name="_Toc521935236"/>
      <w:bookmarkStart w:id="262" w:name="_Toc521941595"/>
      <w:bookmarkStart w:id="263" w:name="_Toc521943246"/>
      <w:bookmarkStart w:id="264" w:name="_Toc521497700"/>
      <w:bookmarkStart w:id="265" w:name="_Toc521501485"/>
      <w:bookmarkStart w:id="266" w:name="_Toc521935237"/>
      <w:bookmarkStart w:id="267" w:name="_Toc521941596"/>
      <w:bookmarkStart w:id="268" w:name="_Toc521943247"/>
      <w:bookmarkStart w:id="269" w:name="_Toc521497701"/>
      <w:bookmarkStart w:id="270" w:name="_Toc521501486"/>
      <w:bookmarkStart w:id="271" w:name="_Toc521935238"/>
      <w:bookmarkStart w:id="272" w:name="_Toc521941597"/>
      <w:bookmarkStart w:id="273" w:name="_Toc521943248"/>
      <w:bookmarkStart w:id="274" w:name="_Toc521497702"/>
      <w:bookmarkStart w:id="275" w:name="_Toc521501487"/>
      <w:bookmarkStart w:id="276" w:name="_Toc521935239"/>
      <w:bookmarkStart w:id="277" w:name="_Toc521941598"/>
      <w:bookmarkStart w:id="278" w:name="_Toc521943249"/>
      <w:bookmarkStart w:id="279" w:name="_Toc521497703"/>
      <w:bookmarkStart w:id="280" w:name="_Toc521501488"/>
      <w:bookmarkStart w:id="281" w:name="_Toc521935240"/>
      <w:bookmarkStart w:id="282" w:name="_Toc521941599"/>
      <w:bookmarkStart w:id="283" w:name="_Toc521943250"/>
      <w:bookmarkStart w:id="284" w:name="_Toc521497709"/>
      <w:bookmarkStart w:id="285" w:name="_Toc521501494"/>
      <w:bookmarkStart w:id="286" w:name="_Toc521935246"/>
      <w:bookmarkStart w:id="287" w:name="_Toc521941605"/>
      <w:bookmarkStart w:id="288" w:name="_Toc521943256"/>
      <w:bookmarkStart w:id="289" w:name="_Toc521497710"/>
      <w:bookmarkStart w:id="290" w:name="_Toc521501495"/>
      <w:bookmarkStart w:id="291" w:name="_Toc521935247"/>
      <w:bookmarkStart w:id="292" w:name="_Toc521941606"/>
      <w:bookmarkStart w:id="293" w:name="_Toc521943257"/>
      <w:bookmarkStart w:id="294" w:name="_Toc521497713"/>
      <w:bookmarkStart w:id="295" w:name="_Toc521501498"/>
      <w:bookmarkStart w:id="296" w:name="_Toc521935250"/>
      <w:bookmarkStart w:id="297" w:name="_Toc521941609"/>
      <w:bookmarkStart w:id="298" w:name="_Toc521943260"/>
      <w:bookmarkStart w:id="299" w:name="_Toc521497714"/>
      <w:bookmarkStart w:id="300" w:name="_Toc521501499"/>
      <w:bookmarkStart w:id="301" w:name="_Toc521935251"/>
      <w:bookmarkStart w:id="302" w:name="_Toc521941610"/>
      <w:bookmarkStart w:id="303" w:name="_Toc521943261"/>
      <w:bookmarkStart w:id="304" w:name="_Toc521497715"/>
      <w:bookmarkStart w:id="305" w:name="_Toc521501500"/>
      <w:bookmarkStart w:id="306" w:name="_Toc521935252"/>
      <w:bookmarkStart w:id="307" w:name="_Toc521941611"/>
      <w:bookmarkStart w:id="308" w:name="_Toc521943262"/>
      <w:bookmarkStart w:id="309" w:name="_Toc521497716"/>
      <w:bookmarkStart w:id="310" w:name="_Toc521501501"/>
      <w:bookmarkStart w:id="311" w:name="_Toc521935253"/>
      <w:bookmarkStart w:id="312" w:name="_Toc521941612"/>
      <w:bookmarkStart w:id="313" w:name="_Toc521943263"/>
      <w:bookmarkStart w:id="314" w:name="_Toc521497717"/>
      <w:bookmarkStart w:id="315" w:name="_Toc521501502"/>
      <w:bookmarkStart w:id="316" w:name="_Toc521935254"/>
      <w:bookmarkStart w:id="317" w:name="_Toc521941613"/>
      <w:bookmarkStart w:id="318" w:name="_Toc521943264"/>
      <w:bookmarkStart w:id="319" w:name="_Toc521497718"/>
      <w:bookmarkStart w:id="320" w:name="_Toc521501503"/>
      <w:bookmarkStart w:id="321" w:name="_Toc521935255"/>
      <w:bookmarkStart w:id="322" w:name="_Toc521941614"/>
      <w:bookmarkStart w:id="323" w:name="_Toc521943265"/>
      <w:bookmarkStart w:id="324" w:name="_Toc521497720"/>
      <w:bookmarkStart w:id="325" w:name="_Toc521501505"/>
      <w:bookmarkStart w:id="326" w:name="_Toc521935257"/>
      <w:bookmarkStart w:id="327" w:name="_Toc521941616"/>
      <w:bookmarkStart w:id="328" w:name="_Toc521943267"/>
      <w:bookmarkStart w:id="329" w:name="_Toc521497723"/>
      <w:bookmarkStart w:id="330" w:name="_Toc521501508"/>
      <w:bookmarkStart w:id="331" w:name="_Toc521935260"/>
      <w:bookmarkStart w:id="332" w:name="_Toc521941619"/>
      <w:bookmarkStart w:id="333" w:name="_Toc521943270"/>
      <w:bookmarkStart w:id="334" w:name="_Toc521497724"/>
      <w:bookmarkStart w:id="335" w:name="_Toc521501509"/>
      <w:bookmarkStart w:id="336" w:name="_Toc521935261"/>
      <w:bookmarkStart w:id="337" w:name="_Toc521941620"/>
      <w:bookmarkStart w:id="338" w:name="_Toc521943271"/>
      <w:bookmarkStart w:id="339" w:name="_Toc521497725"/>
      <w:bookmarkStart w:id="340" w:name="_Toc521501510"/>
      <w:bookmarkStart w:id="341" w:name="_Toc521935262"/>
      <w:bookmarkStart w:id="342" w:name="_Toc521941621"/>
      <w:bookmarkStart w:id="343" w:name="_Toc521943272"/>
      <w:bookmarkStart w:id="344" w:name="_Toc521497726"/>
      <w:bookmarkStart w:id="345" w:name="_Toc521501511"/>
      <w:bookmarkStart w:id="346" w:name="_Toc521935263"/>
      <w:bookmarkStart w:id="347" w:name="_Toc521941622"/>
      <w:bookmarkStart w:id="348" w:name="_Toc521943273"/>
      <w:bookmarkStart w:id="349" w:name="_Toc521497727"/>
      <w:bookmarkStart w:id="350" w:name="_Toc521501512"/>
      <w:bookmarkStart w:id="351" w:name="_Toc521935264"/>
      <w:bookmarkStart w:id="352" w:name="_Toc521941623"/>
      <w:bookmarkStart w:id="353" w:name="_Toc521943274"/>
      <w:bookmarkStart w:id="354" w:name="_Toc521497728"/>
      <w:bookmarkStart w:id="355" w:name="_Toc521501513"/>
      <w:bookmarkStart w:id="356" w:name="_Toc521935265"/>
      <w:bookmarkStart w:id="357" w:name="_Toc521941624"/>
      <w:bookmarkStart w:id="358" w:name="_Toc521943275"/>
      <w:bookmarkStart w:id="359" w:name="_Toc504063164"/>
      <w:bookmarkStart w:id="360" w:name="_Toc504388855"/>
      <w:bookmarkStart w:id="361" w:name="_Toc504401706"/>
      <w:bookmarkStart w:id="362" w:name="_Toc504649912"/>
      <w:bookmarkStart w:id="363" w:name="_Toc525897787"/>
      <w:bookmarkEnd w:id="1"/>
      <w:bookmarkEnd w:id="88"/>
      <w:bookmarkEnd w:id="89"/>
      <w:bookmarkEnd w:id="90"/>
      <w:bookmarkEnd w:id="91"/>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lastRenderedPageBreak/>
        <w:t>Objectives</w:t>
      </w:r>
      <w:bookmarkEnd w:id="359"/>
      <w:bookmarkEnd w:id="360"/>
      <w:bookmarkEnd w:id="361"/>
      <w:bookmarkEnd w:id="362"/>
      <w:bookmarkEnd w:id="363"/>
    </w:p>
    <w:p w:rsidR="00A157A5" w:rsidRDefault="00A157A5" w:rsidP="00A157A5">
      <w:pPr>
        <w:pStyle w:val="Heading2"/>
      </w:pPr>
      <w:bookmarkStart w:id="364" w:name="_Toc525897788"/>
      <w:bookmarkStart w:id="365" w:name="_Toc504063165"/>
      <w:bookmarkStart w:id="366" w:name="_Toc504388856"/>
      <w:bookmarkStart w:id="367" w:name="_Toc504401707"/>
      <w:bookmarkStart w:id="368" w:name="_Toc504649913"/>
      <w:r>
        <w:t xml:space="preserve">What are the objectives </w:t>
      </w:r>
      <w:r w:rsidR="00801837">
        <w:t>of the proposed regulatory change?</w:t>
      </w:r>
      <w:bookmarkEnd w:id="364"/>
    </w:p>
    <w:p w:rsidR="00A157A5" w:rsidRDefault="00A157A5" w:rsidP="00681E1A">
      <w:pPr>
        <w:pStyle w:val="EYBodytextwithparaspace"/>
        <w:spacing w:after="200"/>
      </w:pPr>
      <w:r>
        <w:t xml:space="preserve">The objective in addressing the need for </w:t>
      </w:r>
      <w:r w:rsidR="00387B75">
        <w:t>AACFs</w:t>
      </w:r>
      <w:r>
        <w:t xml:space="preserve"> relates to the appropriate and dignified access to suitable accessible sanitary facilities </w:t>
      </w:r>
      <w:r w:rsidR="0075025A">
        <w:t>for</w:t>
      </w:r>
      <w:r>
        <w:t xml:space="preserve"> people with a complex disability in new Class 6 shopping centres and </w:t>
      </w:r>
      <w:r w:rsidR="002070BB">
        <w:t xml:space="preserve">Class </w:t>
      </w:r>
      <w:r>
        <w:t>9b assembly buildings, and has the following overarching purpose</w:t>
      </w:r>
      <w:r w:rsidR="00FA726F">
        <w:t>:</w:t>
      </w:r>
    </w:p>
    <w:p w:rsidR="00A157A5" w:rsidRDefault="00A157A5" w:rsidP="00A157A5">
      <w:pPr>
        <w:pStyle w:val="EYBulletedText1"/>
      </w:pPr>
      <w:r>
        <w:t>To ensure an appropriate level of economic and social inclusion in new buildings</w:t>
      </w:r>
      <w:r w:rsidR="00FA726F">
        <w:t>,</w:t>
      </w:r>
      <w:r>
        <w:t xml:space="preserve"> for people with disability and their carers</w:t>
      </w:r>
      <w:r w:rsidR="00913206">
        <w:t>.</w:t>
      </w:r>
    </w:p>
    <w:p w:rsidR="00C87639" w:rsidRDefault="00A157A5" w:rsidP="009260BA">
      <w:pPr>
        <w:pStyle w:val="EYBulletedText1"/>
      </w:pPr>
      <w:r>
        <w:t xml:space="preserve">To ensure that the </w:t>
      </w:r>
      <w:r w:rsidR="00B24AB8">
        <w:t xml:space="preserve">Premises Standards and the </w:t>
      </w:r>
      <w:r w:rsidR="00387B75">
        <w:t>NCC</w:t>
      </w:r>
      <w:r>
        <w:t xml:space="preserve"> reflects the obligations expressed under the DDA and international obligations with respect to dignity, equality and independence.</w:t>
      </w:r>
    </w:p>
    <w:p w:rsidR="00C87639" w:rsidRDefault="00C87639">
      <w:pPr>
        <w:jc w:val="left"/>
        <w:rPr>
          <w:rFonts w:eastAsia="Times New Roman" w:cs="Arial"/>
          <w:szCs w:val="24"/>
        </w:rPr>
      </w:pPr>
      <w:r>
        <w:br w:type="page"/>
      </w:r>
    </w:p>
    <w:p w:rsidR="00A52252" w:rsidRDefault="003A071C" w:rsidP="002667A8">
      <w:pPr>
        <w:pStyle w:val="Heading1"/>
      </w:pPr>
      <w:bookmarkStart w:id="369" w:name="_Toc523149603"/>
      <w:bookmarkStart w:id="370" w:name="_Toc523151921"/>
      <w:bookmarkStart w:id="371" w:name="_Toc523152454"/>
      <w:bookmarkStart w:id="372" w:name="_Ref523152061"/>
      <w:bookmarkStart w:id="373" w:name="_Ref520816228"/>
      <w:bookmarkStart w:id="374" w:name="_Toc525897789"/>
      <w:bookmarkEnd w:id="369"/>
      <w:bookmarkEnd w:id="370"/>
      <w:bookmarkEnd w:id="371"/>
      <w:r>
        <w:lastRenderedPageBreak/>
        <w:t>O</w:t>
      </w:r>
      <w:r w:rsidR="00A52252">
        <w:t>ptions for addressing the problem</w:t>
      </w:r>
      <w:bookmarkEnd w:id="365"/>
      <w:bookmarkEnd w:id="366"/>
      <w:bookmarkEnd w:id="367"/>
      <w:bookmarkEnd w:id="368"/>
      <w:bookmarkEnd w:id="372"/>
      <w:bookmarkEnd w:id="373"/>
      <w:bookmarkEnd w:id="374"/>
    </w:p>
    <w:p w:rsidR="00083C84" w:rsidRPr="00AA5B35" w:rsidRDefault="00083C84" w:rsidP="00B508EB">
      <w:pPr>
        <w:pStyle w:val="EYBodytextwithparaspace"/>
      </w:pPr>
      <w:r>
        <w:t>There are three options</w:t>
      </w:r>
      <w:r w:rsidR="00BC2071">
        <w:t xml:space="preserve"> for addressing the problem</w:t>
      </w:r>
      <w:r>
        <w:t>. These options are as follows:</w:t>
      </w:r>
    </w:p>
    <w:p w:rsidR="00A52252" w:rsidRDefault="00083C84" w:rsidP="00C40CAE">
      <w:pPr>
        <w:pStyle w:val="EYBulletnoparaspace"/>
      </w:pPr>
      <w:r>
        <w:t>The Status Q</w:t>
      </w:r>
      <w:r w:rsidR="00A52252">
        <w:t>uo</w:t>
      </w:r>
      <w:r w:rsidR="007C69BF">
        <w:t>.</w:t>
      </w:r>
    </w:p>
    <w:p w:rsidR="00A52252" w:rsidRDefault="00083C84" w:rsidP="00C40CAE">
      <w:pPr>
        <w:pStyle w:val="EYBulletnoparaspace"/>
      </w:pPr>
      <w:r>
        <w:t>Non-R</w:t>
      </w:r>
      <w:r w:rsidR="00A52252">
        <w:t>egulatory</w:t>
      </w:r>
      <w:r>
        <w:t xml:space="preserve"> Option</w:t>
      </w:r>
      <w:r w:rsidR="007C69BF">
        <w:t>.</w:t>
      </w:r>
    </w:p>
    <w:p w:rsidR="00A52252" w:rsidRDefault="00A52252" w:rsidP="00C40CAE">
      <w:pPr>
        <w:pStyle w:val="EYBulletnoparaspace"/>
      </w:pPr>
      <w:r>
        <w:t>Regulatory</w:t>
      </w:r>
      <w:r w:rsidR="00083C84">
        <w:t xml:space="preserve"> Option</w:t>
      </w:r>
      <w:r w:rsidR="007C69BF">
        <w:t>.</w:t>
      </w:r>
    </w:p>
    <w:p w:rsidR="00083C84" w:rsidRPr="00083C84" w:rsidRDefault="00083C84" w:rsidP="00B508EB">
      <w:pPr>
        <w:pStyle w:val="Heading2"/>
      </w:pPr>
      <w:bookmarkStart w:id="375" w:name="_Ref505348057"/>
      <w:bookmarkStart w:id="376" w:name="_Toc525897790"/>
      <w:r w:rsidRPr="00083C84">
        <w:t>The Status Quo</w:t>
      </w:r>
      <w:bookmarkEnd w:id="375"/>
      <w:bookmarkEnd w:id="376"/>
    </w:p>
    <w:p w:rsidR="00010D46" w:rsidRDefault="00010D46" w:rsidP="009260BA">
      <w:pPr>
        <w:pStyle w:val="EYBodytextwithparaspace"/>
      </w:pPr>
      <w:r>
        <w:t>Under the 'status quo', or business as usual option</w:t>
      </w:r>
      <w:r w:rsidR="00A71B53">
        <w:t>,</w:t>
      </w:r>
      <w:r>
        <w:t xml:space="preserve"> </w:t>
      </w:r>
      <w:r w:rsidR="00A71B53">
        <w:t>n</w:t>
      </w:r>
      <w:r>
        <w:t xml:space="preserve">o change would be made to either the Premises Standards or the NCC, and no new non-regulatory initiatives would be commenced to encourage the provision of </w:t>
      </w:r>
      <w:r w:rsidR="002D7A82">
        <w:t>AACFs</w:t>
      </w:r>
      <w:r>
        <w:t xml:space="preserve"> in public buildings. </w:t>
      </w:r>
    </w:p>
    <w:p w:rsidR="00010D46" w:rsidRDefault="00010D46" w:rsidP="009260BA">
      <w:pPr>
        <w:pStyle w:val="EYBodytextwithparaspace"/>
      </w:pPr>
      <w:r>
        <w:t xml:space="preserve">Existing non-regulatory initiatives would be assumed to continue, with the number of </w:t>
      </w:r>
      <w:r w:rsidR="002D7A82">
        <w:t>AACFs</w:t>
      </w:r>
      <w:r>
        <w:t xml:space="preserve"> being built continuing at the current rate, based on the information below</w:t>
      </w:r>
      <w:r w:rsidR="00C90DA0">
        <w:t>.</w:t>
      </w:r>
    </w:p>
    <w:p w:rsidR="00010D46" w:rsidRDefault="00010D46" w:rsidP="00681E1A">
      <w:pPr>
        <w:pStyle w:val="EYBodytextwithparaspace"/>
        <w:spacing w:after="200"/>
      </w:pPr>
      <w:r>
        <w:t xml:space="preserve">In Australia, Victoria, Western Australia, South Australia, and NSW offer funding to support the construction of </w:t>
      </w:r>
      <w:r w:rsidR="002D7A82">
        <w:t>AACFs</w:t>
      </w:r>
      <w:r>
        <w:t xml:space="preserve">, as follows: </w:t>
      </w:r>
    </w:p>
    <w:p w:rsidR="00FD6A57" w:rsidRDefault="00010D46" w:rsidP="009260BA">
      <w:pPr>
        <w:pStyle w:val="EYBulletedText1"/>
      </w:pPr>
      <w:r w:rsidRPr="00010D46">
        <w:rPr>
          <w:b/>
        </w:rPr>
        <w:t>Victoria</w:t>
      </w:r>
      <w:r w:rsidRPr="00042590">
        <w:rPr>
          <w:b/>
        </w:rPr>
        <w:t xml:space="preserve">: </w:t>
      </w:r>
      <w:r>
        <w:t>The Victorian Government</w:t>
      </w:r>
      <w:r w:rsidRPr="00791DED">
        <w:t xml:space="preserve"> provides up to $100,000 in funding to support not-for-profit organisations and/or local government authorities to construct Changing Places facilities.</w:t>
      </w:r>
      <w:r w:rsidRPr="00C133AC">
        <w:rPr>
          <w:rStyle w:val="FootnoteReference"/>
          <w:sz w:val="24"/>
          <w:szCs w:val="24"/>
        </w:rPr>
        <w:footnoteReference w:id="40"/>
      </w:r>
      <w:r w:rsidRPr="007C0ED5">
        <w:rPr>
          <w:rStyle w:val="FootnoteReference"/>
          <w:sz w:val="24"/>
          <w:szCs w:val="24"/>
        </w:rPr>
        <w:t xml:space="preserve"> </w:t>
      </w:r>
      <w:r w:rsidR="00FD6A57">
        <w:t>When the cu</w:t>
      </w:r>
      <w:r w:rsidR="00EB0F5C">
        <w:t>rrent funding round is complete</w:t>
      </w:r>
      <w:r w:rsidR="00FD6A57">
        <w:t>, there will be a network of 32 Victorian Government funded Changing Places facilities state</w:t>
      </w:r>
      <w:r w:rsidR="00DD33C5">
        <w:t xml:space="preserve"> </w:t>
      </w:r>
      <w:r w:rsidR="00FD6A57">
        <w:t>wide</w:t>
      </w:r>
      <w:r w:rsidR="006868D4">
        <w:t xml:space="preserve"> with a total of 52 </w:t>
      </w:r>
      <w:r w:rsidR="00326394">
        <w:t>AACFs</w:t>
      </w:r>
      <w:r w:rsidR="006868D4">
        <w:t xml:space="preserve"> in Victoria as of August 2017 (refer to </w:t>
      </w:r>
      <w:r w:rsidR="009729AB">
        <w:fldChar w:fldCharType="begin"/>
      </w:r>
      <w:r w:rsidR="009729AB">
        <w:instrText xml:space="preserve"> REF _Ref523134505 \h </w:instrText>
      </w:r>
      <w:r w:rsidR="009729AB">
        <w:fldChar w:fldCharType="separate"/>
      </w:r>
      <w:r w:rsidR="00910A73">
        <w:t xml:space="preserve">Figure </w:t>
      </w:r>
      <w:r w:rsidR="00910A73">
        <w:rPr>
          <w:noProof/>
        </w:rPr>
        <w:t>2</w:t>
      </w:r>
      <w:r w:rsidR="00910A73">
        <w:noBreakHyphen/>
      </w:r>
      <w:r w:rsidR="00910A73">
        <w:rPr>
          <w:noProof/>
        </w:rPr>
        <w:t>1</w:t>
      </w:r>
      <w:r w:rsidR="009729AB">
        <w:fldChar w:fldCharType="end"/>
      </w:r>
      <w:r w:rsidR="006868D4">
        <w:t>)</w:t>
      </w:r>
      <w:r w:rsidR="00FD6A57">
        <w:t>.</w:t>
      </w:r>
      <w:r w:rsidR="00FD6A57" w:rsidRPr="00C133AC">
        <w:rPr>
          <w:rStyle w:val="FootnoteReference"/>
          <w:sz w:val="24"/>
          <w:szCs w:val="24"/>
        </w:rPr>
        <w:footnoteReference w:id="41"/>
      </w:r>
      <w:r w:rsidR="00FD6A57">
        <w:t xml:space="preserve"> </w:t>
      </w:r>
    </w:p>
    <w:p w:rsidR="00010D46" w:rsidRPr="00BE1DFA" w:rsidRDefault="00010D46" w:rsidP="009260BA">
      <w:pPr>
        <w:pStyle w:val="EYBulletedText1"/>
      </w:pPr>
      <w:r w:rsidRPr="00010D46">
        <w:rPr>
          <w:b/>
        </w:rPr>
        <w:t>Western Australia:</w:t>
      </w:r>
      <w:r w:rsidRPr="00BE1DFA">
        <w:rPr>
          <w:b/>
        </w:rPr>
        <w:t xml:space="preserve"> </w:t>
      </w:r>
      <w:r w:rsidRPr="00BE1DFA">
        <w:t xml:space="preserve">In May 2015, the Western Australian Government committed $2 million to support local governments </w:t>
      </w:r>
      <w:r w:rsidR="00FA726F">
        <w:t xml:space="preserve">to </w:t>
      </w:r>
      <w:r w:rsidRPr="00BE1DFA">
        <w:t>establish a network of Changing Places across the State. In January 2016, the City of Geraldton was the first local government in Western Australia to open a Changing Places facility</w:t>
      </w:r>
      <w:r w:rsidR="00623065" w:rsidRPr="00BE1DFA">
        <w:t>.</w:t>
      </w:r>
      <w:r w:rsidRPr="005C0583">
        <w:rPr>
          <w:vertAlign w:val="superscript"/>
        </w:rPr>
        <w:footnoteReference w:id="42"/>
      </w:r>
      <w:r w:rsidRPr="00BE1DFA">
        <w:t xml:space="preserve"> </w:t>
      </w:r>
    </w:p>
    <w:p w:rsidR="00010D46" w:rsidRPr="009260BA" w:rsidRDefault="00010D46" w:rsidP="009260BA">
      <w:pPr>
        <w:pStyle w:val="EYBulletedText1"/>
      </w:pPr>
      <w:r w:rsidRPr="00010D46">
        <w:rPr>
          <w:b/>
        </w:rPr>
        <w:t>South Australia:</w:t>
      </w:r>
      <w:r>
        <w:t xml:space="preserve"> </w:t>
      </w:r>
      <w:r w:rsidRPr="00791DED">
        <w:t xml:space="preserve">South Australia’s 2017-18 Budget announced $200,000 to fund partnerships to build five Changing Places </w:t>
      </w:r>
      <w:r w:rsidR="00FF17D5">
        <w:t>faciliti</w:t>
      </w:r>
      <w:r w:rsidR="00FF17D5" w:rsidRPr="00791DED">
        <w:t>es</w:t>
      </w:r>
      <w:r w:rsidRPr="00791DED">
        <w:t>.</w:t>
      </w:r>
      <w:r w:rsidR="00E5700E" w:rsidRPr="00C133AC">
        <w:rPr>
          <w:rStyle w:val="FootnoteReference"/>
          <w:sz w:val="24"/>
          <w:szCs w:val="24"/>
        </w:rPr>
        <w:footnoteReference w:id="43"/>
      </w:r>
      <w:r w:rsidRPr="00791DED">
        <w:t xml:space="preserve"> </w:t>
      </w:r>
    </w:p>
    <w:p w:rsidR="00010D46" w:rsidRPr="009260BA" w:rsidRDefault="00010D46" w:rsidP="009260BA">
      <w:pPr>
        <w:pStyle w:val="EYBulletedText1"/>
      </w:pPr>
      <w:r w:rsidRPr="00010D46">
        <w:rPr>
          <w:b/>
        </w:rPr>
        <w:t>New South Wales:</w:t>
      </w:r>
      <w:r w:rsidRPr="009260BA">
        <w:t xml:space="preserve"> </w:t>
      </w:r>
      <w:r w:rsidRPr="00791DED">
        <w:t xml:space="preserve">NSW is running a Lift </w:t>
      </w:r>
      <w:r w:rsidR="00FA726F">
        <w:t>&amp;</w:t>
      </w:r>
      <w:r w:rsidR="00FA726F" w:rsidRPr="00791DED">
        <w:t xml:space="preserve"> </w:t>
      </w:r>
      <w:r w:rsidRPr="00791DED">
        <w:t xml:space="preserve">Change Facilities Trial in partnership with local governments to promote the benefits of Lift </w:t>
      </w:r>
      <w:r w:rsidR="00FA726F">
        <w:t>&amp;</w:t>
      </w:r>
      <w:r w:rsidR="00FA726F" w:rsidRPr="00791DED">
        <w:t xml:space="preserve"> </w:t>
      </w:r>
      <w:r w:rsidRPr="00791DED">
        <w:t xml:space="preserve">Change facilities, </w:t>
      </w:r>
      <w:r w:rsidR="00CE74AD">
        <w:t xml:space="preserve">and contributing </w:t>
      </w:r>
      <w:r w:rsidRPr="00791DED">
        <w:t xml:space="preserve">a co-contribution of up to $35,000 to provide these facilities in local communities. </w:t>
      </w:r>
    </w:p>
    <w:p w:rsidR="00010D46" w:rsidRPr="00BE1DFA" w:rsidRDefault="00010D46" w:rsidP="00BE1DFA">
      <w:pPr>
        <w:pStyle w:val="EYBulletedText1"/>
        <w:rPr>
          <w:rStyle w:val="FootnoteReference"/>
          <w:sz w:val="24"/>
          <w:szCs w:val="24"/>
          <w:vertAlign w:val="baseline"/>
        </w:rPr>
      </w:pPr>
      <w:r w:rsidRPr="00BE1DFA">
        <w:rPr>
          <w:b/>
        </w:rPr>
        <w:t>Queensland</w:t>
      </w:r>
      <w:r w:rsidRPr="00AF12A7">
        <w:rPr>
          <w:b/>
        </w:rPr>
        <w:t>:</w:t>
      </w:r>
      <w:r w:rsidRPr="00BE1DFA">
        <w:t xml:space="preserve"> Brisbane City Council has also updated its ‘Public Toilet Design Guidelines’ to reflect the demand for Changing Places facilities</w:t>
      </w:r>
      <w:r w:rsidR="00623065" w:rsidRPr="00BE1DFA">
        <w:t>.</w:t>
      </w:r>
      <w:r w:rsidRPr="00FA726F">
        <w:rPr>
          <w:rStyle w:val="FootnoteReference"/>
          <w:sz w:val="24"/>
          <w:szCs w:val="24"/>
        </w:rPr>
        <w:footnoteReference w:id="44"/>
      </w:r>
    </w:p>
    <w:p w:rsidR="00623065" w:rsidRDefault="00010D46" w:rsidP="009260BA">
      <w:pPr>
        <w:pStyle w:val="EYBodytextwithparaspace"/>
      </w:pPr>
      <w:r>
        <w:lastRenderedPageBreak/>
        <w:t>The status quo will be regarded as a baseline from which the incremental impacts of the different options will be assessed.</w:t>
      </w:r>
      <w:r w:rsidR="00623065" w:rsidRPr="00C133AC">
        <w:rPr>
          <w:rStyle w:val="FootnoteReference"/>
          <w:sz w:val="24"/>
          <w:szCs w:val="24"/>
        </w:rPr>
        <w:footnoteReference w:id="45"/>
      </w:r>
      <w:r w:rsidRPr="00CB2B1C">
        <w:t xml:space="preserve"> </w:t>
      </w:r>
    </w:p>
    <w:p w:rsidR="00010D46" w:rsidRDefault="00010D46" w:rsidP="009260BA">
      <w:pPr>
        <w:pStyle w:val="EYBodytextwithparaspace"/>
      </w:pPr>
      <w:r>
        <w:t xml:space="preserve">Where the incremental impacts of other options would result in more costs than benefits, or would be ineffective in addressing the problem or achieving the objectives, the </w:t>
      </w:r>
      <w:r w:rsidR="00350C80">
        <w:t xml:space="preserve">Final </w:t>
      </w:r>
      <w:r>
        <w:t>RIS will conclude in favour of retaining the status quo.</w:t>
      </w:r>
    </w:p>
    <w:p w:rsidR="00083C84" w:rsidRPr="00083C84" w:rsidRDefault="00083C84" w:rsidP="00B10E5B">
      <w:pPr>
        <w:pStyle w:val="Heading2"/>
      </w:pPr>
      <w:bookmarkStart w:id="377" w:name="_Toc525897791"/>
      <w:r w:rsidRPr="00083C84">
        <w:t>Non-Regulatory Option</w:t>
      </w:r>
      <w:bookmarkEnd w:id="377"/>
    </w:p>
    <w:p w:rsidR="00042590" w:rsidRDefault="00083C84" w:rsidP="00CD68E8">
      <w:pPr>
        <w:pStyle w:val="EYBodytextwithparaspace"/>
      </w:pPr>
      <w:r>
        <w:t xml:space="preserve">The non-regulatory option considers how stated objectives can be achieved </w:t>
      </w:r>
      <w:r w:rsidR="00E5700E">
        <w:t xml:space="preserve">in the absence of </w:t>
      </w:r>
      <w:r w:rsidR="003F3461">
        <w:t>regulation</w:t>
      </w:r>
      <w:r>
        <w:t xml:space="preserve">. This may include financial incentives, such as grants, or recommendations that build on existing market incentives to build </w:t>
      </w:r>
      <w:r w:rsidR="00326394">
        <w:t>AACFs</w:t>
      </w:r>
      <w:r w:rsidR="00042590">
        <w:t>, in addition to those that are alrea</w:t>
      </w:r>
      <w:r w:rsidR="00FB0C6B">
        <w:t>dy in operation</w:t>
      </w:r>
      <w:r>
        <w:t xml:space="preserve">.  </w:t>
      </w:r>
    </w:p>
    <w:p w:rsidR="00042590" w:rsidRDefault="00042590" w:rsidP="00681E1A">
      <w:pPr>
        <w:pStyle w:val="EYBodytextwithparaspace"/>
        <w:spacing w:after="200"/>
      </w:pPr>
      <w:r>
        <w:t>Other possibilities under the non-regulatory approach could include:</w:t>
      </w:r>
    </w:p>
    <w:p w:rsidR="00042590" w:rsidRDefault="00042590" w:rsidP="009260BA">
      <w:pPr>
        <w:pStyle w:val="EYBulletedText1"/>
      </w:pPr>
      <w:r>
        <w:t>A</w:t>
      </w:r>
      <w:r w:rsidRPr="00D3198F">
        <w:t xml:space="preserve"> </w:t>
      </w:r>
      <w:r>
        <w:t xml:space="preserve">national </w:t>
      </w:r>
      <w:r w:rsidRPr="00D3198F">
        <w:t xml:space="preserve">grant scheme </w:t>
      </w:r>
      <w:r>
        <w:t xml:space="preserve">or </w:t>
      </w:r>
      <w:r w:rsidRPr="00D3198F">
        <w:t xml:space="preserve">other </w:t>
      </w:r>
      <w:r w:rsidR="00CE74AD">
        <w:t xml:space="preserve">mechanism </w:t>
      </w:r>
      <w:r w:rsidRPr="00D3198F">
        <w:t xml:space="preserve">to support the construction of </w:t>
      </w:r>
      <w:r w:rsidR="002D7A82">
        <w:t>AACFs</w:t>
      </w:r>
      <w:r w:rsidRPr="00D3198F">
        <w:t xml:space="preserve">. </w:t>
      </w:r>
    </w:p>
    <w:p w:rsidR="00042590" w:rsidRPr="003F3D89" w:rsidRDefault="00042590" w:rsidP="009260BA">
      <w:pPr>
        <w:pStyle w:val="EYBulletedText1"/>
      </w:pPr>
      <w:r>
        <w:t>P</w:t>
      </w:r>
      <w:r w:rsidRPr="00DA7856">
        <w:t xml:space="preserve">ublication of </w:t>
      </w:r>
      <w:r>
        <w:t>a guidance document</w:t>
      </w:r>
      <w:r w:rsidRPr="00DA7856">
        <w:t xml:space="preserve"> </w:t>
      </w:r>
      <w:r>
        <w:t xml:space="preserve">(for example an ABCB </w:t>
      </w:r>
      <w:r w:rsidR="00326394">
        <w:t>h</w:t>
      </w:r>
      <w:r>
        <w:t xml:space="preserve">andbook) </w:t>
      </w:r>
      <w:r w:rsidRPr="00DA7856">
        <w:t>that outline</w:t>
      </w:r>
      <w:r>
        <w:t>s</w:t>
      </w:r>
      <w:r w:rsidRPr="00DA7856">
        <w:t xml:space="preserve"> how an </w:t>
      </w:r>
      <w:r w:rsidR="00667694">
        <w:t>AACF</w:t>
      </w:r>
      <w:r w:rsidRPr="00DA7856">
        <w:t xml:space="preserve"> should be constructed, should a building owner elect to do so.</w:t>
      </w:r>
      <w:r>
        <w:t xml:space="preserve"> </w:t>
      </w:r>
      <w:r w:rsidRPr="003F3D89">
        <w:t>Alternative</w:t>
      </w:r>
      <w:r>
        <w:t>ly,</w:t>
      </w:r>
      <w:r w:rsidRPr="003F3D89">
        <w:t xml:space="preserve"> governments </w:t>
      </w:r>
      <w:r>
        <w:t>could</w:t>
      </w:r>
      <w:r w:rsidRPr="003F3D89">
        <w:t xml:space="preserve"> endorse an existing publication, such as the Cha</w:t>
      </w:r>
      <w:r>
        <w:t>nging Places Technical Standard, which may increase its reach and uptake.</w:t>
      </w:r>
    </w:p>
    <w:p w:rsidR="00042590" w:rsidRDefault="00042590" w:rsidP="00042590">
      <w:pPr>
        <w:pStyle w:val="EYBodytextwithparaspace"/>
      </w:pPr>
      <w:r>
        <w:t xml:space="preserve">Of all Australian </w:t>
      </w:r>
      <w:r w:rsidR="00CD68E8">
        <w:t>States and T</w:t>
      </w:r>
      <w:r>
        <w:t xml:space="preserve">erritories it is clear that Victoria is the most advanced at promoting </w:t>
      </w:r>
      <w:r w:rsidR="00CD68E8">
        <w:t>AACFs</w:t>
      </w:r>
      <w:r>
        <w:t xml:space="preserve">. Analysis of this option assumes that, as is the case with Victoria, some form of financial grant or incentive is provided by government to building owners to construct </w:t>
      </w:r>
      <w:r w:rsidR="002D7A82">
        <w:t>AACFs</w:t>
      </w:r>
      <w:r>
        <w:t xml:space="preserve"> in order to facilitate </w:t>
      </w:r>
      <w:r w:rsidR="002070BB">
        <w:t>a continuous rate of</w:t>
      </w:r>
      <w:r>
        <w:t xml:space="preserve"> uptake. </w:t>
      </w:r>
    </w:p>
    <w:p w:rsidR="00042590" w:rsidRDefault="00042590" w:rsidP="00AF5A0B">
      <w:pPr>
        <w:pStyle w:val="EYBodytextwithparaspace"/>
      </w:pPr>
      <w:r>
        <w:t>Refer to</w:t>
      </w:r>
      <w:r w:rsidR="008276E7">
        <w:t xml:space="preserve"> </w:t>
      </w:r>
      <w:r w:rsidR="008276E7">
        <w:fldChar w:fldCharType="begin"/>
      </w:r>
      <w:r w:rsidR="008276E7">
        <w:instrText xml:space="preserve"> REF _Ref521486349 \h </w:instrText>
      </w:r>
      <w:r w:rsidR="008276E7">
        <w:fldChar w:fldCharType="separate"/>
      </w:r>
      <w:r w:rsidR="00910A73" w:rsidRPr="0036126D">
        <w:t xml:space="preserve">Table </w:t>
      </w:r>
      <w:r w:rsidR="00910A73">
        <w:rPr>
          <w:noProof/>
        </w:rPr>
        <w:t>7</w:t>
      </w:r>
      <w:r w:rsidR="00910A73">
        <w:noBreakHyphen/>
      </w:r>
      <w:r w:rsidR="00910A73">
        <w:rPr>
          <w:noProof/>
        </w:rPr>
        <w:t>5</w:t>
      </w:r>
      <w:r w:rsidR="008276E7">
        <w:fldChar w:fldCharType="end"/>
      </w:r>
      <w:r>
        <w:t xml:space="preserve"> for the modelling results for the non-regulatory scenario.</w:t>
      </w:r>
    </w:p>
    <w:p w:rsidR="00083C84" w:rsidRDefault="00083C84" w:rsidP="00B10E5B">
      <w:pPr>
        <w:pStyle w:val="Heading3"/>
      </w:pPr>
      <w:r w:rsidRPr="00083C84">
        <w:t>Regulatory Option</w:t>
      </w:r>
    </w:p>
    <w:p w:rsidR="00042590" w:rsidRPr="005C6A67" w:rsidRDefault="00042590" w:rsidP="005C6A67">
      <w:pPr>
        <w:pStyle w:val="EYBodytextwithparaspace"/>
      </w:pPr>
      <w:r w:rsidRPr="005C6A67">
        <w:t>The regulatory option</w:t>
      </w:r>
      <w:r w:rsidR="005C6A67" w:rsidRPr="005C6A67">
        <w:t xml:space="preserve">, which involves amending </w:t>
      </w:r>
      <w:r w:rsidR="00CE74AD">
        <w:t xml:space="preserve">the Premises Standard and </w:t>
      </w:r>
      <w:r w:rsidR="005C6A67" w:rsidRPr="005C6A67">
        <w:t xml:space="preserve">the NCC </w:t>
      </w:r>
      <w:r w:rsidR="00CE74AD">
        <w:t xml:space="preserve">to </w:t>
      </w:r>
      <w:r w:rsidR="005C6A67" w:rsidRPr="005C6A67">
        <w:t xml:space="preserve">mandate the provision of AACFs in Cass 6 shopping centres and </w:t>
      </w:r>
      <w:r w:rsidR="006B28B8">
        <w:t>Class 9b</w:t>
      </w:r>
      <w:r w:rsidR="005C6A67" w:rsidRPr="005C6A67">
        <w:t xml:space="preserve"> assembly buildings,</w:t>
      </w:r>
      <w:r w:rsidRPr="005C6A67">
        <w:t xml:space="preserve"> has a number of variations, or sub-options, all of which </w:t>
      </w:r>
      <w:r w:rsidR="00CA4E6F">
        <w:t xml:space="preserve">were </w:t>
      </w:r>
      <w:r w:rsidR="009F5301">
        <w:t>canvased</w:t>
      </w:r>
      <w:r w:rsidR="009F5301" w:rsidRPr="005C6A67">
        <w:t xml:space="preserve"> </w:t>
      </w:r>
      <w:r w:rsidR="009F5301">
        <w:t>at</w:t>
      </w:r>
      <w:r w:rsidRPr="005C6A67">
        <w:t xml:space="preserve"> consultation.</w:t>
      </w:r>
    </w:p>
    <w:p w:rsidR="008F164B" w:rsidRDefault="008F164B" w:rsidP="00681E1A">
      <w:pPr>
        <w:pStyle w:val="EYBodytextwithparaspace"/>
        <w:spacing w:after="200"/>
      </w:pPr>
      <w:r w:rsidRPr="00E856D3">
        <w:t xml:space="preserve">The modelling and analysis provided </w:t>
      </w:r>
      <w:r w:rsidR="00E856D3" w:rsidRPr="006117C6">
        <w:t>throughout this</w:t>
      </w:r>
      <w:r w:rsidR="002855A1" w:rsidRPr="00E856D3">
        <w:t xml:space="preserve"> RIS </w:t>
      </w:r>
      <w:r w:rsidRPr="00E856D3">
        <w:t>consider</w:t>
      </w:r>
      <w:r w:rsidR="00E856D3" w:rsidRPr="006117C6">
        <w:t>s</w:t>
      </w:r>
      <w:r w:rsidRPr="00E856D3">
        <w:t xml:space="preserve"> </w:t>
      </w:r>
      <w:r w:rsidR="009F5301" w:rsidRPr="00E856D3">
        <w:t>t</w:t>
      </w:r>
      <w:r w:rsidR="009F5301">
        <w:t>hree</w:t>
      </w:r>
      <w:r w:rsidR="009F5301" w:rsidRPr="00E856D3">
        <w:t xml:space="preserve"> </w:t>
      </w:r>
      <w:r w:rsidRPr="00E856D3">
        <w:t>discrete regulatory sub-options</w:t>
      </w:r>
      <w:r w:rsidRPr="00400A05">
        <w:t>:</w:t>
      </w:r>
    </w:p>
    <w:p w:rsidR="002070BB" w:rsidRPr="007722EE" w:rsidRDefault="002070BB" w:rsidP="00C40CAE">
      <w:pPr>
        <w:pStyle w:val="EYBulletedText1"/>
      </w:pPr>
      <w:r w:rsidRPr="007722EE">
        <w:t>Option A, which is intended as minimum necessary specification AACFs that are assumed to be co-located with SASFs</w:t>
      </w:r>
      <w:r w:rsidR="00641B84">
        <w:t>.</w:t>
      </w:r>
      <w:r w:rsidRPr="007722EE">
        <w:t xml:space="preserve"> </w:t>
      </w:r>
    </w:p>
    <w:p w:rsidR="002070BB" w:rsidRPr="007722EE" w:rsidRDefault="002070BB" w:rsidP="00C40CAE">
      <w:pPr>
        <w:pStyle w:val="EYBulletedText1"/>
      </w:pPr>
      <w:r w:rsidRPr="007722EE">
        <w:t>Option B, which is intended as minimum necessary specification AACFs that are assumed to be a separate facility from SASFs</w:t>
      </w:r>
      <w:r w:rsidR="00641B84">
        <w:t>.</w:t>
      </w:r>
    </w:p>
    <w:p w:rsidR="002070BB" w:rsidRPr="007722EE" w:rsidRDefault="002070BB" w:rsidP="00C40CAE">
      <w:pPr>
        <w:pStyle w:val="EYBulletedText1"/>
      </w:pPr>
      <w:r w:rsidRPr="007722EE">
        <w:lastRenderedPageBreak/>
        <w:t>Option C, which is fully conforming Changing Places / Lift &amp; Change specification.</w:t>
      </w:r>
    </w:p>
    <w:p w:rsidR="005A7761" w:rsidRDefault="009F5301" w:rsidP="00B10E5B">
      <w:pPr>
        <w:pStyle w:val="EYBodytextwithparaspace"/>
      </w:pPr>
      <w:r w:rsidRPr="007722EE">
        <w:t xml:space="preserve">However, </w:t>
      </w:r>
      <w:r w:rsidR="00E856D3" w:rsidRPr="007722EE">
        <w:t>feedback</w:t>
      </w:r>
      <w:r w:rsidRPr="007722EE">
        <w:t xml:space="preserve"> on the analysis</w:t>
      </w:r>
      <w:r w:rsidR="00E856D3" w:rsidRPr="007722EE">
        <w:t xml:space="preserve"> was unanimous in the view that the option mandated </w:t>
      </w:r>
      <w:r w:rsidRPr="007722EE">
        <w:t>through</w:t>
      </w:r>
      <w:r w:rsidR="00E856D3" w:rsidRPr="007722EE">
        <w:t xml:space="preserve"> regulation should be the minimum necessary specification option. A further concern raised in relation to the Changing Places </w:t>
      </w:r>
      <w:r w:rsidRPr="007722EE">
        <w:t>specification (Option B</w:t>
      </w:r>
      <w:r w:rsidR="00F7191B" w:rsidRPr="007722EE">
        <w:t xml:space="preserve"> of the Consultation RIS</w:t>
      </w:r>
      <w:r w:rsidR="001856A0" w:rsidRPr="007722EE">
        <w:t xml:space="preserve"> and Option C of the Final RIS</w:t>
      </w:r>
      <w:r w:rsidR="007E4827">
        <w:t>)</w:t>
      </w:r>
      <w:r w:rsidR="00E856D3" w:rsidRPr="007722EE">
        <w:t xml:space="preserve"> to install a peninsula toilet, which is not </w:t>
      </w:r>
      <w:r w:rsidRPr="007722EE">
        <w:t xml:space="preserve">considered </w:t>
      </w:r>
      <w:r w:rsidR="00E856D3" w:rsidRPr="007722EE">
        <w:t>accessible by several members of the disab</w:t>
      </w:r>
      <w:r w:rsidR="00326394">
        <w:t>i</w:t>
      </w:r>
      <w:r w:rsidR="00E856D3" w:rsidRPr="007722EE">
        <w:t>l</w:t>
      </w:r>
      <w:r w:rsidR="00326394">
        <w:t>ity</w:t>
      </w:r>
      <w:r w:rsidR="00E856D3" w:rsidRPr="007722EE">
        <w:t xml:space="preserve"> community. </w:t>
      </w:r>
      <w:r w:rsidRPr="007722EE">
        <w:t xml:space="preserve">Under </w:t>
      </w:r>
      <w:r w:rsidR="00E856D3" w:rsidRPr="007722EE">
        <w:t>Option A</w:t>
      </w:r>
      <w:r w:rsidR="001856A0" w:rsidRPr="007722EE">
        <w:t xml:space="preserve"> and B of the Final RIS</w:t>
      </w:r>
      <w:r w:rsidRPr="007722EE">
        <w:t>,</w:t>
      </w:r>
      <w:r w:rsidR="00E856D3" w:rsidRPr="007722EE">
        <w:t xml:space="preserve"> a peninsula toilet</w:t>
      </w:r>
      <w:r w:rsidRPr="007722EE">
        <w:t xml:space="preserve"> is not a component of the specification, so as to</w:t>
      </w:r>
      <w:r w:rsidR="00E856D3" w:rsidRPr="007722EE">
        <w:t xml:space="preserve"> alleviate these concerns.</w:t>
      </w:r>
    </w:p>
    <w:p w:rsidR="001856A0" w:rsidRDefault="001856A0" w:rsidP="00B10E5B">
      <w:pPr>
        <w:pStyle w:val="EYBodytextwithparaspace"/>
      </w:pPr>
      <w:r>
        <w:t xml:space="preserve">In relation to the co-location versus separate issue, </w:t>
      </w:r>
      <w:r w:rsidR="0080638A">
        <w:t>several</w:t>
      </w:r>
      <w:r>
        <w:t xml:space="preserve"> stakeholders raised a preference for the co-</w:t>
      </w:r>
      <w:r w:rsidR="0080638A">
        <w:t>location</w:t>
      </w:r>
      <w:r>
        <w:t xml:space="preserve"> option.</w:t>
      </w:r>
      <w:r w:rsidR="009A242D">
        <w:t xml:space="preserve"> This caused a shift in focus relative to the Consultation RIS, where the separate option was considered the preferred option. The reasons for this change in focus are described in </w:t>
      </w:r>
      <w:r w:rsidR="00F63056">
        <w:t>S</w:t>
      </w:r>
      <w:r w:rsidR="009A242D">
        <w:t>ection</w:t>
      </w:r>
      <w:r w:rsidR="00CB2B1C">
        <w:t xml:space="preserve"> </w:t>
      </w:r>
      <w:r w:rsidR="00D965C0">
        <w:fldChar w:fldCharType="begin"/>
      </w:r>
      <w:r w:rsidR="00D965C0">
        <w:instrText xml:space="preserve"> REF _Ref521502148 \r \h </w:instrText>
      </w:r>
      <w:r w:rsidR="00D965C0">
        <w:fldChar w:fldCharType="separate"/>
      </w:r>
      <w:r w:rsidR="00910A73">
        <w:t>7.2.4</w:t>
      </w:r>
      <w:r w:rsidR="00D965C0">
        <w:fldChar w:fldCharType="end"/>
      </w:r>
      <w:r w:rsidR="009A242D">
        <w:t>.</w:t>
      </w:r>
    </w:p>
    <w:p w:rsidR="00C87639" w:rsidRDefault="00AB1EDE" w:rsidP="00B10E5B">
      <w:pPr>
        <w:pStyle w:val="EYBodytextwithparaspace"/>
      </w:pPr>
      <w:r w:rsidDel="00042590">
        <w:t>There is</w:t>
      </w:r>
      <w:r w:rsidR="00610D7A" w:rsidDel="00042590">
        <w:t xml:space="preserve"> </w:t>
      </w:r>
      <w:r w:rsidR="00610D7A" w:rsidRPr="006B0F46" w:rsidDel="00042590">
        <w:t xml:space="preserve">international precedent for introducing regulatory options to encourage the uptake of </w:t>
      </w:r>
      <w:r w:rsidR="002D7A82">
        <w:t>AACFs</w:t>
      </w:r>
      <w:r w:rsidR="00610D7A" w:rsidDel="00042590">
        <w:t xml:space="preserve"> in Canada and the United State</w:t>
      </w:r>
      <w:r w:rsidR="00F86DE2" w:rsidDel="00042590">
        <w:t>s</w:t>
      </w:r>
      <w:r w:rsidR="00610D7A" w:rsidDel="00042590">
        <w:t xml:space="preserve"> (California)</w:t>
      </w:r>
      <w:r w:rsidR="001464BE" w:rsidDel="00042590">
        <w:t xml:space="preserve">, as </w:t>
      </w:r>
      <w:r w:rsidR="002A08D1" w:rsidDel="00042590">
        <w:t xml:space="preserve">described in </w:t>
      </w:r>
      <w:r w:rsidR="008F164B">
        <w:fldChar w:fldCharType="begin"/>
      </w:r>
      <w:r w:rsidR="008F164B">
        <w:instrText xml:space="preserve"> REF _Ref506215047 \r \h </w:instrText>
      </w:r>
      <w:r w:rsidR="008F164B">
        <w:fldChar w:fldCharType="separate"/>
      </w:r>
      <w:r w:rsidR="00910A73">
        <w:t>Appendix D</w:t>
      </w:r>
      <w:r w:rsidR="008F164B">
        <w:fldChar w:fldCharType="end"/>
      </w:r>
      <w:r w:rsidR="00D72667" w:rsidDel="00042590">
        <w:t>.</w:t>
      </w:r>
    </w:p>
    <w:p w:rsidR="00364066" w:rsidRDefault="00C87639" w:rsidP="002667A8">
      <w:pPr>
        <w:pStyle w:val="EYBulletedText1"/>
        <w:numPr>
          <w:ilvl w:val="0"/>
          <w:numId w:val="0"/>
        </w:numPr>
        <w:rPr>
          <w:rFonts w:asciiTheme="majorHAnsi" w:eastAsiaTheme="majorEastAsia" w:hAnsiTheme="majorHAnsi" w:cstheme="majorBidi"/>
          <w:b/>
          <w:bCs/>
          <w:color w:val="002060"/>
          <w:sz w:val="40"/>
          <w:szCs w:val="28"/>
        </w:rPr>
      </w:pPr>
      <w:r w:rsidDel="00C87639">
        <w:t xml:space="preserve"> </w:t>
      </w:r>
      <w:r w:rsidR="00364066">
        <w:br w:type="page"/>
      </w:r>
    </w:p>
    <w:p w:rsidR="000A6962" w:rsidRDefault="000A6962" w:rsidP="00145D1B">
      <w:pPr>
        <w:pStyle w:val="Heading1"/>
      </w:pPr>
      <w:bookmarkStart w:id="378" w:name="_Toc504063167"/>
      <w:bookmarkStart w:id="379" w:name="_Toc504388858"/>
      <w:bookmarkStart w:id="380" w:name="_Ref504398197"/>
      <w:bookmarkStart w:id="381" w:name="_Toc504401709"/>
      <w:bookmarkStart w:id="382" w:name="_Toc504649915"/>
      <w:bookmarkStart w:id="383" w:name="_Ref505349465"/>
      <w:bookmarkStart w:id="384" w:name="_Toc525897792"/>
      <w:r>
        <w:lastRenderedPageBreak/>
        <w:t>Defining the population</w:t>
      </w:r>
      <w:bookmarkEnd w:id="378"/>
      <w:bookmarkEnd w:id="379"/>
      <w:bookmarkEnd w:id="380"/>
      <w:bookmarkEnd w:id="381"/>
      <w:bookmarkEnd w:id="382"/>
      <w:bookmarkEnd w:id="383"/>
      <w:bookmarkEnd w:id="384"/>
      <w:r>
        <w:t xml:space="preserve"> </w:t>
      </w:r>
    </w:p>
    <w:p w:rsidR="006E10E6" w:rsidRDefault="00854B60" w:rsidP="00AF5A0B">
      <w:pPr>
        <w:pStyle w:val="EYBodytextwithparaspace"/>
      </w:pPr>
      <w:r>
        <w:t xml:space="preserve">In order to define the population we </w:t>
      </w:r>
      <w:r w:rsidR="0024761A">
        <w:t>believe</w:t>
      </w:r>
      <w:r>
        <w:t xml:space="preserve"> </w:t>
      </w:r>
      <w:r w:rsidR="00326394">
        <w:t xml:space="preserve">is </w:t>
      </w:r>
      <w:r>
        <w:t xml:space="preserve">most likely to benefit from greater provision of AACFs, </w:t>
      </w:r>
      <w:r w:rsidR="003E71C1">
        <w:t>we</w:t>
      </w:r>
      <w:r>
        <w:t xml:space="preserve"> first </w:t>
      </w:r>
      <w:r w:rsidR="006E10E6">
        <w:t xml:space="preserve">define two distinct groups, or cohorts: the core cohort, for which we will directly attempt to measure the costs and benefits; and the non-core cohort, in which we include those people who </w:t>
      </w:r>
      <w:r w:rsidR="00A55F43">
        <w:t>do not</w:t>
      </w:r>
      <w:r w:rsidR="00B24AB8">
        <w:t xml:space="preserve"> have a direct </w:t>
      </w:r>
      <w:r w:rsidR="006E10E6">
        <w:t xml:space="preserve">need </w:t>
      </w:r>
      <w:r w:rsidR="00B24AB8">
        <w:t xml:space="preserve">for </w:t>
      </w:r>
      <w:r w:rsidR="00CE74AD">
        <w:t>AACFs</w:t>
      </w:r>
      <w:r w:rsidR="006E10E6">
        <w:t xml:space="preserve"> but will nevertheless be ben</w:t>
      </w:r>
      <w:r w:rsidR="00672FED">
        <w:t>efitted by their installation.</w:t>
      </w:r>
      <w:r w:rsidR="003E71C1" w:rsidRPr="00C133AC">
        <w:rPr>
          <w:rStyle w:val="FootnoteReference"/>
          <w:sz w:val="24"/>
          <w:szCs w:val="24"/>
        </w:rPr>
        <w:footnoteReference w:id="46"/>
      </w:r>
    </w:p>
    <w:p w:rsidR="008D08A2" w:rsidRPr="008D08A2" w:rsidRDefault="008D08A2" w:rsidP="00145D1B">
      <w:pPr>
        <w:pStyle w:val="Heading2"/>
      </w:pPr>
      <w:bookmarkStart w:id="385" w:name="_Ref504057824"/>
      <w:bookmarkStart w:id="386" w:name="_Toc504063168"/>
      <w:bookmarkStart w:id="387" w:name="_Toc504388859"/>
      <w:bookmarkStart w:id="388" w:name="_Toc504401710"/>
      <w:bookmarkStart w:id="389" w:name="_Toc504649916"/>
      <w:bookmarkStart w:id="390" w:name="_Toc525897793"/>
      <w:r w:rsidRPr="008D08A2">
        <w:t>Defining the core cohort</w:t>
      </w:r>
      <w:bookmarkEnd w:id="385"/>
      <w:bookmarkEnd w:id="386"/>
      <w:bookmarkEnd w:id="387"/>
      <w:bookmarkEnd w:id="388"/>
      <w:bookmarkEnd w:id="389"/>
      <w:bookmarkEnd w:id="390"/>
    </w:p>
    <w:p w:rsidR="006E10E6" w:rsidRDefault="006E10E6" w:rsidP="00AF5A0B">
      <w:pPr>
        <w:pStyle w:val="EYBodytextwithparaspace"/>
      </w:pPr>
      <w:r>
        <w:t xml:space="preserve">In 2015, the </w:t>
      </w:r>
      <w:r w:rsidR="00B24AB8">
        <w:t>A</w:t>
      </w:r>
      <w:r w:rsidR="007A4C41">
        <w:t xml:space="preserve">ustralian </w:t>
      </w:r>
      <w:r w:rsidR="00B24AB8">
        <w:t>B</w:t>
      </w:r>
      <w:r w:rsidR="007A4C41">
        <w:t xml:space="preserve">ureau of </w:t>
      </w:r>
      <w:r w:rsidR="00B24AB8">
        <w:t>S</w:t>
      </w:r>
      <w:r w:rsidR="007A4C41">
        <w:t>tatistics (ABS)</w:t>
      </w:r>
      <w:r>
        <w:t xml:space="preserve"> published the results from the Survey of Disability, Ageing and Carers (SDAC)</w:t>
      </w:r>
      <w:r w:rsidR="0018344B">
        <w:t>,</w:t>
      </w:r>
      <w:r w:rsidR="001230D7" w:rsidRPr="00C133AC">
        <w:rPr>
          <w:rStyle w:val="FootnoteReference"/>
          <w:sz w:val="24"/>
          <w:szCs w:val="24"/>
        </w:rPr>
        <w:footnoteReference w:id="47"/>
      </w:r>
      <w:r>
        <w:t xml:space="preserve"> which is the primary data source used to estimate the core cohort. </w:t>
      </w:r>
      <w:r w:rsidR="00300003">
        <w:t xml:space="preserve">Throughout the remainder of this </w:t>
      </w:r>
      <w:r w:rsidR="004A6F94">
        <w:t xml:space="preserve">Final </w:t>
      </w:r>
      <w:r w:rsidR="00300003">
        <w:t>RIS, we have used the term complex disabilities to define those in our estimated core cohort, in order to differentiate this cohort of people from those with profound disabilities. The term</w:t>
      </w:r>
      <w:r w:rsidR="002F1267">
        <w:t xml:space="preserve"> ‘</w:t>
      </w:r>
      <w:r w:rsidR="00300003">
        <w:t>complex’ disability is consistent with terminology used on the Changing Places Australia website.</w:t>
      </w:r>
      <w:r w:rsidR="00300003" w:rsidRPr="00C133AC">
        <w:rPr>
          <w:rStyle w:val="FootnoteReference"/>
          <w:sz w:val="24"/>
          <w:szCs w:val="24"/>
        </w:rPr>
        <w:footnoteReference w:id="48"/>
      </w:r>
    </w:p>
    <w:p w:rsidR="006E10E6" w:rsidRDefault="00953815" w:rsidP="00AF5A0B">
      <w:pPr>
        <w:pStyle w:val="EYBodytextwithparaspace"/>
      </w:pPr>
      <w:r>
        <w:t xml:space="preserve">There is no single dataset that specifies how many Australians have complex disabilities </w:t>
      </w:r>
      <w:r w:rsidR="00B24AB8">
        <w:t>that prevent them from being able to use existing accessible sanitary facilities independently</w:t>
      </w:r>
      <w:r>
        <w:t xml:space="preserve">. </w:t>
      </w:r>
      <w:r w:rsidR="006E10E6">
        <w:t xml:space="preserve">The approach we have adopted is a ‘bottom </w:t>
      </w:r>
      <w:r w:rsidR="00B24AB8">
        <w:t xml:space="preserve">up </w:t>
      </w:r>
      <w:r w:rsidR="006E10E6">
        <w:t xml:space="preserve">and cross referencing’ approach. In other words, we started with </w:t>
      </w:r>
      <w:r w:rsidR="002F1267">
        <w:t>various</w:t>
      </w:r>
      <w:r w:rsidR="006E10E6">
        <w:t xml:space="preserve"> estimates</w:t>
      </w:r>
      <w:r w:rsidR="00E5700E">
        <w:t xml:space="preserve"> from the SDAC</w:t>
      </w:r>
      <w:r w:rsidR="006E10E6">
        <w:t xml:space="preserve"> of the number of people </w:t>
      </w:r>
      <w:r w:rsidR="00672FED">
        <w:t xml:space="preserve">with </w:t>
      </w:r>
      <w:r w:rsidR="006E10E6">
        <w:t>disabilities and</w:t>
      </w:r>
      <w:r w:rsidR="002F1267">
        <w:t xml:space="preserve"> the number of people for whom the presence of core activity limitations inhibits the participation in daily activities, and</w:t>
      </w:r>
      <w:r w:rsidR="006E10E6">
        <w:t xml:space="preserve"> refined those estimate</w:t>
      </w:r>
      <w:r w:rsidR="003E71C1">
        <w:t>s</w:t>
      </w:r>
      <w:r w:rsidR="006E10E6">
        <w:t xml:space="preserve"> in order to most closely reflect those who we believe are likely to benefit the mos</w:t>
      </w:r>
      <w:r w:rsidR="00672FED">
        <w:t xml:space="preserve">t from </w:t>
      </w:r>
      <w:r w:rsidR="00CE74AD">
        <w:t>AACFs</w:t>
      </w:r>
      <w:r w:rsidR="00672FED">
        <w:t>.</w:t>
      </w:r>
      <w:r w:rsidR="006E10E6">
        <w:t xml:space="preserve"> Once that approach was complete, we then cross referenced the estimate with other independent estimates to gain a final ‘sense check’.</w:t>
      </w:r>
    </w:p>
    <w:p w:rsidR="003E71C1" w:rsidRDefault="003E71C1" w:rsidP="001230D7">
      <w:pPr>
        <w:pStyle w:val="Caption"/>
        <w:keepNext/>
        <w:rPr>
          <w:rFonts w:cs="Arial"/>
          <w:szCs w:val="24"/>
        </w:rPr>
      </w:pPr>
      <w:bookmarkStart w:id="391" w:name="_Toc525897835"/>
      <w:r>
        <w:lastRenderedPageBreak/>
        <w:t xml:space="preserve">Figure </w:t>
      </w:r>
      <w:r w:rsidR="00D128AA">
        <w:rPr>
          <w:noProof/>
        </w:rPr>
        <w:fldChar w:fldCharType="begin"/>
      </w:r>
      <w:r w:rsidR="00D128AA">
        <w:rPr>
          <w:noProof/>
        </w:rPr>
        <w:instrText xml:space="preserve"> STYLEREF 1 \s </w:instrText>
      </w:r>
      <w:r w:rsidR="00D128AA">
        <w:rPr>
          <w:noProof/>
        </w:rPr>
        <w:fldChar w:fldCharType="separate"/>
      </w:r>
      <w:r w:rsidR="00910A73">
        <w:rPr>
          <w:noProof/>
        </w:rPr>
        <w:t>5</w:t>
      </w:r>
      <w:r w:rsidR="00D128AA">
        <w:rPr>
          <w:noProof/>
        </w:rPr>
        <w:fldChar w:fldCharType="end"/>
      </w:r>
      <w:r w:rsidR="00BA13E6">
        <w:noBreakHyphen/>
      </w:r>
      <w:r w:rsidR="00D128AA">
        <w:rPr>
          <w:noProof/>
        </w:rPr>
        <w:fldChar w:fldCharType="begin"/>
      </w:r>
      <w:r w:rsidR="00D128AA">
        <w:rPr>
          <w:noProof/>
        </w:rPr>
        <w:instrText xml:space="preserve"> SEQ Figure \* ARABIC \s 1 </w:instrText>
      </w:r>
      <w:r w:rsidR="00D128AA">
        <w:rPr>
          <w:noProof/>
        </w:rPr>
        <w:fldChar w:fldCharType="separate"/>
      </w:r>
      <w:r w:rsidR="00910A73">
        <w:rPr>
          <w:noProof/>
        </w:rPr>
        <w:t>1</w:t>
      </w:r>
      <w:r w:rsidR="00D128AA">
        <w:rPr>
          <w:noProof/>
        </w:rPr>
        <w:fldChar w:fldCharType="end"/>
      </w:r>
      <w:r>
        <w:t xml:space="preserve">: Bottom </w:t>
      </w:r>
      <w:r w:rsidR="00B24AB8">
        <w:t xml:space="preserve">up </w:t>
      </w:r>
      <w:r>
        <w:t>approach to estimating the core cohort</w:t>
      </w:r>
      <w:r>
        <w:rPr>
          <w:rStyle w:val="FootnoteReference"/>
        </w:rPr>
        <w:footnoteReference w:id="49"/>
      </w:r>
      <w:bookmarkEnd w:id="391"/>
    </w:p>
    <w:p w:rsidR="003E71C1" w:rsidRDefault="001230D7" w:rsidP="001230D7">
      <w:pPr>
        <w:keepNext/>
        <w:jc w:val="center"/>
        <w:rPr>
          <w:rFonts w:cs="Arial"/>
          <w:szCs w:val="24"/>
        </w:rPr>
      </w:pPr>
      <w:r>
        <w:rPr>
          <w:rFonts w:cs="Arial"/>
          <w:noProof/>
          <w:szCs w:val="24"/>
          <w:lang w:eastAsia="en-AU"/>
        </w:rPr>
        <w:drawing>
          <wp:inline distT="0" distB="0" distL="0" distR="0" wp14:anchorId="5235F58E" wp14:editId="7CCE3F78">
            <wp:extent cx="6306242" cy="3429000"/>
            <wp:effectExtent l="0" t="0" r="0" b="0"/>
            <wp:docPr id="58" name="Picture 58" title="Figure 5 1: Bottom up approach to estimating the core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2551" cy="3437868"/>
                    </a:xfrm>
                    <a:prstGeom prst="rect">
                      <a:avLst/>
                    </a:prstGeom>
                    <a:noFill/>
                  </pic:spPr>
                </pic:pic>
              </a:graphicData>
            </a:graphic>
          </wp:inline>
        </w:drawing>
      </w:r>
    </w:p>
    <w:p w:rsidR="003E71C1" w:rsidRPr="00DB1504" w:rsidRDefault="00953815" w:rsidP="001230D7">
      <w:pPr>
        <w:keepNext/>
        <w:rPr>
          <w:rFonts w:cs="Arial"/>
          <w:sz w:val="20"/>
          <w:szCs w:val="24"/>
        </w:rPr>
      </w:pPr>
      <w:r>
        <w:rPr>
          <w:rFonts w:cs="Arial"/>
          <w:sz w:val="20"/>
          <w:szCs w:val="24"/>
        </w:rPr>
        <w:t>Source: SDAC, EY estimates</w:t>
      </w:r>
    </w:p>
    <w:p w:rsidR="006E10E6" w:rsidRDefault="004B5AE3" w:rsidP="00145D1B">
      <w:pPr>
        <w:pStyle w:val="Heading3"/>
      </w:pPr>
      <w:r>
        <w:t>‘B</w:t>
      </w:r>
      <w:r w:rsidR="006E10E6">
        <w:t xml:space="preserve">ottom </w:t>
      </w:r>
      <w:r w:rsidR="00B24AB8">
        <w:t>up</w:t>
      </w:r>
      <w:r w:rsidR="006E10E6">
        <w:t>’ analysis</w:t>
      </w:r>
    </w:p>
    <w:p w:rsidR="006E10E6" w:rsidRDefault="006E10E6" w:rsidP="003828E9">
      <w:pPr>
        <w:pStyle w:val="EYBodytextwithparaspace"/>
      </w:pPr>
      <w:r>
        <w:t>The SDAC found that almost one in five Australians reported living with a disability (18.3%, or 4.3 million people).</w:t>
      </w:r>
      <w:r w:rsidRPr="003C0586">
        <w:t xml:space="preserve"> </w:t>
      </w:r>
      <w:r>
        <w:t>The SDAC also allows us to separately identify those who need assistance with core activities such as toileting and other daily tasks</w:t>
      </w:r>
      <w:r w:rsidR="00953815">
        <w:t>; this comes to 3.4 million people</w:t>
      </w:r>
      <w:r>
        <w:t xml:space="preserve"> </w:t>
      </w:r>
      <w:r w:rsidR="00953815">
        <w:t>(so there are approximately 900,000 people living with disability but who do not experience core activity limitations)</w:t>
      </w:r>
      <w:r w:rsidR="00B24AB8">
        <w:t>.</w:t>
      </w:r>
    </w:p>
    <w:p w:rsidR="006E10E6" w:rsidRDefault="00CD2CA0" w:rsidP="00681E1A">
      <w:pPr>
        <w:pStyle w:val="EYBodytextwithparaspace"/>
        <w:spacing w:after="200"/>
      </w:pPr>
      <w:r>
        <w:t>This</w:t>
      </w:r>
      <w:r w:rsidR="00953815">
        <w:t xml:space="preserve"> 3.4 million figure can be further broken down by the estimated </w:t>
      </w:r>
      <w:r>
        <w:t>severity</w:t>
      </w:r>
      <w:r w:rsidR="00953815">
        <w:t xml:space="preserve"> of core </w:t>
      </w:r>
      <w:r>
        <w:t>activity</w:t>
      </w:r>
      <w:r w:rsidR="00953815">
        <w:t xml:space="preserve"> </w:t>
      </w:r>
      <w:r w:rsidR="00CE74AD">
        <w:t>limitations</w:t>
      </w:r>
      <w:r w:rsidR="006E10E6">
        <w:t>:</w:t>
      </w:r>
    </w:p>
    <w:p w:rsidR="006E10E6" w:rsidRDefault="006E10E6" w:rsidP="00B10E5B">
      <w:pPr>
        <w:pStyle w:val="EYBulletnoparaspace"/>
      </w:pPr>
      <w:r>
        <w:t>People with profound limitations (721,985 people or 3.1% of the population)</w:t>
      </w:r>
      <w:r w:rsidR="007C69BF">
        <w:t>.</w:t>
      </w:r>
    </w:p>
    <w:p w:rsidR="006E10E6" w:rsidRDefault="006E10E6" w:rsidP="00B10E5B">
      <w:pPr>
        <w:pStyle w:val="EYBulletnoparaspace"/>
      </w:pPr>
      <w:r>
        <w:t>Severe limitations (647,136 people or 2.8% of the population)</w:t>
      </w:r>
      <w:r w:rsidR="007C69BF">
        <w:t>.</w:t>
      </w:r>
    </w:p>
    <w:p w:rsidR="006E10E6" w:rsidRDefault="006E10E6" w:rsidP="00B10E5B">
      <w:pPr>
        <w:pStyle w:val="EYBulletnoparaspace"/>
      </w:pPr>
      <w:r>
        <w:t xml:space="preserve">Moderate limitations (598,899 people </w:t>
      </w:r>
      <w:r w:rsidR="00CE74AD">
        <w:t>or</w:t>
      </w:r>
      <w:r>
        <w:t xml:space="preserve"> 2.6% of the population)</w:t>
      </w:r>
      <w:r w:rsidR="007C69BF">
        <w:t>.</w:t>
      </w:r>
    </w:p>
    <w:p w:rsidR="006E10E6" w:rsidRDefault="006E10E6" w:rsidP="00B10E5B">
      <w:pPr>
        <w:pStyle w:val="EYBulletnoparaspace"/>
      </w:pPr>
      <w:r>
        <w:t>Mild limitations (1.4m or 6.1% of the population)</w:t>
      </w:r>
      <w:r w:rsidR="007C69BF">
        <w:t>.</w:t>
      </w:r>
      <w:r w:rsidRPr="00C133AC">
        <w:rPr>
          <w:rStyle w:val="FootnoteReference"/>
          <w:sz w:val="24"/>
          <w:szCs w:val="24"/>
        </w:rPr>
        <w:footnoteReference w:id="50"/>
      </w:r>
    </w:p>
    <w:p w:rsidR="00CD2CA0" w:rsidRDefault="00CD2CA0" w:rsidP="00B10E5B">
      <w:pPr>
        <w:pStyle w:val="EYBodytextwithparaspace"/>
      </w:pPr>
      <w:r>
        <w:t>In the first instance we started with the sum of the ‘profound’ and ‘severe’ core activity limitations, which totals 1.4</w:t>
      </w:r>
      <w:r w:rsidR="00A65EC1">
        <w:t xml:space="preserve"> </w:t>
      </w:r>
      <w:r>
        <w:t>m</w:t>
      </w:r>
      <w:r w:rsidR="00A65EC1">
        <w:t>illion</w:t>
      </w:r>
      <w:r>
        <w:t>.</w:t>
      </w:r>
      <w:r w:rsidRPr="00CD2CA0">
        <w:t xml:space="preserve"> </w:t>
      </w:r>
      <w:r>
        <w:t>However, we know from other literature sources</w:t>
      </w:r>
      <w:r w:rsidR="00A65EC1" w:rsidRPr="00C133AC">
        <w:rPr>
          <w:rStyle w:val="FootnoteReference"/>
          <w:sz w:val="24"/>
          <w:szCs w:val="24"/>
        </w:rPr>
        <w:footnoteReference w:id="51"/>
      </w:r>
      <w:r w:rsidRPr="004D6B19">
        <w:t xml:space="preserve"> </w:t>
      </w:r>
      <w:r>
        <w:t xml:space="preserve">that this figure is a considerable over-estimate. The reason is that the classification of </w:t>
      </w:r>
      <w:r>
        <w:lastRenderedPageBreak/>
        <w:t>‘profound’ or ‘severe’ limitations is inherently subjective; limitations</w:t>
      </w:r>
      <w:r w:rsidR="00CE74AD">
        <w:t>,</w:t>
      </w:r>
      <w:r>
        <w:t xml:space="preserve"> which are deemed as moderate by some</w:t>
      </w:r>
      <w:r w:rsidR="00CE74AD">
        <w:t>,</w:t>
      </w:r>
      <w:r>
        <w:t xml:space="preserve"> might be considered as profound by others, and vice versa.</w:t>
      </w:r>
    </w:p>
    <w:p w:rsidR="00CD2CA0" w:rsidRDefault="00CD2CA0" w:rsidP="003828E9">
      <w:pPr>
        <w:pStyle w:val="EYBodytextwithparaspace"/>
      </w:pPr>
      <w:r>
        <w:t xml:space="preserve">In order to further </w:t>
      </w:r>
      <w:r w:rsidR="002F1267">
        <w:t>refine</w:t>
      </w:r>
      <w:r>
        <w:t xml:space="preserve"> the 1.4 million figure, we also cross referenced that group of people with those who reported difficulty accessing buildings or facilities in the last 12 months, as this was thought to reduce the subjectivity in the measure</w:t>
      </w:r>
      <w:r w:rsidR="00FF1CEA">
        <w:t>.</w:t>
      </w:r>
      <w:r w:rsidR="00FF1CEA" w:rsidRPr="00C133AC">
        <w:rPr>
          <w:rStyle w:val="FootnoteReference"/>
          <w:sz w:val="24"/>
          <w:szCs w:val="24"/>
        </w:rPr>
        <w:footnoteReference w:id="52"/>
      </w:r>
    </w:p>
    <w:p w:rsidR="00672FED" w:rsidRDefault="00CD2CA0" w:rsidP="003828E9">
      <w:pPr>
        <w:pStyle w:val="EYBodytextwithparaspace"/>
      </w:pPr>
      <w:r>
        <w:t xml:space="preserve">The result was 327,985 people with profound or severe core activity limitations, and who have had difficulty accessing buildings or facilities in the last 12 months.  </w:t>
      </w:r>
      <w:r w:rsidR="00E552DF">
        <w:t>Furthermore, there are 22,3</w:t>
      </w:r>
      <w:r w:rsidR="00944D62">
        <w:t>72 people with a disability</w:t>
      </w:r>
      <w:r w:rsidR="00CE74AD">
        <w:t>,</w:t>
      </w:r>
      <w:r w:rsidR="00944D62">
        <w:t xml:space="preserve"> and profoundly or </w:t>
      </w:r>
      <w:r w:rsidR="00227816">
        <w:t>severely</w:t>
      </w:r>
      <w:r w:rsidR="00944D62">
        <w:t xml:space="preserve"> limited in core activities</w:t>
      </w:r>
      <w:r w:rsidR="00CE74AD">
        <w:t>,</w:t>
      </w:r>
      <w:r w:rsidR="00944D62">
        <w:t xml:space="preserve"> who do not leave home.</w:t>
      </w:r>
      <w:r w:rsidRPr="00C133AC">
        <w:rPr>
          <w:rStyle w:val="FootnoteReference"/>
          <w:sz w:val="24"/>
          <w:szCs w:val="24"/>
        </w:rPr>
        <w:footnoteReference w:id="53"/>
      </w:r>
      <w:r w:rsidR="00E552DF" w:rsidRPr="004D6B19">
        <w:t xml:space="preserve"> </w:t>
      </w:r>
    </w:p>
    <w:p w:rsidR="00955892" w:rsidRDefault="00955892" w:rsidP="003828E9">
      <w:pPr>
        <w:pStyle w:val="EYBodytextwithparaspace"/>
      </w:pPr>
      <w:r>
        <w:t xml:space="preserve">In total, </w:t>
      </w:r>
      <w:r w:rsidR="00E5700E">
        <w:t xml:space="preserve">based on the above, it can be estimated that </w:t>
      </w:r>
      <w:r>
        <w:t>there are 350,357 people with a disability and profoundly or severely limited in core activities who have either had difficulty accessing buildings or facilities in the last 12 months or who do not leave home. This is the group of peopl</w:t>
      </w:r>
      <w:r w:rsidR="00672FED">
        <w:t xml:space="preserve">e that we have considered as </w:t>
      </w:r>
      <w:r>
        <w:t>t</w:t>
      </w:r>
      <w:r w:rsidR="00672FED">
        <w:t xml:space="preserve">he core </w:t>
      </w:r>
      <w:r>
        <w:t xml:space="preserve">cohort.  This represents an implied disability rate of 1.5 per cent of the total Australian population, which is used in both the case studies and the aggregate analysis to estimate </w:t>
      </w:r>
      <w:r w:rsidR="00B8094F">
        <w:t>the impacts of each option</w:t>
      </w:r>
      <w:r>
        <w:t>.</w:t>
      </w:r>
    </w:p>
    <w:p w:rsidR="00181144" w:rsidRDefault="00CD2CA0" w:rsidP="003828E9">
      <w:pPr>
        <w:pStyle w:val="EYBodytextwithparaspace"/>
      </w:pPr>
      <w:r>
        <w:t>A detailed breakdown of the process described above is provided in</w:t>
      </w:r>
      <w:r w:rsidR="00BD1DAB">
        <w:t xml:space="preserve"> </w:t>
      </w:r>
      <w:r w:rsidR="00F674C4">
        <w:fldChar w:fldCharType="begin"/>
      </w:r>
      <w:r w:rsidR="00F674C4">
        <w:instrText xml:space="preserve"> REF _Ref521498780 \h </w:instrText>
      </w:r>
      <w:r w:rsidR="00F674C4">
        <w:fldChar w:fldCharType="separate"/>
      </w:r>
      <w:r w:rsidR="00910A73">
        <w:t xml:space="preserve">Table </w:t>
      </w:r>
      <w:r w:rsidR="00910A73">
        <w:rPr>
          <w:noProof/>
        </w:rPr>
        <w:t>5</w:t>
      </w:r>
      <w:r w:rsidR="00910A73">
        <w:noBreakHyphen/>
      </w:r>
      <w:r w:rsidR="00910A73">
        <w:rPr>
          <w:noProof/>
        </w:rPr>
        <w:t>1</w:t>
      </w:r>
      <w:r w:rsidR="00F674C4">
        <w:fldChar w:fldCharType="end"/>
      </w:r>
      <w:r w:rsidR="00881539">
        <w:t xml:space="preserve">, where the </w:t>
      </w:r>
      <w:r w:rsidR="00387B75">
        <w:t>bold figures</w:t>
      </w:r>
      <w:r w:rsidR="00881539">
        <w:t xml:space="preserve"> indicate those that we have included as part of our core cohort</w:t>
      </w:r>
      <w:r>
        <w:t>.</w:t>
      </w:r>
    </w:p>
    <w:p w:rsidR="006E10E6" w:rsidRDefault="006E10E6" w:rsidP="005A733A">
      <w:pPr>
        <w:pStyle w:val="Caption"/>
      </w:pPr>
      <w:bookmarkStart w:id="392" w:name="_Ref521498780"/>
      <w:bookmarkStart w:id="393" w:name="_Ref504068542"/>
      <w:bookmarkStart w:id="394" w:name="_Toc504063142"/>
      <w:bookmarkStart w:id="395" w:name="_Toc504401742"/>
      <w:bookmarkStart w:id="396" w:name="_Toc525897813"/>
      <w:r>
        <w:t xml:space="preserve">Table </w:t>
      </w:r>
      <w:r w:rsidR="00D128AA">
        <w:rPr>
          <w:noProof/>
        </w:rPr>
        <w:fldChar w:fldCharType="begin"/>
      </w:r>
      <w:r w:rsidR="00D128AA">
        <w:rPr>
          <w:noProof/>
        </w:rPr>
        <w:instrText xml:space="preserve"> STYLEREF 1 \s </w:instrText>
      </w:r>
      <w:r w:rsidR="00D128AA">
        <w:rPr>
          <w:noProof/>
        </w:rPr>
        <w:fldChar w:fldCharType="separate"/>
      </w:r>
      <w:r w:rsidR="00910A73">
        <w:rPr>
          <w:noProof/>
        </w:rPr>
        <w:t>5</w:t>
      </w:r>
      <w:r w:rsidR="00D128AA">
        <w:rPr>
          <w:noProof/>
        </w:rPr>
        <w:fldChar w:fldCharType="end"/>
      </w:r>
      <w:r w:rsidR="00325A73">
        <w:noBreakHyphen/>
      </w:r>
      <w:r w:rsidR="00D128AA">
        <w:rPr>
          <w:noProof/>
        </w:rPr>
        <w:fldChar w:fldCharType="begin"/>
      </w:r>
      <w:r w:rsidR="00D128AA">
        <w:rPr>
          <w:noProof/>
        </w:rPr>
        <w:instrText xml:space="preserve"> SEQ Table \* ARABIC \s 1 </w:instrText>
      </w:r>
      <w:r w:rsidR="00D128AA">
        <w:rPr>
          <w:noProof/>
        </w:rPr>
        <w:fldChar w:fldCharType="separate"/>
      </w:r>
      <w:r w:rsidR="00910A73">
        <w:rPr>
          <w:noProof/>
        </w:rPr>
        <w:t>1</w:t>
      </w:r>
      <w:r w:rsidR="00D128AA">
        <w:rPr>
          <w:noProof/>
        </w:rPr>
        <w:fldChar w:fldCharType="end"/>
      </w:r>
      <w:bookmarkEnd w:id="392"/>
      <w:bookmarkEnd w:id="393"/>
      <w:r>
        <w:t>: Difficulty accessing locations due to disability in the last 12 months</w:t>
      </w:r>
      <w:r>
        <w:rPr>
          <w:rStyle w:val="FootnoteReference"/>
          <w:szCs w:val="24"/>
        </w:rPr>
        <w:footnoteReference w:id="54"/>
      </w:r>
      <w:bookmarkEnd w:id="394"/>
      <w:bookmarkEnd w:id="395"/>
      <w:bookmarkEnd w:id="396"/>
      <w:r>
        <w:t xml:space="preserve"> </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57" w:type="dxa"/>
          <w:right w:w="57" w:type="dxa"/>
        </w:tblCellMar>
        <w:tblLook w:val="04A0" w:firstRow="1" w:lastRow="0" w:firstColumn="1" w:lastColumn="0" w:noHBand="0" w:noVBand="1"/>
        <w:tblCaption w:val="Table 5 1: Difficulty accessing locations due to disability in the last 12 months"/>
        <w:tblDescription w:val="Statistics regarding the numbers of Australians who had difficulty accessing locations due to disability in the last 12 months."/>
      </w:tblPr>
      <w:tblGrid>
        <w:gridCol w:w="2545"/>
        <w:gridCol w:w="1277"/>
        <w:gridCol w:w="1733"/>
        <w:gridCol w:w="1669"/>
        <w:gridCol w:w="1065"/>
        <w:gridCol w:w="1338"/>
      </w:tblGrid>
      <w:tr w:rsidR="006E10E6" w:rsidRPr="0017347D" w:rsidTr="00602F49">
        <w:trPr>
          <w:tblHeader/>
        </w:trPr>
        <w:tc>
          <w:tcPr>
            <w:tcW w:w="13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6E10E6" w:rsidRPr="00602F49" w:rsidRDefault="003828E9" w:rsidP="005A733A">
            <w:pPr>
              <w:pStyle w:val="EYTableHeadingWhite"/>
              <w:rPr>
                <w:sz w:val="20"/>
                <w:szCs w:val="20"/>
                <w:lang w:eastAsia="en-AU"/>
              </w:rPr>
            </w:pPr>
            <w:r w:rsidRPr="00602F49">
              <w:rPr>
                <w:sz w:val="20"/>
                <w:szCs w:val="20"/>
                <w:lang w:eastAsia="en-AU"/>
              </w:rPr>
              <w:t xml:space="preserve">Disability </w:t>
            </w:r>
            <w:r w:rsidR="00B66B0D">
              <w:rPr>
                <w:sz w:val="20"/>
                <w:szCs w:val="20"/>
                <w:lang w:eastAsia="en-AU"/>
              </w:rPr>
              <w:t>s</w:t>
            </w:r>
            <w:r w:rsidRPr="00602F49">
              <w:rPr>
                <w:sz w:val="20"/>
                <w:szCs w:val="20"/>
                <w:lang w:eastAsia="en-AU"/>
              </w:rPr>
              <w:t>tatus</w:t>
            </w:r>
          </w:p>
        </w:tc>
        <w:tc>
          <w:tcPr>
            <w:tcW w:w="6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hideMark/>
          </w:tcPr>
          <w:p w:rsidR="006E10E6" w:rsidRPr="00602F49" w:rsidRDefault="006E10E6" w:rsidP="005A733A">
            <w:pPr>
              <w:pStyle w:val="EYTableHeadingWhite"/>
              <w:rPr>
                <w:sz w:val="20"/>
                <w:szCs w:val="20"/>
                <w:lang w:eastAsia="en-AU"/>
              </w:rPr>
            </w:pPr>
            <w:r w:rsidRPr="00602F49">
              <w:rPr>
                <w:sz w:val="20"/>
                <w:szCs w:val="20"/>
                <w:lang w:eastAsia="en-AU"/>
              </w:rPr>
              <w:t>NA</w:t>
            </w:r>
          </w:p>
        </w:tc>
        <w:tc>
          <w:tcPr>
            <w:tcW w:w="9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hideMark/>
          </w:tcPr>
          <w:p w:rsidR="006E10E6" w:rsidRPr="00602F49" w:rsidRDefault="006E10E6" w:rsidP="005A733A">
            <w:pPr>
              <w:pStyle w:val="EYTableHeadingWhite"/>
              <w:rPr>
                <w:sz w:val="20"/>
                <w:szCs w:val="20"/>
                <w:lang w:eastAsia="en-AU"/>
              </w:rPr>
            </w:pPr>
            <w:r w:rsidRPr="00602F49">
              <w:rPr>
                <w:sz w:val="20"/>
                <w:szCs w:val="20"/>
                <w:lang w:eastAsia="en-AU"/>
              </w:rPr>
              <w:t>Difficulty accessing buildings or facilities in last 12 months</w:t>
            </w:r>
          </w:p>
        </w:tc>
        <w:tc>
          <w:tcPr>
            <w:tcW w:w="8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hideMark/>
          </w:tcPr>
          <w:p w:rsidR="006E10E6" w:rsidRPr="00602F49" w:rsidRDefault="006E10E6" w:rsidP="005A733A">
            <w:pPr>
              <w:pStyle w:val="EYTableHeadingWhite"/>
              <w:rPr>
                <w:sz w:val="20"/>
                <w:szCs w:val="20"/>
                <w:lang w:eastAsia="en-AU"/>
              </w:rPr>
            </w:pPr>
            <w:r w:rsidRPr="00602F49">
              <w:rPr>
                <w:sz w:val="20"/>
                <w:szCs w:val="20"/>
                <w:lang w:eastAsia="en-AU"/>
              </w:rPr>
              <w:t>No difficulty accessing buildings or facilities in last 12 months</w:t>
            </w:r>
          </w:p>
        </w:tc>
        <w:tc>
          <w:tcPr>
            <w:tcW w:w="55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hideMark/>
          </w:tcPr>
          <w:p w:rsidR="006E10E6" w:rsidRPr="00602F49" w:rsidRDefault="006E10E6" w:rsidP="005A733A">
            <w:pPr>
              <w:pStyle w:val="EYTableHeadingWhite"/>
              <w:rPr>
                <w:sz w:val="20"/>
                <w:szCs w:val="20"/>
                <w:lang w:eastAsia="en-AU"/>
              </w:rPr>
            </w:pPr>
            <w:r w:rsidRPr="00602F49">
              <w:rPr>
                <w:sz w:val="20"/>
                <w:szCs w:val="20"/>
                <w:lang w:eastAsia="en-AU"/>
              </w:rPr>
              <w:t>Does not leave home</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hideMark/>
          </w:tcPr>
          <w:p w:rsidR="006E10E6" w:rsidRPr="00602F49" w:rsidRDefault="006E10E6" w:rsidP="005A733A">
            <w:pPr>
              <w:pStyle w:val="EYTableHeadingWhite"/>
              <w:rPr>
                <w:sz w:val="20"/>
                <w:szCs w:val="20"/>
                <w:lang w:eastAsia="en-AU"/>
              </w:rPr>
            </w:pPr>
            <w:r w:rsidRPr="00602F49">
              <w:rPr>
                <w:sz w:val="20"/>
                <w:szCs w:val="20"/>
                <w:lang w:eastAsia="en-AU"/>
              </w:rPr>
              <w:t>TOTAL</w:t>
            </w:r>
          </w:p>
        </w:tc>
      </w:tr>
      <w:tr w:rsidR="006E10E6" w:rsidRPr="0017347D" w:rsidTr="00602F49">
        <w:tc>
          <w:tcPr>
            <w:tcW w:w="1322" w:type="pct"/>
            <w:tcBorders>
              <w:top w:val="single" w:sz="4" w:space="0" w:color="FFFFFF" w:themeColor="background1"/>
            </w:tcBorders>
            <w:shd w:val="clear" w:color="auto" w:fill="auto"/>
            <w:noWrap/>
            <w:hideMark/>
          </w:tcPr>
          <w:p w:rsidR="006E10E6" w:rsidRPr="0022711B" w:rsidRDefault="006E10E6" w:rsidP="005A733A">
            <w:pPr>
              <w:pStyle w:val="EYTableText"/>
              <w:ind w:left="222" w:hanging="222"/>
              <w:rPr>
                <w:sz w:val="20"/>
                <w:szCs w:val="20"/>
                <w:lang w:eastAsia="en-AU"/>
              </w:rPr>
            </w:pPr>
            <w:r w:rsidRPr="0022711B">
              <w:rPr>
                <w:sz w:val="20"/>
                <w:szCs w:val="20"/>
                <w:lang w:eastAsia="en-AU"/>
              </w:rPr>
              <w:t>1. Has disability and profoundly limited in core activities</w:t>
            </w:r>
          </w:p>
        </w:tc>
        <w:tc>
          <w:tcPr>
            <w:tcW w:w="663" w:type="pct"/>
            <w:tcBorders>
              <w:top w:val="single" w:sz="4" w:space="0" w:color="FFFFFF" w:themeColor="background1"/>
            </w:tcBorders>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204,355 </w:t>
            </w:r>
          </w:p>
        </w:tc>
        <w:tc>
          <w:tcPr>
            <w:tcW w:w="900" w:type="pct"/>
            <w:tcBorders>
              <w:top w:val="single" w:sz="4" w:space="0" w:color="FFFFFF" w:themeColor="background1"/>
            </w:tcBorders>
            <w:shd w:val="clear" w:color="auto" w:fill="auto"/>
            <w:noWrap/>
            <w:hideMark/>
          </w:tcPr>
          <w:p w:rsidR="006E10E6" w:rsidRPr="00602F49" w:rsidRDefault="006E10E6" w:rsidP="007E113B">
            <w:pPr>
              <w:pStyle w:val="EYTableText"/>
              <w:jc w:val="right"/>
              <w:rPr>
                <w:b/>
                <w:sz w:val="20"/>
                <w:szCs w:val="20"/>
                <w:lang w:eastAsia="en-AU"/>
              </w:rPr>
            </w:pPr>
            <w:r w:rsidRPr="00602F49">
              <w:rPr>
                <w:b/>
                <w:sz w:val="20"/>
                <w:szCs w:val="20"/>
                <w:lang w:eastAsia="en-AU"/>
              </w:rPr>
              <w:t xml:space="preserve">205,078 </w:t>
            </w:r>
          </w:p>
        </w:tc>
        <w:tc>
          <w:tcPr>
            <w:tcW w:w="867" w:type="pct"/>
            <w:tcBorders>
              <w:top w:val="single" w:sz="4" w:space="0" w:color="FFFFFF" w:themeColor="background1"/>
            </w:tcBorders>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292,615 </w:t>
            </w:r>
          </w:p>
        </w:tc>
        <w:tc>
          <w:tcPr>
            <w:tcW w:w="553" w:type="pct"/>
            <w:tcBorders>
              <w:top w:val="single" w:sz="4" w:space="0" w:color="FFFFFF" w:themeColor="background1"/>
            </w:tcBorders>
            <w:shd w:val="clear" w:color="auto" w:fill="auto"/>
            <w:noWrap/>
            <w:hideMark/>
          </w:tcPr>
          <w:p w:rsidR="006E10E6" w:rsidRPr="00602F49" w:rsidRDefault="006E10E6" w:rsidP="007E113B">
            <w:pPr>
              <w:pStyle w:val="EYTableText"/>
              <w:jc w:val="right"/>
              <w:rPr>
                <w:b/>
                <w:sz w:val="20"/>
                <w:szCs w:val="20"/>
                <w:lang w:eastAsia="en-AU"/>
              </w:rPr>
            </w:pPr>
            <w:r w:rsidRPr="00602F49">
              <w:rPr>
                <w:b/>
                <w:sz w:val="20"/>
                <w:szCs w:val="20"/>
                <w:lang w:eastAsia="en-AU"/>
              </w:rPr>
              <w:t xml:space="preserve">19,937 </w:t>
            </w:r>
          </w:p>
        </w:tc>
        <w:tc>
          <w:tcPr>
            <w:tcW w:w="695" w:type="pct"/>
            <w:tcBorders>
              <w:top w:val="single" w:sz="4" w:space="0" w:color="FFFFFF" w:themeColor="background1"/>
            </w:tcBorders>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721,985 </w:t>
            </w:r>
          </w:p>
        </w:tc>
      </w:tr>
      <w:tr w:rsidR="006E10E6" w:rsidRPr="0017347D" w:rsidTr="00602F49">
        <w:tc>
          <w:tcPr>
            <w:tcW w:w="1322" w:type="pct"/>
            <w:shd w:val="clear" w:color="auto" w:fill="auto"/>
            <w:noWrap/>
            <w:hideMark/>
          </w:tcPr>
          <w:p w:rsidR="006E10E6" w:rsidRPr="0022711B" w:rsidRDefault="006E10E6" w:rsidP="005A733A">
            <w:pPr>
              <w:pStyle w:val="EYTableText"/>
              <w:ind w:left="222" w:hanging="222"/>
              <w:rPr>
                <w:sz w:val="20"/>
                <w:szCs w:val="20"/>
                <w:lang w:eastAsia="en-AU"/>
              </w:rPr>
            </w:pPr>
            <w:r w:rsidRPr="0022711B">
              <w:rPr>
                <w:sz w:val="20"/>
                <w:szCs w:val="20"/>
                <w:lang w:eastAsia="en-AU"/>
              </w:rPr>
              <w:t>2. Has disability and severely limited in core activities</w:t>
            </w:r>
          </w:p>
        </w:tc>
        <w:tc>
          <w:tcPr>
            <w:tcW w:w="663"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105,821 </w:t>
            </w:r>
          </w:p>
        </w:tc>
        <w:tc>
          <w:tcPr>
            <w:tcW w:w="900" w:type="pct"/>
            <w:shd w:val="clear" w:color="auto" w:fill="auto"/>
            <w:noWrap/>
            <w:hideMark/>
          </w:tcPr>
          <w:p w:rsidR="006E10E6" w:rsidRPr="00602F49" w:rsidRDefault="006E10E6" w:rsidP="007E113B">
            <w:pPr>
              <w:pStyle w:val="EYTableText"/>
              <w:jc w:val="right"/>
              <w:rPr>
                <w:b/>
                <w:sz w:val="20"/>
                <w:szCs w:val="20"/>
                <w:lang w:eastAsia="en-AU"/>
              </w:rPr>
            </w:pPr>
            <w:r w:rsidRPr="00602F49">
              <w:rPr>
                <w:b/>
                <w:sz w:val="20"/>
                <w:szCs w:val="20"/>
                <w:lang w:eastAsia="en-AU"/>
              </w:rPr>
              <w:t xml:space="preserve">122,907 </w:t>
            </w:r>
          </w:p>
        </w:tc>
        <w:tc>
          <w:tcPr>
            <w:tcW w:w="867"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415,973 </w:t>
            </w:r>
          </w:p>
        </w:tc>
        <w:tc>
          <w:tcPr>
            <w:tcW w:w="553" w:type="pct"/>
            <w:shd w:val="clear" w:color="auto" w:fill="auto"/>
            <w:noWrap/>
            <w:hideMark/>
          </w:tcPr>
          <w:p w:rsidR="006E10E6" w:rsidRPr="00602F49" w:rsidRDefault="006E10E6" w:rsidP="007E113B">
            <w:pPr>
              <w:pStyle w:val="EYTableText"/>
              <w:jc w:val="right"/>
              <w:rPr>
                <w:b/>
                <w:sz w:val="20"/>
                <w:szCs w:val="20"/>
                <w:lang w:eastAsia="en-AU"/>
              </w:rPr>
            </w:pPr>
            <w:r w:rsidRPr="00602F49">
              <w:rPr>
                <w:b/>
                <w:sz w:val="20"/>
                <w:szCs w:val="20"/>
                <w:lang w:eastAsia="en-AU"/>
              </w:rPr>
              <w:t xml:space="preserve">2,435 </w:t>
            </w:r>
          </w:p>
        </w:tc>
        <w:tc>
          <w:tcPr>
            <w:tcW w:w="695"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647,136 </w:t>
            </w:r>
          </w:p>
        </w:tc>
      </w:tr>
      <w:tr w:rsidR="006E10E6" w:rsidRPr="0017347D" w:rsidTr="00602F49">
        <w:tc>
          <w:tcPr>
            <w:tcW w:w="1322" w:type="pct"/>
            <w:shd w:val="clear" w:color="auto" w:fill="auto"/>
            <w:noWrap/>
            <w:hideMark/>
          </w:tcPr>
          <w:p w:rsidR="006E10E6" w:rsidRPr="0022711B" w:rsidRDefault="006E10E6" w:rsidP="005A733A">
            <w:pPr>
              <w:pStyle w:val="EYTableText"/>
              <w:ind w:left="222" w:hanging="222"/>
              <w:rPr>
                <w:sz w:val="20"/>
                <w:szCs w:val="20"/>
                <w:lang w:eastAsia="en-AU"/>
              </w:rPr>
            </w:pPr>
            <w:r w:rsidRPr="0022711B">
              <w:rPr>
                <w:sz w:val="20"/>
                <w:szCs w:val="20"/>
                <w:lang w:eastAsia="en-AU"/>
              </w:rPr>
              <w:t>3. Has disability and moderately limited in core activities</w:t>
            </w:r>
          </w:p>
        </w:tc>
        <w:tc>
          <w:tcPr>
            <w:tcW w:w="663"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233,841 </w:t>
            </w:r>
          </w:p>
        </w:tc>
        <w:tc>
          <w:tcPr>
            <w:tcW w:w="900"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66,634 </w:t>
            </w:r>
          </w:p>
        </w:tc>
        <w:tc>
          <w:tcPr>
            <w:tcW w:w="867"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297,819 </w:t>
            </w:r>
          </w:p>
        </w:tc>
        <w:tc>
          <w:tcPr>
            <w:tcW w:w="553"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606 </w:t>
            </w:r>
          </w:p>
        </w:tc>
        <w:tc>
          <w:tcPr>
            <w:tcW w:w="695"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598,899 </w:t>
            </w:r>
          </w:p>
        </w:tc>
      </w:tr>
      <w:tr w:rsidR="006E10E6" w:rsidRPr="0017347D" w:rsidTr="00602F49">
        <w:tc>
          <w:tcPr>
            <w:tcW w:w="1322" w:type="pct"/>
            <w:shd w:val="clear" w:color="auto" w:fill="auto"/>
            <w:noWrap/>
            <w:hideMark/>
          </w:tcPr>
          <w:p w:rsidR="006E10E6" w:rsidRPr="00602F49" w:rsidRDefault="006E10E6" w:rsidP="005A733A">
            <w:pPr>
              <w:pStyle w:val="EYTableText"/>
              <w:ind w:left="222" w:hanging="222"/>
              <w:rPr>
                <w:sz w:val="20"/>
                <w:szCs w:val="20"/>
                <w:lang w:eastAsia="en-AU"/>
              </w:rPr>
            </w:pPr>
            <w:r w:rsidRPr="00602F49">
              <w:rPr>
                <w:sz w:val="20"/>
                <w:szCs w:val="20"/>
                <w:lang w:eastAsia="en-AU"/>
              </w:rPr>
              <w:t>4. Has disability and mildly limited in core activities</w:t>
            </w:r>
          </w:p>
        </w:tc>
        <w:tc>
          <w:tcPr>
            <w:tcW w:w="663"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1,420,822 </w:t>
            </w:r>
          </w:p>
        </w:tc>
        <w:tc>
          <w:tcPr>
            <w:tcW w:w="900"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   </w:t>
            </w:r>
          </w:p>
        </w:tc>
        <w:tc>
          <w:tcPr>
            <w:tcW w:w="867"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   </w:t>
            </w:r>
          </w:p>
        </w:tc>
        <w:tc>
          <w:tcPr>
            <w:tcW w:w="553"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2,420 </w:t>
            </w:r>
          </w:p>
        </w:tc>
        <w:tc>
          <w:tcPr>
            <w:tcW w:w="695"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1,423,242 </w:t>
            </w:r>
          </w:p>
        </w:tc>
      </w:tr>
      <w:tr w:rsidR="006E10E6" w:rsidRPr="0017347D" w:rsidTr="00602F49">
        <w:tc>
          <w:tcPr>
            <w:tcW w:w="1322" w:type="pct"/>
            <w:shd w:val="clear" w:color="auto" w:fill="auto"/>
            <w:noWrap/>
            <w:hideMark/>
          </w:tcPr>
          <w:p w:rsidR="006E10E6" w:rsidRPr="0022711B" w:rsidRDefault="006E10E6" w:rsidP="005A733A">
            <w:pPr>
              <w:pStyle w:val="EYTableText"/>
              <w:ind w:left="222" w:hanging="222"/>
              <w:rPr>
                <w:sz w:val="20"/>
                <w:szCs w:val="20"/>
                <w:lang w:eastAsia="en-AU"/>
              </w:rPr>
            </w:pPr>
            <w:r w:rsidRPr="0022711B">
              <w:rPr>
                <w:sz w:val="20"/>
                <w:szCs w:val="20"/>
                <w:lang w:eastAsia="en-AU"/>
              </w:rPr>
              <w:t>5. Has disability and not limited in core activities but restricted in schooling or employment</w:t>
            </w:r>
          </w:p>
        </w:tc>
        <w:tc>
          <w:tcPr>
            <w:tcW w:w="663"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346,454 </w:t>
            </w:r>
          </w:p>
        </w:tc>
        <w:tc>
          <w:tcPr>
            <w:tcW w:w="900"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   </w:t>
            </w:r>
          </w:p>
        </w:tc>
        <w:tc>
          <w:tcPr>
            <w:tcW w:w="867"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   </w:t>
            </w:r>
          </w:p>
        </w:tc>
        <w:tc>
          <w:tcPr>
            <w:tcW w:w="553"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2,354 </w:t>
            </w:r>
          </w:p>
        </w:tc>
        <w:tc>
          <w:tcPr>
            <w:tcW w:w="695"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348,807 </w:t>
            </w:r>
          </w:p>
        </w:tc>
      </w:tr>
      <w:tr w:rsidR="006E10E6" w:rsidRPr="0017347D" w:rsidTr="00602F49">
        <w:tc>
          <w:tcPr>
            <w:tcW w:w="1322" w:type="pct"/>
            <w:shd w:val="clear" w:color="auto" w:fill="auto"/>
            <w:noWrap/>
            <w:hideMark/>
          </w:tcPr>
          <w:p w:rsidR="006E10E6" w:rsidRPr="00602F49" w:rsidRDefault="006E10E6" w:rsidP="005A733A">
            <w:pPr>
              <w:pStyle w:val="EYTableText"/>
              <w:ind w:left="222" w:hanging="222"/>
              <w:rPr>
                <w:sz w:val="20"/>
                <w:szCs w:val="20"/>
                <w:lang w:eastAsia="en-AU"/>
              </w:rPr>
            </w:pPr>
            <w:r w:rsidRPr="00602F49">
              <w:rPr>
                <w:sz w:val="20"/>
                <w:szCs w:val="20"/>
                <w:lang w:eastAsia="en-AU"/>
              </w:rPr>
              <w:t xml:space="preserve">6. Has disability and not limited in core activities, </w:t>
            </w:r>
            <w:r w:rsidR="00CE74AD" w:rsidRPr="00602F49">
              <w:rPr>
                <w:sz w:val="20"/>
                <w:szCs w:val="20"/>
                <w:lang w:eastAsia="en-AU"/>
              </w:rPr>
              <w:lastRenderedPageBreak/>
              <w:t>n</w:t>
            </w:r>
            <w:r w:rsidRPr="00602F49">
              <w:rPr>
                <w:sz w:val="20"/>
                <w:szCs w:val="20"/>
                <w:lang w:eastAsia="en-AU"/>
              </w:rPr>
              <w:t>or restricted in schooling or employment</w:t>
            </w:r>
          </w:p>
        </w:tc>
        <w:tc>
          <w:tcPr>
            <w:tcW w:w="663"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lastRenderedPageBreak/>
              <w:t xml:space="preserve">550,000 </w:t>
            </w:r>
          </w:p>
        </w:tc>
        <w:tc>
          <w:tcPr>
            <w:tcW w:w="900"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   </w:t>
            </w:r>
          </w:p>
        </w:tc>
        <w:tc>
          <w:tcPr>
            <w:tcW w:w="867"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   </w:t>
            </w:r>
          </w:p>
        </w:tc>
        <w:tc>
          <w:tcPr>
            <w:tcW w:w="553"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   </w:t>
            </w:r>
          </w:p>
        </w:tc>
        <w:tc>
          <w:tcPr>
            <w:tcW w:w="695"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550,000 </w:t>
            </w:r>
          </w:p>
        </w:tc>
      </w:tr>
      <w:tr w:rsidR="006E10E6" w:rsidRPr="0017347D" w:rsidTr="00602F49">
        <w:tc>
          <w:tcPr>
            <w:tcW w:w="1322" w:type="pct"/>
            <w:shd w:val="clear" w:color="auto" w:fill="auto"/>
            <w:noWrap/>
            <w:hideMark/>
          </w:tcPr>
          <w:p w:rsidR="006E10E6" w:rsidRPr="0022711B" w:rsidRDefault="006E10E6" w:rsidP="005A733A">
            <w:pPr>
              <w:pStyle w:val="EYTableText"/>
              <w:ind w:left="222" w:hanging="222"/>
              <w:rPr>
                <w:sz w:val="20"/>
                <w:szCs w:val="20"/>
                <w:lang w:eastAsia="en-AU"/>
              </w:rPr>
            </w:pPr>
            <w:r w:rsidRPr="0022711B">
              <w:rPr>
                <w:sz w:val="20"/>
                <w:szCs w:val="20"/>
                <w:lang w:eastAsia="en-AU"/>
              </w:rPr>
              <w:t>7. Has a long-term health condition without disability</w:t>
            </w:r>
          </w:p>
        </w:tc>
        <w:tc>
          <w:tcPr>
            <w:tcW w:w="663"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5,170,985 </w:t>
            </w:r>
          </w:p>
        </w:tc>
        <w:tc>
          <w:tcPr>
            <w:tcW w:w="900"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   </w:t>
            </w:r>
          </w:p>
        </w:tc>
        <w:tc>
          <w:tcPr>
            <w:tcW w:w="867"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   </w:t>
            </w:r>
          </w:p>
        </w:tc>
        <w:tc>
          <w:tcPr>
            <w:tcW w:w="553"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1,192 </w:t>
            </w:r>
          </w:p>
        </w:tc>
        <w:tc>
          <w:tcPr>
            <w:tcW w:w="695"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5,172,177 </w:t>
            </w:r>
          </w:p>
        </w:tc>
      </w:tr>
      <w:tr w:rsidR="006E10E6" w:rsidRPr="0017347D" w:rsidTr="00602F49">
        <w:tc>
          <w:tcPr>
            <w:tcW w:w="1322" w:type="pct"/>
            <w:shd w:val="clear" w:color="auto" w:fill="auto"/>
            <w:noWrap/>
            <w:hideMark/>
          </w:tcPr>
          <w:p w:rsidR="006E10E6" w:rsidRPr="0022711B" w:rsidRDefault="006E10E6" w:rsidP="005A733A">
            <w:pPr>
              <w:pStyle w:val="EYTableText"/>
              <w:ind w:left="222" w:hanging="222"/>
              <w:rPr>
                <w:sz w:val="20"/>
                <w:szCs w:val="20"/>
                <w:lang w:eastAsia="en-AU"/>
              </w:rPr>
            </w:pPr>
            <w:r w:rsidRPr="0022711B">
              <w:rPr>
                <w:sz w:val="20"/>
                <w:szCs w:val="20"/>
                <w:lang w:eastAsia="en-AU"/>
              </w:rPr>
              <w:t>8. No long-term health condition or disability</w:t>
            </w:r>
          </w:p>
        </w:tc>
        <w:tc>
          <w:tcPr>
            <w:tcW w:w="663"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13,821,539 </w:t>
            </w:r>
          </w:p>
        </w:tc>
        <w:tc>
          <w:tcPr>
            <w:tcW w:w="900"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   </w:t>
            </w:r>
          </w:p>
        </w:tc>
        <w:tc>
          <w:tcPr>
            <w:tcW w:w="867"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   </w:t>
            </w:r>
          </w:p>
        </w:tc>
        <w:tc>
          <w:tcPr>
            <w:tcW w:w="553"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1,993 </w:t>
            </w:r>
          </w:p>
        </w:tc>
        <w:tc>
          <w:tcPr>
            <w:tcW w:w="695"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13,823,531 </w:t>
            </w:r>
          </w:p>
        </w:tc>
      </w:tr>
      <w:tr w:rsidR="006E10E6" w:rsidRPr="0017347D" w:rsidTr="0022711B">
        <w:trPr>
          <w:trHeight w:val="423"/>
        </w:trPr>
        <w:tc>
          <w:tcPr>
            <w:tcW w:w="1322" w:type="pct"/>
            <w:shd w:val="clear" w:color="auto" w:fill="auto"/>
            <w:noWrap/>
            <w:hideMark/>
          </w:tcPr>
          <w:p w:rsidR="006E10E6" w:rsidRPr="0022711B" w:rsidRDefault="006E10E6" w:rsidP="005A733A">
            <w:pPr>
              <w:pStyle w:val="EYTableText"/>
              <w:rPr>
                <w:sz w:val="20"/>
                <w:szCs w:val="20"/>
                <w:lang w:eastAsia="en-AU"/>
              </w:rPr>
            </w:pPr>
            <w:r w:rsidRPr="0022711B">
              <w:rPr>
                <w:sz w:val="20"/>
                <w:szCs w:val="20"/>
                <w:lang w:eastAsia="en-AU"/>
              </w:rPr>
              <w:t>TOTAL</w:t>
            </w:r>
          </w:p>
        </w:tc>
        <w:tc>
          <w:tcPr>
            <w:tcW w:w="663"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21,853,817 </w:t>
            </w:r>
          </w:p>
        </w:tc>
        <w:tc>
          <w:tcPr>
            <w:tcW w:w="900"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394,619 </w:t>
            </w:r>
          </w:p>
        </w:tc>
        <w:tc>
          <w:tcPr>
            <w:tcW w:w="867"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1,006,406 </w:t>
            </w:r>
          </w:p>
        </w:tc>
        <w:tc>
          <w:tcPr>
            <w:tcW w:w="553"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30,937 </w:t>
            </w:r>
          </w:p>
        </w:tc>
        <w:tc>
          <w:tcPr>
            <w:tcW w:w="695" w:type="pct"/>
            <w:shd w:val="clear" w:color="auto" w:fill="auto"/>
            <w:noWrap/>
            <w:hideMark/>
          </w:tcPr>
          <w:p w:rsidR="006E10E6" w:rsidRPr="00602F49" w:rsidRDefault="006E10E6" w:rsidP="007E113B">
            <w:pPr>
              <w:pStyle w:val="EYTableText"/>
              <w:jc w:val="right"/>
              <w:rPr>
                <w:sz w:val="20"/>
                <w:szCs w:val="20"/>
                <w:lang w:eastAsia="en-AU"/>
              </w:rPr>
            </w:pPr>
            <w:r w:rsidRPr="00602F49">
              <w:rPr>
                <w:sz w:val="20"/>
                <w:szCs w:val="20"/>
                <w:lang w:eastAsia="en-AU"/>
              </w:rPr>
              <w:t xml:space="preserve">23,285,779 </w:t>
            </w:r>
          </w:p>
        </w:tc>
      </w:tr>
    </w:tbl>
    <w:p w:rsidR="006E10E6" w:rsidRDefault="00CD2CA0" w:rsidP="00602F49">
      <w:pPr>
        <w:keepNext/>
        <w:spacing w:after="0"/>
        <w:rPr>
          <w:rFonts w:cs="Arial"/>
          <w:sz w:val="20"/>
          <w:szCs w:val="24"/>
        </w:rPr>
      </w:pPr>
      <w:r w:rsidRPr="00DB1504">
        <w:rPr>
          <w:rFonts w:cs="Arial"/>
          <w:sz w:val="20"/>
          <w:szCs w:val="24"/>
        </w:rPr>
        <w:t>Source: SDAC</w:t>
      </w:r>
      <w:r>
        <w:rPr>
          <w:rFonts w:cs="Arial"/>
          <w:sz w:val="20"/>
          <w:szCs w:val="24"/>
        </w:rPr>
        <w:t>, EY estimates</w:t>
      </w:r>
    </w:p>
    <w:p w:rsidR="003C6B6B" w:rsidRPr="00DB1504" w:rsidRDefault="003C6B6B" w:rsidP="009260BA">
      <w:pPr>
        <w:keepNext/>
        <w:rPr>
          <w:rFonts w:cs="Arial"/>
          <w:sz w:val="20"/>
          <w:szCs w:val="24"/>
        </w:rPr>
      </w:pPr>
      <w:r>
        <w:rPr>
          <w:rFonts w:cs="Arial"/>
          <w:sz w:val="20"/>
          <w:szCs w:val="24"/>
        </w:rPr>
        <w:t xml:space="preserve">Note: </w:t>
      </w:r>
      <w:r w:rsidR="00017294">
        <w:rPr>
          <w:rFonts w:cs="Arial"/>
          <w:sz w:val="20"/>
          <w:szCs w:val="24"/>
        </w:rPr>
        <w:t xml:space="preserve">Figures </w:t>
      </w:r>
      <w:r>
        <w:rPr>
          <w:rFonts w:cs="Arial"/>
          <w:sz w:val="20"/>
          <w:szCs w:val="24"/>
        </w:rPr>
        <w:t xml:space="preserve">in bold are those which are included as part of </w:t>
      </w:r>
      <w:r w:rsidR="00017294">
        <w:rPr>
          <w:rFonts w:cs="Arial"/>
          <w:sz w:val="20"/>
          <w:szCs w:val="24"/>
        </w:rPr>
        <w:t xml:space="preserve">the estimated </w:t>
      </w:r>
      <w:r>
        <w:rPr>
          <w:rFonts w:cs="Arial"/>
          <w:sz w:val="20"/>
          <w:szCs w:val="24"/>
        </w:rPr>
        <w:t>core cohort</w:t>
      </w:r>
      <w:r w:rsidR="00017294">
        <w:rPr>
          <w:rFonts w:cs="Arial"/>
          <w:sz w:val="20"/>
          <w:szCs w:val="24"/>
        </w:rPr>
        <w:t>.</w:t>
      </w:r>
    </w:p>
    <w:p w:rsidR="006E10E6" w:rsidRDefault="006E10E6" w:rsidP="00145D1B">
      <w:pPr>
        <w:pStyle w:val="Heading3"/>
      </w:pPr>
      <w:r>
        <w:t>Cross referencing with other estimates/approaches</w:t>
      </w:r>
    </w:p>
    <w:p w:rsidR="009B3307" w:rsidRPr="00672FED" w:rsidRDefault="00672FED" w:rsidP="00F36E9F">
      <w:pPr>
        <w:pStyle w:val="EYBodytextwithparaspace"/>
        <w:rPr>
          <w:rStyle w:val="Strong"/>
          <w:b w:val="0"/>
        </w:rPr>
      </w:pPr>
      <w:r>
        <w:rPr>
          <w:rStyle w:val="Strong"/>
          <w:b w:val="0"/>
        </w:rPr>
        <w:t>In estimating the core cohort, we also cross referenc</w:t>
      </w:r>
      <w:r w:rsidR="0042273F">
        <w:rPr>
          <w:rStyle w:val="Strong"/>
          <w:b w:val="0"/>
        </w:rPr>
        <w:t>ed</w:t>
      </w:r>
      <w:r>
        <w:rPr>
          <w:rStyle w:val="Strong"/>
          <w:b w:val="0"/>
        </w:rPr>
        <w:t xml:space="preserve"> with other estimates and </w:t>
      </w:r>
      <w:r w:rsidR="00CE74AD">
        <w:rPr>
          <w:rStyle w:val="Strong"/>
          <w:b w:val="0"/>
        </w:rPr>
        <w:t xml:space="preserve">approaches, </w:t>
      </w:r>
      <w:r w:rsidRPr="003828E9">
        <w:rPr>
          <w:rStyle w:val="Strong"/>
          <w:b w:val="0"/>
          <w:bCs w:val="0"/>
        </w:rPr>
        <w:t>including</w:t>
      </w:r>
      <w:r>
        <w:rPr>
          <w:rStyle w:val="Strong"/>
          <w:b w:val="0"/>
        </w:rPr>
        <w:t xml:space="preserve"> the </w:t>
      </w:r>
      <w:r w:rsidR="00B66B0D">
        <w:rPr>
          <w:rStyle w:val="Strong"/>
          <w:b w:val="0"/>
        </w:rPr>
        <w:t>C</w:t>
      </w:r>
      <w:r>
        <w:rPr>
          <w:rStyle w:val="Strong"/>
          <w:b w:val="0"/>
        </w:rPr>
        <w:t xml:space="preserve">hanging </w:t>
      </w:r>
      <w:r w:rsidR="00B66B0D">
        <w:rPr>
          <w:rStyle w:val="Strong"/>
          <w:b w:val="0"/>
        </w:rPr>
        <w:t>P</w:t>
      </w:r>
      <w:r>
        <w:rPr>
          <w:rStyle w:val="Strong"/>
          <w:b w:val="0"/>
        </w:rPr>
        <w:t>laces approach</w:t>
      </w:r>
      <w:r w:rsidR="0081239E">
        <w:rPr>
          <w:rStyle w:val="Strong"/>
          <w:b w:val="0"/>
        </w:rPr>
        <w:t xml:space="preserve"> in both Australia and the UK,</w:t>
      </w:r>
      <w:r w:rsidR="002C24A3">
        <w:rPr>
          <w:rStyle w:val="Strong"/>
          <w:b w:val="0"/>
        </w:rPr>
        <w:t xml:space="preserve"> and expected NDIS recipients.</w:t>
      </w:r>
    </w:p>
    <w:p w:rsidR="0081239E" w:rsidRPr="00672FED" w:rsidRDefault="0081239E" w:rsidP="0081239E">
      <w:pPr>
        <w:pStyle w:val="EYAppendixHeading3"/>
      </w:pPr>
      <w:r>
        <w:t xml:space="preserve">Changing Places approach (Australia) </w:t>
      </w:r>
    </w:p>
    <w:p w:rsidR="0081239E" w:rsidRDefault="0081239E" w:rsidP="0081239E">
      <w:pPr>
        <w:pStyle w:val="EYBodytextwithparaspace"/>
      </w:pPr>
      <w:r>
        <w:t xml:space="preserve">Changing Places (Australia) estimates that there are </w:t>
      </w:r>
      <w:r w:rsidRPr="00AC572E">
        <w:t xml:space="preserve">around 200,000 </w:t>
      </w:r>
      <w:r>
        <w:t>people with severe incontinence who have a disability and are profou</w:t>
      </w:r>
      <w:r w:rsidR="00B24AB8">
        <w:t>ndly limited in core activities. This estimate is based on the Australian I</w:t>
      </w:r>
      <w:r>
        <w:t>nstitute of Health and Welfare’s (AIHW) report on Incontinen</w:t>
      </w:r>
      <w:r w:rsidR="00B24AB8">
        <w:t>ce in Australia.</w:t>
      </w:r>
      <w:r w:rsidRPr="00C133AC">
        <w:rPr>
          <w:rStyle w:val="FootnoteReference"/>
          <w:sz w:val="24"/>
          <w:szCs w:val="24"/>
        </w:rPr>
        <w:footnoteReference w:id="55"/>
      </w:r>
    </w:p>
    <w:p w:rsidR="0081239E" w:rsidRDefault="0081239E" w:rsidP="00681E1A">
      <w:pPr>
        <w:pStyle w:val="EYBodytextwithparaspace"/>
        <w:spacing w:after="200"/>
      </w:pPr>
      <w:r>
        <w:t>For the purposes of the AIHW Report, people with a disability were “identified as having severe incontinence if they:</w:t>
      </w:r>
    </w:p>
    <w:p w:rsidR="0081239E" w:rsidRDefault="00816051" w:rsidP="0081239E">
      <w:pPr>
        <w:pStyle w:val="EYBulletedText1"/>
      </w:pPr>
      <w:r>
        <w:t xml:space="preserve">Answered </w:t>
      </w:r>
      <w:r w:rsidR="0081239E">
        <w:t>‘yes’ to having difficulty with controlling bladder or bowel functions and ‘yes’ to needing help with managing this difficulty (either always or sometimes needing help); and / or</w:t>
      </w:r>
    </w:p>
    <w:p w:rsidR="0081239E" w:rsidRDefault="00816051" w:rsidP="0081239E">
      <w:pPr>
        <w:pStyle w:val="EYBulletedText1"/>
      </w:pPr>
      <w:r>
        <w:t xml:space="preserve">Answered </w:t>
      </w:r>
      <w:r w:rsidR="0081239E">
        <w:t>‘yes’ to using continence aid(s).</w:t>
      </w:r>
      <w:r w:rsidR="0081239E" w:rsidRPr="008C1D75">
        <w:rPr>
          <w:rStyle w:val="FootnoteReference"/>
          <w:szCs w:val="24"/>
        </w:rPr>
        <w:t xml:space="preserve"> </w:t>
      </w:r>
    </w:p>
    <w:p w:rsidR="0081239E" w:rsidRDefault="0081239E" w:rsidP="0081239E">
      <w:pPr>
        <w:pStyle w:val="EYBodytextwithparaspace"/>
      </w:pPr>
      <w:r>
        <w:t xml:space="preserve">It is to be expected that this figure would be a subset of our estimate, since in our estimation having a complex disability </w:t>
      </w:r>
      <w:r w:rsidR="00CE74AD">
        <w:t>doesn’t</w:t>
      </w:r>
      <w:r>
        <w:t xml:space="preserve"> necessary</w:t>
      </w:r>
      <w:r w:rsidR="002C24A3">
        <w:t xml:space="preserve"> mean being incontinent.</w:t>
      </w:r>
    </w:p>
    <w:p w:rsidR="009B3307" w:rsidRPr="003828E9" w:rsidRDefault="009B3307" w:rsidP="003828E9">
      <w:pPr>
        <w:pStyle w:val="EYAppendixHeading3"/>
        <w:rPr>
          <w:rStyle w:val="Strong"/>
          <w:b/>
          <w:bCs w:val="0"/>
        </w:rPr>
      </w:pPr>
      <w:r w:rsidRPr="003828E9">
        <w:rPr>
          <w:rStyle w:val="Strong"/>
          <w:b/>
          <w:bCs w:val="0"/>
        </w:rPr>
        <w:t>Changing places approach</w:t>
      </w:r>
      <w:r w:rsidR="00401293">
        <w:rPr>
          <w:rStyle w:val="Strong"/>
          <w:b/>
          <w:bCs w:val="0"/>
        </w:rPr>
        <w:t xml:space="preserve"> (UK)</w:t>
      </w:r>
    </w:p>
    <w:p w:rsidR="00955892" w:rsidRPr="00955892" w:rsidRDefault="00955892" w:rsidP="003828E9">
      <w:pPr>
        <w:pStyle w:val="EYBodytextwithparaspace"/>
      </w:pPr>
      <w:r w:rsidRPr="00955892">
        <w:t>Another alternative would be to base the population estimate on the specific types of disabilities identified in the 2009 UK Changing Places Report</w:t>
      </w:r>
      <w:r w:rsidR="000A3E25">
        <w:t>, which estimates potential users of these facilities</w:t>
      </w:r>
      <w:r w:rsidR="00AF3692">
        <w:t xml:space="preserve"> based on the number of people with certain types of disability</w:t>
      </w:r>
      <w:r w:rsidR="00975557">
        <w:t>.</w:t>
      </w:r>
      <w:r>
        <w:rPr>
          <w:rStyle w:val="FootnoteReference"/>
          <w:szCs w:val="24"/>
        </w:rPr>
        <w:footnoteReference w:id="56"/>
      </w:r>
      <w:r w:rsidR="00DB0D16">
        <w:t xml:space="preserve"> </w:t>
      </w:r>
      <w:r w:rsidRPr="00955892">
        <w:t xml:space="preserve">However, this approach risked not only excluding people with profound or severe core </w:t>
      </w:r>
      <w:r w:rsidRPr="00955892">
        <w:lastRenderedPageBreak/>
        <w:t xml:space="preserve">activity limitations </w:t>
      </w:r>
      <w:r w:rsidR="00CE74AD">
        <w:t>who would</w:t>
      </w:r>
      <w:r w:rsidRPr="00955892">
        <w:t xml:space="preserve"> not </w:t>
      </w:r>
      <w:r w:rsidR="00CE74AD">
        <w:t xml:space="preserve">be captured by </w:t>
      </w:r>
      <w:r w:rsidRPr="00955892">
        <w:t xml:space="preserve">the specific list of conditions, but also </w:t>
      </w:r>
      <w:r w:rsidR="00CE74AD">
        <w:t xml:space="preserve">could include </w:t>
      </w:r>
      <w:r w:rsidRPr="00955892">
        <w:t xml:space="preserve">people </w:t>
      </w:r>
      <w:r w:rsidR="00CE74AD">
        <w:t xml:space="preserve">captured by </w:t>
      </w:r>
      <w:r w:rsidRPr="00955892">
        <w:t>the list</w:t>
      </w:r>
      <w:r w:rsidR="00CE74AD">
        <w:t>,</w:t>
      </w:r>
      <w:r w:rsidRPr="00955892">
        <w:t xml:space="preserve"> but who did not define themselves as having profound or severe core activity limitations</w:t>
      </w:r>
      <w:r w:rsidR="00CE74AD">
        <w:t>.</w:t>
      </w:r>
      <w:r w:rsidRPr="00955892">
        <w:t xml:space="preserve"> (</w:t>
      </w:r>
      <w:r w:rsidR="00CE74AD">
        <w:t xml:space="preserve">Note </w:t>
      </w:r>
      <w:r w:rsidRPr="00955892">
        <w:t xml:space="preserve">that conditions have a broad spectrum of </w:t>
      </w:r>
      <w:r>
        <w:t>severity</w:t>
      </w:r>
      <w:r w:rsidRPr="00955892">
        <w:t>).</w:t>
      </w:r>
    </w:p>
    <w:p w:rsidR="00955892" w:rsidRPr="00C62436" w:rsidRDefault="009B3307" w:rsidP="003828E9">
      <w:pPr>
        <w:pStyle w:val="EYAppendixHeading3"/>
      </w:pPr>
      <w:r>
        <w:t>Expected NDIS recipients</w:t>
      </w:r>
    </w:p>
    <w:p w:rsidR="00233EB1" w:rsidRDefault="00152F10" w:rsidP="003828E9">
      <w:pPr>
        <w:pStyle w:val="EYBodytextwithparaspace"/>
      </w:pPr>
      <w:r>
        <w:t xml:space="preserve">As a final ‘sense check’ it is worth </w:t>
      </w:r>
      <w:r w:rsidR="00C741BC">
        <w:t xml:space="preserve">noting that when fully implemented in 2019-20 the NDIS is expected to benefit approximately </w:t>
      </w:r>
      <w:r w:rsidR="00233EB1">
        <w:t xml:space="preserve">450,000 - </w:t>
      </w:r>
      <w:r w:rsidR="00C741BC">
        <w:t>4</w:t>
      </w:r>
      <w:r w:rsidR="00233EB1">
        <w:t>75</w:t>
      </w:r>
      <w:r w:rsidR="00C741BC">
        <w:t>,000 Australians.</w:t>
      </w:r>
      <w:r w:rsidR="00C741BC" w:rsidRPr="00C133AC">
        <w:rPr>
          <w:rStyle w:val="FootnoteReference"/>
          <w:sz w:val="24"/>
          <w:szCs w:val="24"/>
        </w:rPr>
        <w:footnoteReference w:id="57"/>
      </w:r>
      <w:r w:rsidR="00C741BC">
        <w:t xml:space="preserve"> While not directly relevant for the purposes of estimating our cohort, it is </w:t>
      </w:r>
      <w:r w:rsidR="00BE322E">
        <w:t xml:space="preserve">intuitive that our cohort would be </w:t>
      </w:r>
      <w:r w:rsidR="00854B60">
        <w:t>roughly similar in magnitude to the expected number of NDIS recipients</w:t>
      </w:r>
      <w:r w:rsidR="00BE322E">
        <w:t>.</w:t>
      </w:r>
      <w:r w:rsidR="002C24A3">
        <w:t xml:space="preserve"> </w:t>
      </w:r>
      <w:r w:rsidR="00421FCC">
        <w:t>While the NDIS relates to people under the age of 65, it is also expected that some people eligible for the NDIS will</w:t>
      </w:r>
      <w:r w:rsidR="004834B6">
        <w:t xml:space="preserve"> not require </w:t>
      </w:r>
      <w:r w:rsidR="002D7A82">
        <w:t>AACFs</w:t>
      </w:r>
      <w:r w:rsidR="004834B6">
        <w:t>.</w:t>
      </w:r>
    </w:p>
    <w:p w:rsidR="009B3307" w:rsidRDefault="009B3307" w:rsidP="00145D1B">
      <w:pPr>
        <w:pStyle w:val="Heading3"/>
      </w:pPr>
      <w:r>
        <w:t>Limitations of our analysis</w:t>
      </w:r>
    </w:p>
    <w:p w:rsidR="00553868" w:rsidRPr="00553868" w:rsidRDefault="00802397" w:rsidP="00681E1A">
      <w:pPr>
        <w:pStyle w:val="EYBodytextwithparaspace"/>
        <w:spacing w:after="200"/>
      </w:pPr>
      <w:r>
        <w:t>A</w:t>
      </w:r>
      <w:r w:rsidR="00553868" w:rsidRPr="00553868">
        <w:t xml:space="preserve">lthough </w:t>
      </w:r>
      <w:r w:rsidR="00854B60">
        <w:t xml:space="preserve">the estimated </w:t>
      </w:r>
      <w:r w:rsidR="00553868" w:rsidRPr="00553868">
        <w:t xml:space="preserve">core cohort is </w:t>
      </w:r>
      <w:r w:rsidR="00BD3D20">
        <w:t xml:space="preserve">expected to be </w:t>
      </w:r>
      <w:r w:rsidR="00553868" w:rsidRPr="00553868">
        <w:t>more inclusive than other estimates, that is not to s</w:t>
      </w:r>
      <w:r w:rsidR="002C24A3">
        <w:t xml:space="preserve">ay that it is fully inclusive. </w:t>
      </w:r>
      <w:r w:rsidR="00553868" w:rsidRPr="00553868">
        <w:t>We acknowledge that our estimated cohort likely excludes some people, including:</w:t>
      </w:r>
    </w:p>
    <w:p w:rsidR="00553868" w:rsidRPr="00553868" w:rsidRDefault="00553868" w:rsidP="003828E9">
      <w:pPr>
        <w:pStyle w:val="EYBulletedText1"/>
      </w:pPr>
      <w:r w:rsidRPr="00553868">
        <w:t>People who have</w:t>
      </w:r>
      <w:r>
        <w:t xml:space="preserve"> self-</w:t>
      </w:r>
      <w:r w:rsidRPr="00553868">
        <w:t>reported a moderate core a</w:t>
      </w:r>
      <w:r>
        <w:t>c</w:t>
      </w:r>
      <w:r w:rsidRPr="00553868">
        <w:t>tivity limitation, but whose limitations might be considered profound or severe by others</w:t>
      </w:r>
      <w:r w:rsidR="00AB0998">
        <w:t>.</w:t>
      </w:r>
    </w:p>
    <w:p w:rsidR="00553868" w:rsidRDefault="00553868" w:rsidP="003828E9">
      <w:pPr>
        <w:pStyle w:val="EYBulletedText1"/>
      </w:pPr>
      <w:r w:rsidRPr="00553868">
        <w:t>People who</w:t>
      </w:r>
      <w:r w:rsidR="00E27D9D">
        <w:t>s</w:t>
      </w:r>
      <w:r w:rsidR="00FF17D5">
        <w:t>e</w:t>
      </w:r>
      <w:r w:rsidR="00E27D9D">
        <w:t xml:space="preserve"> disability is</w:t>
      </w:r>
      <w:r w:rsidRPr="00553868">
        <w:t xml:space="preserve"> so profound that they simply have not attempted to access buildings or facilities in the last 12 months (although to an extent this group is likely captured in the ‘does not leave home’ category</w:t>
      </w:r>
      <w:r w:rsidR="00B4407B">
        <w:t>)</w:t>
      </w:r>
      <w:r>
        <w:t>.</w:t>
      </w:r>
    </w:p>
    <w:p w:rsidR="00553868" w:rsidRDefault="00553868" w:rsidP="003828E9">
      <w:pPr>
        <w:pStyle w:val="EYBulletedText1"/>
      </w:pPr>
      <w:r>
        <w:t xml:space="preserve">People who may have suffered from a one off injury which has left them </w:t>
      </w:r>
      <w:r w:rsidR="00CE74AD">
        <w:t>with a temporary disability</w:t>
      </w:r>
      <w:r w:rsidR="00AB0998">
        <w:t>.</w:t>
      </w:r>
    </w:p>
    <w:p w:rsidR="00471364" w:rsidRDefault="00471364" w:rsidP="00681E1A">
      <w:pPr>
        <w:pStyle w:val="EYBodytextwithparaspace"/>
        <w:spacing w:after="200"/>
      </w:pPr>
      <w:r>
        <w:t>Finally, a</w:t>
      </w:r>
      <w:r w:rsidR="006C74C6">
        <w:t xml:space="preserve">n inherent </w:t>
      </w:r>
      <w:r w:rsidR="00023840">
        <w:t>limitation</w:t>
      </w:r>
      <w:r w:rsidR="006C74C6">
        <w:t xml:space="preserve"> of this type of analysis is that it is static, measuring the level of </w:t>
      </w:r>
      <w:r w:rsidR="009F4600">
        <w:t xml:space="preserve">disability </w:t>
      </w:r>
      <w:r w:rsidR="006C74C6">
        <w:t xml:space="preserve">in the community at a point in </w:t>
      </w:r>
      <w:r w:rsidR="00023840">
        <w:t>time</w:t>
      </w:r>
      <w:r w:rsidR="006C74C6">
        <w:t xml:space="preserve">. </w:t>
      </w:r>
      <w:r>
        <w:t>Over time though, there will be inflows and outflows:</w:t>
      </w:r>
    </w:p>
    <w:p w:rsidR="00471364" w:rsidRDefault="00471364" w:rsidP="003828E9">
      <w:pPr>
        <w:pStyle w:val="EYBulletedText1"/>
      </w:pPr>
      <w:r w:rsidRPr="00471364">
        <w:t>People</w:t>
      </w:r>
      <w:r w:rsidR="006C74C6" w:rsidRPr="00471364">
        <w:t xml:space="preserve"> ‘on the margins’ of our core cohort – </w:t>
      </w:r>
      <w:r w:rsidR="00023840" w:rsidRPr="00471364">
        <w:t>e.g.</w:t>
      </w:r>
      <w:r w:rsidR="006C74C6" w:rsidRPr="00471364">
        <w:t xml:space="preserve"> those who have reported a moderate core </w:t>
      </w:r>
      <w:r w:rsidR="00023840" w:rsidRPr="00DB1504">
        <w:t>activity</w:t>
      </w:r>
      <w:r w:rsidR="006C74C6" w:rsidRPr="00DB1504">
        <w:t xml:space="preserve"> </w:t>
      </w:r>
      <w:r w:rsidR="00023840" w:rsidRPr="00DB1504">
        <w:t>limitation</w:t>
      </w:r>
      <w:r w:rsidR="009F4600">
        <w:t>,</w:t>
      </w:r>
      <w:r w:rsidR="00023840" w:rsidRPr="00DB1504">
        <w:t xml:space="preserve"> but whose condition is expected to worsen in severity over time</w:t>
      </w:r>
      <w:r w:rsidRPr="00DB1504">
        <w:t xml:space="preserve"> – </w:t>
      </w:r>
      <w:r w:rsidR="009F4600">
        <w:t>and</w:t>
      </w:r>
      <w:r w:rsidR="009F4600" w:rsidRPr="00DB1504">
        <w:t xml:space="preserve"> </w:t>
      </w:r>
      <w:r w:rsidRPr="00DB1504">
        <w:t>would be expected to enter t</w:t>
      </w:r>
      <w:r w:rsidR="002C24A3">
        <w:t>he cohort in the coming years.</w:t>
      </w:r>
    </w:p>
    <w:p w:rsidR="00471364" w:rsidRDefault="00471364" w:rsidP="003828E9">
      <w:pPr>
        <w:pStyle w:val="EYBulletedText1"/>
      </w:pPr>
      <w:r>
        <w:t>S</w:t>
      </w:r>
      <w:r w:rsidRPr="00471364">
        <w:t xml:space="preserve">ome will leave the cohort </w:t>
      </w:r>
      <w:r>
        <w:t>in future periods,</w:t>
      </w:r>
      <w:r w:rsidRPr="00471364">
        <w:t xml:space="preserve"> either through death or </w:t>
      </w:r>
      <w:r w:rsidR="002C24A3">
        <w:t>improvement in their condition.</w:t>
      </w:r>
    </w:p>
    <w:p w:rsidR="00553868" w:rsidRPr="00471364" w:rsidRDefault="00471364" w:rsidP="003828E9">
      <w:pPr>
        <w:pStyle w:val="EYBodytextwithparaspace"/>
      </w:pPr>
      <w:r>
        <w:t xml:space="preserve">An implicit assumption underpinning our analysis is that the inflows roughly equal the outflows in any given year, keeping the overall figure constant. </w:t>
      </w:r>
      <w:r w:rsidRPr="00471364">
        <w:t>A truly accurate estimation of the core cohort would require detailed life-cycle modelling</w:t>
      </w:r>
      <w:r>
        <w:t xml:space="preserve">, taking into account </w:t>
      </w:r>
      <w:r w:rsidR="00EF258F">
        <w:t xml:space="preserve">a range of variables such as </w:t>
      </w:r>
      <w:r>
        <w:t xml:space="preserve">projected mortality rates, disability rates, </w:t>
      </w:r>
      <w:r w:rsidR="00EF258F">
        <w:t>fertility rates, and migration rates</w:t>
      </w:r>
      <w:r>
        <w:t>.</w:t>
      </w:r>
    </w:p>
    <w:p w:rsidR="008D08A2" w:rsidRPr="008D08A2" w:rsidRDefault="008D08A2" w:rsidP="00145D1B">
      <w:pPr>
        <w:pStyle w:val="Heading2"/>
      </w:pPr>
      <w:bookmarkStart w:id="397" w:name="_Toc504063169"/>
      <w:bookmarkStart w:id="398" w:name="_Ref504380187"/>
      <w:bookmarkStart w:id="399" w:name="_Toc504388860"/>
      <w:bookmarkStart w:id="400" w:name="_Toc504401711"/>
      <w:bookmarkStart w:id="401" w:name="_Toc504649917"/>
      <w:bookmarkStart w:id="402" w:name="_Toc525897794"/>
      <w:r w:rsidRPr="008D08A2">
        <w:lastRenderedPageBreak/>
        <w:t xml:space="preserve">Defining the </w:t>
      </w:r>
      <w:r>
        <w:t>non-</w:t>
      </w:r>
      <w:r w:rsidRPr="008D08A2">
        <w:t>core cohort</w:t>
      </w:r>
      <w:bookmarkEnd w:id="397"/>
      <w:bookmarkEnd w:id="398"/>
      <w:bookmarkEnd w:id="399"/>
      <w:bookmarkEnd w:id="400"/>
      <w:bookmarkEnd w:id="401"/>
      <w:bookmarkEnd w:id="402"/>
    </w:p>
    <w:p w:rsidR="00AA5B35" w:rsidRDefault="008D08A2" w:rsidP="00F36E9F">
      <w:pPr>
        <w:pStyle w:val="EYBodytextwithparaspace"/>
      </w:pPr>
      <w:r>
        <w:t>T</w:t>
      </w:r>
      <w:r w:rsidR="00AA5B35">
        <w:t xml:space="preserve">here are </w:t>
      </w:r>
      <w:r>
        <w:t xml:space="preserve">also </w:t>
      </w:r>
      <w:r w:rsidR="00AA5B35">
        <w:t>a range of people outside of the core cohort who will also potentially benefit from these facilities. Those in the non-core cohort might include</w:t>
      </w:r>
      <w:r w:rsidR="00B24AB8">
        <w:t>:</w:t>
      </w:r>
    </w:p>
    <w:p w:rsidR="00AA5B35" w:rsidRDefault="00AA5B35" w:rsidP="003828E9">
      <w:pPr>
        <w:pStyle w:val="EYBulletedText1"/>
      </w:pPr>
      <w:r>
        <w:rPr>
          <w:b/>
          <w:bCs/>
        </w:rPr>
        <w:t xml:space="preserve">Elderly people: </w:t>
      </w:r>
      <w:r>
        <w:t>People without a specific disability but face difficulties with core activities</w:t>
      </w:r>
      <w:r w:rsidR="00C002B6">
        <w:t>.</w:t>
      </w:r>
      <w:r>
        <w:t xml:space="preserve"> </w:t>
      </w:r>
    </w:p>
    <w:p w:rsidR="00263ECA" w:rsidRDefault="00AA5B35" w:rsidP="003828E9">
      <w:pPr>
        <w:pStyle w:val="EYBulletedText1"/>
      </w:pPr>
      <w:r>
        <w:rPr>
          <w:b/>
          <w:bCs/>
        </w:rPr>
        <w:t xml:space="preserve">People with short-term injuries: </w:t>
      </w:r>
      <w:r>
        <w:rPr>
          <w:lang w:val="en-US"/>
        </w:rPr>
        <w:t>People that do</w:t>
      </w:r>
      <w:r w:rsidR="00A55F43">
        <w:rPr>
          <w:lang w:val="en-US"/>
        </w:rPr>
        <w:t xml:space="preserve"> not</w:t>
      </w:r>
      <w:r>
        <w:rPr>
          <w:lang w:val="en-US"/>
        </w:rPr>
        <w:t xml:space="preserve"> usually need change facilities but due to unforeseen injuries </w:t>
      </w:r>
      <w:r>
        <w:t>may have a short-term need for such facilities</w:t>
      </w:r>
      <w:r w:rsidR="00C002B6">
        <w:t>.</w:t>
      </w:r>
    </w:p>
    <w:p w:rsidR="00AA5B35" w:rsidRPr="00263ECA" w:rsidRDefault="00AA5B35" w:rsidP="003828E9">
      <w:pPr>
        <w:pStyle w:val="EYBulletedText1"/>
      </w:pPr>
      <w:r w:rsidRPr="00263ECA">
        <w:rPr>
          <w:b/>
          <w:bCs/>
        </w:rPr>
        <w:t xml:space="preserve">Industry / business: </w:t>
      </w:r>
      <w:r w:rsidRPr="00263ECA">
        <w:t>Class 6</w:t>
      </w:r>
      <w:r w:rsidR="00B8094F">
        <w:t xml:space="preserve"> shopping centres</w:t>
      </w:r>
      <w:r w:rsidRPr="00263ECA">
        <w:t xml:space="preserve"> and </w:t>
      </w:r>
      <w:r w:rsidR="006B28B8">
        <w:t>Class 9b</w:t>
      </w:r>
      <w:r w:rsidRPr="00263ECA">
        <w:t xml:space="preserve"> </w:t>
      </w:r>
      <w:r w:rsidR="00B8094F">
        <w:t xml:space="preserve">assembly </w:t>
      </w:r>
      <w:r w:rsidRPr="00263ECA">
        <w:t>building owners/operators</w:t>
      </w:r>
      <w:r w:rsidR="00C002B6">
        <w:t>.</w:t>
      </w:r>
    </w:p>
    <w:p w:rsidR="00B8094F" w:rsidRPr="00B8094F" w:rsidRDefault="00B8094F" w:rsidP="003828E9">
      <w:pPr>
        <w:pStyle w:val="EYBulletedText1"/>
      </w:pPr>
      <w:r w:rsidRPr="009348E8">
        <w:rPr>
          <w:b/>
        </w:rPr>
        <w:t>Carers:</w:t>
      </w:r>
      <w:r>
        <w:t xml:space="preserve"> People who assist core cohort users accessing sanitary facilities</w:t>
      </w:r>
      <w:r w:rsidR="00C002B6">
        <w:t>.</w:t>
      </w:r>
      <w:r>
        <w:t xml:space="preserve"> </w:t>
      </w:r>
    </w:p>
    <w:p w:rsidR="00AA5B35" w:rsidRDefault="00AA5B35" w:rsidP="003828E9">
      <w:pPr>
        <w:pStyle w:val="EYBulletedText1"/>
      </w:pPr>
      <w:r>
        <w:rPr>
          <w:b/>
          <w:bCs/>
        </w:rPr>
        <w:t xml:space="preserve">Non-users of the facility: </w:t>
      </w:r>
      <w:r>
        <w:t xml:space="preserve">Other people who attend Class 6 </w:t>
      </w:r>
      <w:r w:rsidR="00B8094F">
        <w:t xml:space="preserve">shopping centres </w:t>
      </w:r>
      <w:r>
        <w:t xml:space="preserve">and </w:t>
      </w:r>
      <w:r w:rsidR="006B28B8">
        <w:t>Class 9b</w:t>
      </w:r>
      <w:r>
        <w:t xml:space="preserve"> </w:t>
      </w:r>
      <w:r w:rsidR="00B8094F">
        <w:t xml:space="preserve">assembly </w:t>
      </w:r>
      <w:r>
        <w:t>buildings</w:t>
      </w:r>
      <w:r w:rsidR="009F4600">
        <w:t>, due to a reliance on other facilities</w:t>
      </w:r>
      <w:r w:rsidR="00C002B6">
        <w:t>.</w:t>
      </w:r>
    </w:p>
    <w:p w:rsidR="00AA5B35" w:rsidRDefault="00AA5B35" w:rsidP="003828E9">
      <w:pPr>
        <w:pStyle w:val="EYBulletedText1"/>
      </w:pPr>
      <w:r>
        <w:rPr>
          <w:b/>
          <w:bCs/>
        </w:rPr>
        <w:t xml:space="preserve">Government: </w:t>
      </w:r>
      <w:r w:rsidR="009F4600">
        <w:t>State/Territory</w:t>
      </w:r>
      <w:r>
        <w:t xml:space="preserve"> and Commonwealth Government</w:t>
      </w:r>
      <w:r w:rsidR="00C002B6">
        <w:t>.</w:t>
      </w:r>
    </w:p>
    <w:p w:rsidR="00732722" w:rsidRDefault="00AA5B35" w:rsidP="00F36E9F">
      <w:pPr>
        <w:pStyle w:val="EYBodytextwithparaspace"/>
      </w:pPr>
      <w:r>
        <w:t>Whil</w:t>
      </w:r>
      <w:r w:rsidR="00854B60">
        <w:t>e</w:t>
      </w:r>
      <w:r>
        <w:t xml:space="preserve"> </w:t>
      </w:r>
      <w:r w:rsidR="000378BC">
        <w:t xml:space="preserve">the </w:t>
      </w:r>
      <w:r>
        <w:t xml:space="preserve">focus </w:t>
      </w:r>
      <w:r w:rsidR="000378BC">
        <w:t xml:space="preserve">of this </w:t>
      </w:r>
      <w:r w:rsidR="00C002B6">
        <w:t xml:space="preserve">Final </w:t>
      </w:r>
      <w:r w:rsidR="000378BC">
        <w:t xml:space="preserve">RIS is </w:t>
      </w:r>
      <w:r>
        <w:t xml:space="preserve">primarily on the ‘core’ cohort, given that there is no proposal to </w:t>
      </w:r>
      <w:r w:rsidR="00A65EC1">
        <w:t xml:space="preserve">mandate the </w:t>
      </w:r>
      <w:r>
        <w:t>restrict</w:t>
      </w:r>
      <w:r w:rsidR="00A65EC1">
        <w:t>ion of</w:t>
      </w:r>
      <w:r>
        <w:t xml:space="preserve"> access to the </w:t>
      </w:r>
      <w:r w:rsidR="000378BC">
        <w:t>facilities</w:t>
      </w:r>
      <w:r>
        <w:t xml:space="preserve">, </w:t>
      </w:r>
      <w:r w:rsidR="000378BC">
        <w:t xml:space="preserve">it </w:t>
      </w:r>
      <w:r>
        <w:t>also capture</w:t>
      </w:r>
      <w:r w:rsidR="000378BC">
        <w:t>s</w:t>
      </w:r>
      <w:r>
        <w:t xml:space="preserve"> the potential benefits for ‘non-core’ users. </w:t>
      </w:r>
    </w:p>
    <w:p w:rsidR="00B8094F" w:rsidRDefault="00EC5748" w:rsidP="00400534">
      <w:pPr>
        <w:pStyle w:val="Caption"/>
        <w:pBdr>
          <w:top w:val="single" w:sz="4" w:space="1" w:color="auto"/>
          <w:left w:val="single" w:sz="4" w:space="1" w:color="auto"/>
          <w:bottom w:val="single" w:sz="4" w:space="1" w:color="auto"/>
          <w:right w:val="single" w:sz="4" w:space="4" w:color="auto"/>
        </w:pBdr>
        <w:shd w:val="clear" w:color="auto" w:fill="D9D9D9" w:themeFill="background1" w:themeFillShade="D9"/>
      </w:pPr>
      <w:r>
        <w:t>Consultation q</w:t>
      </w:r>
      <w:r w:rsidR="00566243">
        <w:t>uestion</w:t>
      </w:r>
      <w:r w:rsidR="00B8094F">
        <w:t>s</w:t>
      </w:r>
      <w:r w:rsidR="00566243">
        <w:t xml:space="preserve"> </w:t>
      </w:r>
    </w:p>
    <w:p w:rsidR="00FD6D1A" w:rsidRPr="00DD65D7" w:rsidRDefault="008A4863" w:rsidP="00400534">
      <w:pPr>
        <w:pStyle w:val="EYBulletedText1"/>
        <w:pBdr>
          <w:top w:val="single" w:sz="4" w:space="1" w:color="auto"/>
          <w:left w:val="single" w:sz="4" w:space="1" w:color="auto"/>
          <w:bottom w:val="single" w:sz="4" w:space="1" w:color="auto"/>
          <w:right w:val="single" w:sz="4" w:space="4" w:color="auto"/>
        </w:pBdr>
        <w:shd w:val="clear" w:color="auto" w:fill="D9D9D9" w:themeFill="background1" w:themeFillShade="D9"/>
      </w:pPr>
      <w:bookmarkStart w:id="403" w:name="_Ref506883415"/>
      <w:r w:rsidRPr="00DD65D7">
        <w:t xml:space="preserve">Do you agree with the process described in Section </w:t>
      </w:r>
      <w:r w:rsidR="007C69BF">
        <w:t>5</w:t>
      </w:r>
      <w:r w:rsidRPr="00DD65D7">
        <w:t>.1 to estimate the core cohort of people with a complex disability? If not, can you suggest an alternative method?</w:t>
      </w:r>
    </w:p>
    <w:p w:rsidR="00FD6D1A" w:rsidRPr="00400534" w:rsidRDefault="00FD6D1A" w:rsidP="00400534">
      <w:pPr>
        <w:pStyle w:val="EYBulletedText1"/>
        <w:pBdr>
          <w:top w:val="single" w:sz="4" w:space="1" w:color="auto"/>
          <w:left w:val="single" w:sz="4" w:space="1" w:color="auto"/>
          <w:bottom w:val="single" w:sz="4" w:space="1" w:color="auto"/>
          <w:right w:val="single" w:sz="4" w:space="4" w:color="auto"/>
        </w:pBdr>
        <w:shd w:val="clear" w:color="auto" w:fill="D9D9D9" w:themeFill="background1" w:themeFillShade="D9"/>
      </w:pPr>
      <w:r w:rsidRPr="00400534">
        <w:t>Do you agree with the inclusion of the 22,372 people with a disability and profoundly or severely limited in core activities who do not leave home in the core cohort?</w:t>
      </w:r>
    </w:p>
    <w:p w:rsidR="00FD6D1A" w:rsidRPr="00400534" w:rsidRDefault="00FD6D1A" w:rsidP="00400534">
      <w:pPr>
        <w:pStyle w:val="EYBulletedText1"/>
        <w:pBdr>
          <w:top w:val="single" w:sz="4" w:space="1" w:color="auto"/>
          <w:left w:val="single" w:sz="4" w:space="1" w:color="auto"/>
          <w:bottom w:val="single" w:sz="4" w:space="1" w:color="auto"/>
          <w:right w:val="single" w:sz="4" w:space="4" w:color="auto"/>
        </w:pBdr>
        <w:shd w:val="clear" w:color="auto" w:fill="D9D9D9" w:themeFill="background1" w:themeFillShade="D9"/>
      </w:pPr>
      <w:r w:rsidRPr="00400534">
        <w:t>Do you agree with the description of the problem given in Section 2?</w:t>
      </w:r>
    </w:p>
    <w:p w:rsidR="00FD6D1A" w:rsidRPr="00400534" w:rsidRDefault="00FD6D1A" w:rsidP="00400534">
      <w:pPr>
        <w:pStyle w:val="EYBulletedText1"/>
        <w:pBdr>
          <w:top w:val="single" w:sz="4" w:space="1" w:color="auto"/>
          <w:left w:val="single" w:sz="4" w:space="1" w:color="auto"/>
          <w:bottom w:val="single" w:sz="4" w:space="1" w:color="auto"/>
          <w:right w:val="single" w:sz="4" w:space="4" w:color="auto"/>
        </w:pBdr>
        <w:shd w:val="clear" w:color="auto" w:fill="D9D9D9" w:themeFill="background1" w:themeFillShade="D9"/>
      </w:pPr>
      <w:r w:rsidRPr="00400534">
        <w:t xml:space="preserve">Are there any other characteristics of the problem that should be included in the analysis? </w:t>
      </w:r>
    </w:p>
    <w:p w:rsidR="00FD6D1A" w:rsidRPr="00400534" w:rsidRDefault="00FD6D1A" w:rsidP="00400534">
      <w:pPr>
        <w:pStyle w:val="EYBulletedText1"/>
        <w:pBdr>
          <w:top w:val="single" w:sz="4" w:space="1" w:color="auto"/>
          <w:left w:val="single" w:sz="4" w:space="1" w:color="auto"/>
          <w:bottom w:val="single" w:sz="4" w:space="1" w:color="auto"/>
          <w:right w:val="single" w:sz="4" w:space="4" w:color="auto"/>
        </w:pBdr>
        <w:shd w:val="clear" w:color="auto" w:fill="D9D9D9" w:themeFill="background1" w:themeFillShade="D9"/>
        <w:rPr>
          <w:noProof/>
        </w:rPr>
      </w:pPr>
      <w:r w:rsidRPr="00400534">
        <w:rPr>
          <w:noProof/>
        </w:rPr>
        <w:t xml:space="preserve">Is the currently defined population (see Section </w:t>
      </w:r>
      <w:r w:rsidR="007C69BF">
        <w:rPr>
          <w:noProof/>
        </w:rPr>
        <w:t>5</w:t>
      </w:r>
      <w:r w:rsidRPr="00400534">
        <w:rPr>
          <w:noProof/>
        </w:rPr>
        <w:t>) appropriate for the analysis?</w:t>
      </w:r>
    </w:p>
    <w:p w:rsidR="00FD6D1A" w:rsidRPr="00892259" w:rsidRDefault="00CA7828" w:rsidP="0089225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892259">
        <w:t>Summary of s</w:t>
      </w:r>
      <w:r w:rsidR="007E0B6F" w:rsidRPr="00892259">
        <w:t>takeholder feedback</w:t>
      </w:r>
    </w:p>
    <w:p w:rsidR="003D44C8" w:rsidRPr="00892259" w:rsidRDefault="0065613B" w:rsidP="0089225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892259">
        <w:rPr>
          <w:b w:val="0"/>
        </w:rPr>
        <w:t>While many responses</w:t>
      </w:r>
      <w:r w:rsidR="006B5F37" w:rsidRPr="00892259">
        <w:rPr>
          <w:b w:val="0"/>
        </w:rPr>
        <w:t xml:space="preserve"> noted that the process to estimate the core cohort was acceptable, there was </w:t>
      </w:r>
      <w:r w:rsidR="0054430A" w:rsidRPr="00892259">
        <w:rPr>
          <w:b w:val="0"/>
        </w:rPr>
        <w:t xml:space="preserve">a </w:t>
      </w:r>
      <w:r w:rsidR="006B5F37" w:rsidRPr="00892259">
        <w:rPr>
          <w:b w:val="0"/>
        </w:rPr>
        <w:t>general lack of conse</w:t>
      </w:r>
      <w:r w:rsidR="0054430A" w:rsidRPr="00892259">
        <w:rPr>
          <w:b w:val="0"/>
        </w:rPr>
        <w:t>nsus regarding the</w:t>
      </w:r>
      <w:r w:rsidR="006B5F37" w:rsidRPr="00892259">
        <w:rPr>
          <w:b w:val="0"/>
        </w:rPr>
        <w:t xml:space="preserve"> accuracy </w:t>
      </w:r>
      <w:r w:rsidR="0054430A" w:rsidRPr="00892259">
        <w:rPr>
          <w:b w:val="0"/>
        </w:rPr>
        <w:t xml:space="preserve">of its results </w:t>
      </w:r>
      <w:r w:rsidR="003A3644" w:rsidRPr="00892259">
        <w:rPr>
          <w:b w:val="0"/>
        </w:rPr>
        <w:t xml:space="preserve">due to </w:t>
      </w:r>
      <w:r w:rsidR="006B5F37" w:rsidRPr="00892259">
        <w:rPr>
          <w:b w:val="0"/>
        </w:rPr>
        <w:t xml:space="preserve">fragmented data and a lack of agreement around </w:t>
      </w:r>
      <w:r w:rsidR="00647B09" w:rsidRPr="00892259">
        <w:rPr>
          <w:b w:val="0"/>
        </w:rPr>
        <w:t xml:space="preserve">the </w:t>
      </w:r>
      <w:r w:rsidR="006B5F37" w:rsidRPr="00892259">
        <w:rPr>
          <w:b w:val="0"/>
        </w:rPr>
        <w:t>defining characteristics of people that would use AACFs.</w:t>
      </w:r>
      <w:bookmarkEnd w:id="403"/>
      <w:r w:rsidR="00270C8B" w:rsidRPr="00892259">
        <w:rPr>
          <w:b w:val="0"/>
        </w:rPr>
        <w:t xml:space="preserve"> This view was </w:t>
      </w:r>
      <w:r w:rsidR="0009590E" w:rsidRPr="00892259">
        <w:rPr>
          <w:b w:val="0"/>
        </w:rPr>
        <w:t xml:space="preserve">summed up </w:t>
      </w:r>
      <w:r w:rsidR="00270C8B" w:rsidRPr="00892259">
        <w:rPr>
          <w:b w:val="0"/>
        </w:rPr>
        <w:t xml:space="preserve">by </w:t>
      </w:r>
      <w:r w:rsidR="003D44C8" w:rsidRPr="00892259">
        <w:rPr>
          <w:b w:val="0"/>
        </w:rPr>
        <w:t>Shoalhaven City Council</w:t>
      </w:r>
      <w:r w:rsidR="0009590E" w:rsidRPr="00892259">
        <w:rPr>
          <w:b w:val="0"/>
        </w:rPr>
        <w:t>,</w:t>
      </w:r>
      <w:r w:rsidR="003D44C8" w:rsidRPr="00892259">
        <w:rPr>
          <w:b w:val="0"/>
        </w:rPr>
        <w:t xml:space="preserve"> </w:t>
      </w:r>
      <w:r w:rsidR="0009590E" w:rsidRPr="00892259">
        <w:rPr>
          <w:b w:val="0"/>
        </w:rPr>
        <w:t xml:space="preserve">which </w:t>
      </w:r>
      <w:r w:rsidR="003D44C8" w:rsidRPr="00892259">
        <w:rPr>
          <w:b w:val="0"/>
        </w:rPr>
        <w:t>noted:</w:t>
      </w:r>
    </w:p>
    <w:p w:rsidR="00215374" w:rsidRPr="00892259" w:rsidRDefault="003D44C8" w:rsidP="0089225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892259">
        <w:rPr>
          <w:b w:val="0"/>
        </w:rPr>
        <w:t>“</w:t>
      </w:r>
      <w:r w:rsidRPr="00892259">
        <w:rPr>
          <w:b w:val="0"/>
          <w:i/>
        </w:rPr>
        <w:t>Further advice is needed to determine what number of persons with disabilities are having their toileting needs met by the current, ambulant and accessible toilets</w:t>
      </w:r>
      <w:r w:rsidRPr="00892259">
        <w:rPr>
          <w:b w:val="0"/>
        </w:rPr>
        <w:t>.</w:t>
      </w:r>
      <w:r w:rsidR="009F27D8">
        <w:rPr>
          <w:b w:val="0"/>
        </w:rPr>
        <w:t xml:space="preserve"> </w:t>
      </w:r>
      <w:r w:rsidR="009F27D8" w:rsidRPr="0022711B">
        <w:rPr>
          <w:b w:val="0"/>
          <w:i/>
        </w:rPr>
        <w:t>This is critical in relation to the design, especially the peninsula toilet and whether an adult lift and change can be incorporated into a compliant accessible design.</w:t>
      </w:r>
      <w:r w:rsidR="002C24A3">
        <w:rPr>
          <w:b w:val="0"/>
        </w:rPr>
        <w:t>”</w:t>
      </w:r>
    </w:p>
    <w:p w:rsidR="00215374" w:rsidRPr="00892259" w:rsidRDefault="00215374" w:rsidP="0089225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892259">
        <w:rPr>
          <w:b w:val="0"/>
        </w:rPr>
        <w:lastRenderedPageBreak/>
        <w:t>Th</w:t>
      </w:r>
      <w:r w:rsidR="0034459C">
        <w:rPr>
          <w:b w:val="0"/>
        </w:rPr>
        <w:t xml:space="preserve">e Victorian </w:t>
      </w:r>
      <w:r w:rsidR="005A7F77">
        <w:rPr>
          <w:b w:val="0"/>
        </w:rPr>
        <w:t>HHS</w:t>
      </w:r>
      <w:r w:rsidR="0034459C">
        <w:rPr>
          <w:b w:val="0"/>
        </w:rPr>
        <w:t>BA</w:t>
      </w:r>
      <w:r w:rsidRPr="00892259">
        <w:rPr>
          <w:b w:val="0"/>
        </w:rPr>
        <w:t xml:space="preserve"> </w:t>
      </w:r>
      <w:r w:rsidR="003D4E09" w:rsidRPr="00892259">
        <w:rPr>
          <w:b w:val="0"/>
        </w:rPr>
        <w:t>suggested that the core cohort should be defined as simply being those people with profound and severe core activity limitations, totalling 1.4 million as described above.</w:t>
      </w:r>
    </w:p>
    <w:p w:rsidR="00B60F8E" w:rsidRPr="00892259" w:rsidRDefault="00B60F8E" w:rsidP="0089225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noProof/>
        </w:rPr>
      </w:pPr>
      <w:bookmarkStart w:id="404" w:name="_Ref506883422"/>
      <w:r w:rsidRPr="00892259">
        <w:rPr>
          <w:b w:val="0"/>
          <w:noProof/>
        </w:rPr>
        <w:t xml:space="preserve">While the merit of some aspects of alternative methodologies are acknowledged, it is noted that </w:t>
      </w:r>
      <w:r w:rsidR="003D4E09" w:rsidRPr="00892259">
        <w:rPr>
          <w:b w:val="0"/>
          <w:noProof/>
        </w:rPr>
        <w:t>the figure of 1.4 million</w:t>
      </w:r>
      <w:r w:rsidRPr="00892259">
        <w:rPr>
          <w:b w:val="0"/>
          <w:noProof/>
        </w:rPr>
        <w:t xml:space="preserve"> includes </w:t>
      </w:r>
      <w:r w:rsidR="003D4E09" w:rsidRPr="00892259">
        <w:rPr>
          <w:b w:val="0"/>
          <w:noProof/>
        </w:rPr>
        <w:t xml:space="preserve">people with </w:t>
      </w:r>
      <w:r w:rsidRPr="00892259">
        <w:rPr>
          <w:b w:val="0"/>
          <w:noProof/>
        </w:rPr>
        <w:t xml:space="preserve">a range of limitations and ailments over which AACFs would have no effect. As such we consider </w:t>
      </w:r>
      <w:r w:rsidR="004C0F62" w:rsidRPr="00892259">
        <w:rPr>
          <w:b w:val="0"/>
          <w:noProof/>
        </w:rPr>
        <w:t>that applying this figure would effectively mean ascribing benefits to people for whom the provision of AACFs would make little to no difference in their daily lives</w:t>
      </w:r>
      <w:r w:rsidR="002C24A3">
        <w:rPr>
          <w:b w:val="0"/>
          <w:noProof/>
        </w:rPr>
        <w:t>.</w:t>
      </w:r>
    </w:p>
    <w:p w:rsidR="004C0F62" w:rsidRPr="00892259" w:rsidRDefault="00B60F8E" w:rsidP="0089225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bCs w:val="0"/>
          <w:noProof/>
        </w:rPr>
      </w:pPr>
      <w:r w:rsidRPr="00892259">
        <w:rPr>
          <w:b w:val="0"/>
          <w:bCs w:val="0"/>
          <w:noProof/>
        </w:rPr>
        <w:t>The categorisation of the estimated population who might benefit from AACFs into core and non-core was made for two reasons. First, it was made for conceptual purposes – to disentangle those for whom the use of an AACF is essential for basic needs (the core cohort) from those for whom the availability of an AACF is beneficial but not essential. Second, it was made for analytical purposes</w:t>
      </w:r>
      <w:r w:rsidR="00CE29B4" w:rsidRPr="00892259">
        <w:rPr>
          <w:b w:val="0"/>
          <w:bCs w:val="0"/>
          <w:noProof/>
        </w:rPr>
        <w:t xml:space="preserve"> -</w:t>
      </w:r>
      <w:r w:rsidRPr="00892259">
        <w:rPr>
          <w:b w:val="0"/>
          <w:bCs w:val="0"/>
          <w:noProof/>
        </w:rPr>
        <w:t xml:space="preserve"> </w:t>
      </w:r>
      <w:r w:rsidR="00CE29B4" w:rsidRPr="00892259">
        <w:rPr>
          <w:b w:val="0"/>
          <w:bCs w:val="0"/>
          <w:noProof/>
        </w:rPr>
        <w:t xml:space="preserve">for those in the core cohort, we have </w:t>
      </w:r>
      <w:r w:rsidR="007C69BF">
        <w:rPr>
          <w:b w:val="0"/>
          <w:bCs w:val="0"/>
          <w:noProof/>
        </w:rPr>
        <w:t>quantified</w:t>
      </w:r>
      <w:r w:rsidR="007C69BF" w:rsidRPr="00892259">
        <w:rPr>
          <w:b w:val="0"/>
          <w:bCs w:val="0"/>
          <w:noProof/>
        </w:rPr>
        <w:t xml:space="preserve"> </w:t>
      </w:r>
      <w:r w:rsidR="00CE29B4" w:rsidRPr="00892259">
        <w:rPr>
          <w:b w:val="0"/>
          <w:bCs w:val="0"/>
          <w:noProof/>
        </w:rPr>
        <w:t xml:space="preserve">the </w:t>
      </w:r>
      <w:r w:rsidR="003D4E09" w:rsidRPr="00892259">
        <w:rPr>
          <w:b w:val="0"/>
          <w:bCs w:val="0"/>
          <w:noProof/>
        </w:rPr>
        <w:t>value</w:t>
      </w:r>
      <w:r w:rsidR="00CE29B4" w:rsidRPr="00892259">
        <w:rPr>
          <w:b w:val="0"/>
          <w:bCs w:val="0"/>
          <w:noProof/>
        </w:rPr>
        <w:t xml:space="preserve"> of addit</w:t>
      </w:r>
      <w:r w:rsidR="00E27D9D">
        <w:rPr>
          <w:b w:val="0"/>
          <w:bCs w:val="0"/>
          <w:noProof/>
        </w:rPr>
        <w:t>i</w:t>
      </w:r>
      <w:r w:rsidR="00CE29B4" w:rsidRPr="00892259">
        <w:rPr>
          <w:b w:val="0"/>
          <w:bCs w:val="0"/>
          <w:noProof/>
        </w:rPr>
        <w:t xml:space="preserve">onal trips made as a result of the installation of an AACF; </w:t>
      </w:r>
      <w:r w:rsidRPr="00892259">
        <w:rPr>
          <w:b w:val="0"/>
          <w:bCs w:val="0"/>
          <w:noProof/>
        </w:rPr>
        <w:t>for those in the non-core cohort</w:t>
      </w:r>
      <w:r w:rsidR="00CE29B4" w:rsidRPr="00892259">
        <w:rPr>
          <w:b w:val="0"/>
          <w:bCs w:val="0"/>
          <w:noProof/>
        </w:rPr>
        <w:t xml:space="preserve"> we have considered these and other benefits qualitatively</w:t>
      </w:r>
      <w:r w:rsidRPr="00892259">
        <w:rPr>
          <w:b w:val="0"/>
          <w:bCs w:val="0"/>
          <w:noProof/>
        </w:rPr>
        <w:t xml:space="preserve">. </w:t>
      </w:r>
    </w:p>
    <w:p w:rsidR="00B60F8E" w:rsidRPr="00892259" w:rsidRDefault="00B60F8E" w:rsidP="0089225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noProof/>
        </w:rPr>
      </w:pPr>
      <w:r w:rsidRPr="00892259">
        <w:rPr>
          <w:b w:val="0"/>
          <w:bCs w:val="0"/>
          <w:noProof/>
        </w:rPr>
        <w:t xml:space="preserve">We agree with </w:t>
      </w:r>
      <w:r w:rsidR="00CE29B4" w:rsidRPr="00892259">
        <w:rPr>
          <w:b w:val="0"/>
          <w:bCs w:val="0"/>
          <w:noProof/>
        </w:rPr>
        <w:t xml:space="preserve">the </w:t>
      </w:r>
      <w:r w:rsidR="004C0F62" w:rsidRPr="00892259">
        <w:rPr>
          <w:b w:val="0"/>
          <w:bCs w:val="0"/>
          <w:noProof/>
        </w:rPr>
        <w:t>observation</w:t>
      </w:r>
      <w:r w:rsidRPr="00892259">
        <w:rPr>
          <w:b w:val="0"/>
          <w:bCs w:val="0"/>
          <w:noProof/>
        </w:rPr>
        <w:t xml:space="preserve"> o</w:t>
      </w:r>
      <w:r w:rsidR="00CE29B4" w:rsidRPr="00892259">
        <w:rPr>
          <w:b w:val="0"/>
          <w:bCs w:val="0"/>
          <w:noProof/>
        </w:rPr>
        <w:t>f</w:t>
      </w:r>
      <w:r w:rsidR="00BA0AD2">
        <w:rPr>
          <w:b w:val="0"/>
          <w:bCs w:val="0"/>
          <w:noProof/>
        </w:rPr>
        <w:t xml:space="preserve"> Victorian </w:t>
      </w:r>
      <w:r w:rsidRPr="00892259">
        <w:rPr>
          <w:b w:val="0"/>
          <w:bCs w:val="0"/>
          <w:noProof/>
        </w:rPr>
        <w:t>HHS</w:t>
      </w:r>
      <w:r w:rsidR="00BA0AD2">
        <w:rPr>
          <w:b w:val="0"/>
          <w:bCs w:val="0"/>
          <w:noProof/>
        </w:rPr>
        <w:t>BA</w:t>
      </w:r>
      <w:r w:rsidRPr="00892259">
        <w:rPr>
          <w:b w:val="0"/>
          <w:bCs w:val="0"/>
          <w:noProof/>
        </w:rPr>
        <w:t xml:space="preserve"> that different cohorts benefit in different ways. However, we believe the current categorisation into core and non-core cohorts represents the most analytically robust way of ensuring benefits are only quantified for those who need an AACF.</w:t>
      </w:r>
    </w:p>
    <w:bookmarkEnd w:id="404"/>
    <w:p w:rsidR="005F02EE" w:rsidRPr="00892259" w:rsidRDefault="0065613B" w:rsidP="0089225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pPr>
      <w:r w:rsidRPr="00892259">
        <w:rPr>
          <w:b w:val="0"/>
        </w:rPr>
        <w:t>Most responses</w:t>
      </w:r>
      <w:r w:rsidR="0054430A" w:rsidRPr="00892259">
        <w:rPr>
          <w:b w:val="0"/>
        </w:rPr>
        <w:t xml:space="preserve"> agreed with </w:t>
      </w:r>
      <w:r w:rsidR="003A3644" w:rsidRPr="00892259">
        <w:rPr>
          <w:b w:val="0"/>
        </w:rPr>
        <w:t xml:space="preserve">the </w:t>
      </w:r>
      <w:r w:rsidR="00EC1758" w:rsidRPr="00892259">
        <w:rPr>
          <w:b w:val="0"/>
        </w:rPr>
        <w:t xml:space="preserve">inclusion </w:t>
      </w:r>
      <w:r w:rsidR="008B5F84">
        <w:rPr>
          <w:b w:val="0"/>
        </w:rPr>
        <w:t>in the core cohort of the 22,</w:t>
      </w:r>
      <w:r w:rsidR="0024607D">
        <w:rPr>
          <w:b w:val="0"/>
        </w:rPr>
        <w:t>372</w:t>
      </w:r>
      <w:r w:rsidR="008B5F84">
        <w:rPr>
          <w:b w:val="0"/>
        </w:rPr>
        <w:t xml:space="preserve"> </w:t>
      </w:r>
      <w:r w:rsidR="00EC1758" w:rsidRPr="00892259">
        <w:rPr>
          <w:b w:val="0"/>
        </w:rPr>
        <w:t xml:space="preserve">people </w:t>
      </w:r>
      <w:r w:rsidR="008B5F84">
        <w:rPr>
          <w:b w:val="0"/>
        </w:rPr>
        <w:t>who do not leave home</w:t>
      </w:r>
      <w:r w:rsidR="00EC1758" w:rsidRPr="00892259">
        <w:rPr>
          <w:b w:val="0"/>
        </w:rPr>
        <w:t>. Those who did not agree</w:t>
      </w:r>
      <w:r w:rsidR="0009590E" w:rsidRPr="00892259">
        <w:rPr>
          <w:b w:val="0"/>
        </w:rPr>
        <w:t>,</w:t>
      </w:r>
      <w:r w:rsidR="00EC1758" w:rsidRPr="00892259">
        <w:rPr>
          <w:b w:val="0"/>
        </w:rPr>
        <w:t xml:space="preserve"> </w:t>
      </w:r>
      <w:r w:rsidR="007F40B5" w:rsidRPr="00892259">
        <w:rPr>
          <w:b w:val="0"/>
        </w:rPr>
        <w:t>including TfNSW and the Australasian Railway Association</w:t>
      </w:r>
      <w:r w:rsidR="0009590E" w:rsidRPr="00892259">
        <w:rPr>
          <w:b w:val="0"/>
        </w:rPr>
        <w:t>,</w:t>
      </w:r>
      <w:r w:rsidR="007F40B5" w:rsidRPr="00892259">
        <w:rPr>
          <w:b w:val="0"/>
        </w:rPr>
        <w:t xml:space="preserve"> </w:t>
      </w:r>
      <w:r w:rsidR="000A14E7" w:rsidRPr="00892259">
        <w:rPr>
          <w:b w:val="0"/>
        </w:rPr>
        <w:t xml:space="preserve">often </w:t>
      </w:r>
      <w:r w:rsidR="00EC1758" w:rsidRPr="00892259">
        <w:rPr>
          <w:b w:val="0"/>
        </w:rPr>
        <w:t>noted</w:t>
      </w:r>
      <w:r w:rsidR="00320861" w:rsidRPr="00892259">
        <w:rPr>
          <w:b w:val="0"/>
        </w:rPr>
        <w:t xml:space="preserve"> the onerous medical requirements of many within this grouping would not result in increased demand for AACFs within the selected buildings.</w:t>
      </w:r>
      <w:r w:rsidR="000A14E7" w:rsidRPr="00892259">
        <w:rPr>
          <w:b w:val="0"/>
        </w:rPr>
        <w:t xml:space="preserve"> </w:t>
      </w:r>
    </w:p>
    <w:p w:rsidR="008E024D" w:rsidRDefault="00B60F8E" w:rsidP="0089225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noProof/>
        </w:rPr>
      </w:pPr>
      <w:bookmarkStart w:id="405" w:name="_Ref506883429"/>
      <w:r w:rsidRPr="00892259">
        <w:rPr>
          <w:b w:val="0"/>
          <w:noProof/>
        </w:rPr>
        <w:t>It is considered that the inclusion of this group within the core cohort is appropriate. Given that the nature of each individual’s medical condition is not known, an assumption that the majority have conditions that have or will continue to prevent them from leaving their homes would not be evidence based.</w:t>
      </w:r>
      <w:r w:rsidR="008E024D">
        <w:rPr>
          <w:b w:val="0"/>
          <w:noProof/>
        </w:rPr>
        <w:t xml:space="preserve"> Further, to the extent that the provision of AACFs will promote social inclusiveness and provide people with complex </w:t>
      </w:r>
      <w:r w:rsidR="00AD0BA6">
        <w:rPr>
          <w:b w:val="0"/>
          <w:noProof/>
        </w:rPr>
        <w:t xml:space="preserve">disabilities </w:t>
      </w:r>
      <w:r w:rsidR="008E024D">
        <w:rPr>
          <w:b w:val="0"/>
          <w:noProof/>
        </w:rPr>
        <w:t>with greater opportunities for social interaction, people who do not currently leave home may be encouraged to do so as AACFs become more available</w:t>
      </w:r>
      <w:r w:rsidR="00EB2BE0">
        <w:rPr>
          <w:b w:val="0"/>
          <w:noProof/>
        </w:rPr>
        <w:t>.</w:t>
      </w:r>
    </w:p>
    <w:p w:rsidR="00B60F8E" w:rsidRPr="00892259" w:rsidRDefault="00B60F8E" w:rsidP="0089225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noProof/>
        </w:rPr>
      </w:pPr>
      <w:r w:rsidRPr="0098748C">
        <w:rPr>
          <w:b w:val="0"/>
          <w:noProof/>
        </w:rPr>
        <w:t xml:space="preserve">In any case, it is noted that the incluson of </w:t>
      </w:r>
      <w:r w:rsidR="00CB72CB" w:rsidRPr="0098748C">
        <w:rPr>
          <w:b w:val="0"/>
          <w:noProof/>
        </w:rPr>
        <w:t>people with disability who do not currently leave home</w:t>
      </w:r>
      <w:r w:rsidR="007C1680" w:rsidRPr="0098748C">
        <w:rPr>
          <w:b w:val="0"/>
          <w:noProof/>
        </w:rPr>
        <w:t xml:space="preserve"> </w:t>
      </w:r>
      <w:r w:rsidR="008E024D" w:rsidRPr="0098748C">
        <w:rPr>
          <w:b w:val="0"/>
          <w:noProof/>
        </w:rPr>
        <w:t>within</w:t>
      </w:r>
      <w:r w:rsidR="008B5F84" w:rsidRPr="0098748C">
        <w:rPr>
          <w:b w:val="0"/>
          <w:noProof/>
        </w:rPr>
        <w:t xml:space="preserve"> the core cohort does not affect</w:t>
      </w:r>
      <w:r w:rsidRPr="0098748C">
        <w:rPr>
          <w:b w:val="0"/>
          <w:noProof/>
        </w:rPr>
        <w:t xml:space="preserve"> the overall conclusions of this Final RIS</w:t>
      </w:r>
      <w:r w:rsidR="008B5F84" w:rsidRPr="0098748C">
        <w:rPr>
          <w:b w:val="0"/>
          <w:noProof/>
        </w:rPr>
        <w:t xml:space="preserve">, nor does it materially alter the estimated impacts of the proposed regulatory solutions described in Chapter </w:t>
      </w:r>
      <w:r w:rsidR="008B5F84" w:rsidRPr="00E71337">
        <w:rPr>
          <w:b w:val="0"/>
          <w:noProof/>
        </w:rPr>
        <w:fldChar w:fldCharType="begin"/>
      </w:r>
      <w:r w:rsidR="008B5F84" w:rsidRPr="0098748C">
        <w:rPr>
          <w:b w:val="0"/>
          <w:noProof/>
        </w:rPr>
        <w:instrText xml:space="preserve"> REF _Ref520723656 \r \h </w:instrText>
      </w:r>
      <w:r w:rsidR="00E7748F" w:rsidRPr="008B18B7">
        <w:rPr>
          <w:b w:val="0"/>
          <w:noProof/>
        </w:rPr>
        <w:instrText xml:space="preserve"> \* MERGEFORMAT </w:instrText>
      </w:r>
      <w:r w:rsidR="008B5F84" w:rsidRPr="00E71337">
        <w:rPr>
          <w:b w:val="0"/>
          <w:noProof/>
        </w:rPr>
      </w:r>
      <w:r w:rsidR="008B5F84" w:rsidRPr="00E71337">
        <w:rPr>
          <w:b w:val="0"/>
          <w:noProof/>
        </w:rPr>
        <w:fldChar w:fldCharType="separate"/>
      </w:r>
      <w:r w:rsidR="00910A73">
        <w:rPr>
          <w:b w:val="0"/>
          <w:noProof/>
        </w:rPr>
        <w:t>7</w:t>
      </w:r>
      <w:r w:rsidR="008B5F84" w:rsidRPr="00E71337">
        <w:rPr>
          <w:b w:val="0"/>
          <w:noProof/>
        </w:rPr>
        <w:fldChar w:fldCharType="end"/>
      </w:r>
      <w:r w:rsidR="00EB2BE0">
        <w:rPr>
          <w:b w:val="0"/>
          <w:noProof/>
        </w:rPr>
        <w:t>,</w:t>
      </w:r>
      <w:r w:rsidR="00E7748F" w:rsidRPr="0098748C">
        <w:rPr>
          <w:b w:val="0"/>
          <w:noProof/>
        </w:rPr>
        <w:t xml:space="preserve"> given that this proportion represent</w:t>
      </w:r>
      <w:r w:rsidR="00E27D9D">
        <w:rPr>
          <w:b w:val="0"/>
          <w:noProof/>
        </w:rPr>
        <w:t>s</w:t>
      </w:r>
      <w:r w:rsidR="00E7748F" w:rsidRPr="0098748C">
        <w:rPr>
          <w:b w:val="0"/>
          <w:noProof/>
        </w:rPr>
        <w:t xml:space="preserve"> approximately 6% of the overall population impacted by the problem</w:t>
      </w:r>
      <w:r w:rsidRPr="0098748C">
        <w:rPr>
          <w:b w:val="0"/>
          <w:noProof/>
        </w:rPr>
        <w:t>.</w:t>
      </w:r>
    </w:p>
    <w:bookmarkEnd w:id="405"/>
    <w:p w:rsidR="00503BD2" w:rsidRDefault="00E705EC" w:rsidP="0089225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noProof/>
        </w:rPr>
      </w:pPr>
      <w:r w:rsidRPr="00892259">
        <w:rPr>
          <w:b w:val="0"/>
          <w:noProof/>
        </w:rPr>
        <w:t xml:space="preserve">While the majority </w:t>
      </w:r>
      <w:r w:rsidR="00EA2F43" w:rsidRPr="00892259">
        <w:rPr>
          <w:b w:val="0"/>
          <w:noProof/>
        </w:rPr>
        <w:t>o</w:t>
      </w:r>
      <w:r w:rsidRPr="00892259">
        <w:rPr>
          <w:b w:val="0"/>
          <w:noProof/>
        </w:rPr>
        <w:t>f</w:t>
      </w:r>
      <w:r w:rsidR="0065613B" w:rsidRPr="00892259">
        <w:rPr>
          <w:b w:val="0"/>
          <w:noProof/>
        </w:rPr>
        <w:t xml:space="preserve"> respons</w:t>
      </w:r>
      <w:r w:rsidR="00EA2F43" w:rsidRPr="00892259">
        <w:rPr>
          <w:b w:val="0"/>
          <w:noProof/>
        </w:rPr>
        <w:t>es noted the defined population was appropriate for th</w:t>
      </w:r>
      <w:r w:rsidR="0065613B" w:rsidRPr="00892259">
        <w:rPr>
          <w:b w:val="0"/>
          <w:noProof/>
        </w:rPr>
        <w:t>e analysis, a number of respons</w:t>
      </w:r>
      <w:r w:rsidR="00EA2F43" w:rsidRPr="00892259">
        <w:rPr>
          <w:b w:val="0"/>
          <w:noProof/>
        </w:rPr>
        <w:t xml:space="preserve">es noted the complexity of defining those who would use AACFs and those who would benefit from them. </w:t>
      </w:r>
      <w:r w:rsidR="0065613B" w:rsidRPr="00892259">
        <w:rPr>
          <w:b w:val="0"/>
          <w:noProof/>
        </w:rPr>
        <w:t>Multiple respons</w:t>
      </w:r>
      <w:r w:rsidR="00FF61D1" w:rsidRPr="00892259">
        <w:rPr>
          <w:b w:val="0"/>
          <w:noProof/>
        </w:rPr>
        <w:t>es</w:t>
      </w:r>
      <w:r w:rsidR="00EA2F43" w:rsidRPr="00892259">
        <w:rPr>
          <w:b w:val="0"/>
          <w:noProof/>
        </w:rPr>
        <w:t xml:space="preserve"> were of the view that the non-</w:t>
      </w:r>
      <w:r w:rsidR="00C32697" w:rsidRPr="00892259">
        <w:rPr>
          <w:b w:val="0"/>
          <w:noProof/>
        </w:rPr>
        <w:t xml:space="preserve">core </w:t>
      </w:r>
      <w:r w:rsidR="00EA2F43" w:rsidRPr="00892259">
        <w:rPr>
          <w:b w:val="0"/>
          <w:noProof/>
        </w:rPr>
        <w:t>cohort was not fully captured</w:t>
      </w:r>
      <w:r w:rsidR="00FF61D1" w:rsidRPr="00892259">
        <w:rPr>
          <w:b w:val="0"/>
          <w:noProof/>
        </w:rPr>
        <w:t xml:space="preserve"> and/or </w:t>
      </w:r>
      <w:r w:rsidR="00C32697" w:rsidRPr="00892259">
        <w:rPr>
          <w:b w:val="0"/>
          <w:noProof/>
        </w:rPr>
        <w:t xml:space="preserve">adequately </w:t>
      </w:r>
      <w:r w:rsidR="00FF61D1" w:rsidRPr="00892259">
        <w:rPr>
          <w:b w:val="0"/>
          <w:noProof/>
        </w:rPr>
        <w:t>represented in the analysis</w:t>
      </w:r>
      <w:r w:rsidR="00EA2F43" w:rsidRPr="00892259">
        <w:rPr>
          <w:b w:val="0"/>
          <w:noProof/>
        </w:rPr>
        <w:t xml:space="preserve">. </w:t>
      </w:r>
    </w:p>
    <w:p w:rsidR="00503BD2" w:rsidRDefault="00503BD2">
      <w:pPr>
        <w:jc w:val="left"/>
        <w:rPr>
          <w:bCs/>
          <w:noProof/>
          <w:color w:val="000000" w:themeColor="text1"/>
          <w:szCs w:val="18"/>
        </w:rPr>
      </w:pPr>
      <w:r>
        <w:rPr>
          <w:b/>
          <w:noProof/>
        </w:rPr>
        <w:br w:type="page"/>
      </w:r>
    </w:p>
    <w:p w:rsidR="00CE29B4" w:rsidRDefault="00AB425F" w:rsidP="0089225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noProof/>
          <w:highlight w:val="yellow"/>
        </w:rPr>
      </w:pPr>
      <w:r w:rsidRPr="00892259">
        <w:rPr>
          <w:b w:val="0"/>
          <w:noProof/>
        </w:rPr>
        <w:lastRenderedPageBreak/>
        <w:t>The Australian Human Rights Commission noted:</w:t>
      </w:r>
    </w:p>
    <w:p w:rsidR="004C4B3B" w:rsidRDefault="00AB425F" w:rsidP="0089225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noProof/>
        </w:rPr>
      </w:pPr>
      <w:r w:rsidRPr="00892259">
        <w:rPr>
          <w:b w:val="0"/>
          <w:noProof/>
        </w:rPr>
        <w:t xml:space="preserve"> </w:t>
      </w:r>
      <w:r w:rsidR="004C4B3B" w:rsidRPr="00892259">
        <w:rPr>
          <w:b w:val="0"/>
          <w:noProof/>
        </w:rPr>
        <w:t>“</w:t>
      </w:r>
      <w:r w:rsidR="004C4B3B" w:rsidRPr="00892259">
        <w:rPr>
          <w:b w:val="0"/>
          <w:i/>
          <w:noProof/>
        </w:rPr>
        <w:t>Given the long lifespan of premises, population projections should also be taken into account to estimate the number of people who will use adult changing facilities into the future (and not just based on present population). This analysis should consider Australia’s projected ageing population, where people will be living longer with chronic and complex health conditions</w:t>
      </w:r>
      <w:r w:rsidR="00E27D9D">
        <w:rPr>
          <w:b w:val="0"/>
          <w:i/>
          <w:noProof/>
        </w:rPr>
        <w:t>.</w:t>
      </w:r>
      <w:r w:rsidR="004C4B3B" w:rsidRPr="00892259">
        <w:rPr>
          <w:b w:val="0"/>
          <w:noProof/>
        </w:rPr>
        <w:t xml:space="preserve">” </w:t>
      </w:r>
    </w:p>
    <w:p w:rsidR="008A71F1" w:rsidRDefault="008A71F1" w:rsidP="0089225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noProof/>
        </w:rPr>
      </w:pPr>
      <w:r>
        <w:rPr>
          <w:b w:val="0"/>
          <w:noProof/>
        </w:rPr>
        <w:t>It is agreed that</w:t>
      </w:r>
      <w:r w:rsidRPr="00892259">
        <w:rPr>
          <w:b w:val="0"/>
          <w:noProof/>
        </w:rPr>
        <w:t xml:space="preserve"> Australia’s ageing population and the implementation of the NDIS </w:t>
      </w:r>
      <w:r w:rsidR="00647EEE">
        <w:rPr>
          <w:b w:val="0"/>
          <w:noProof/>
        </w:rPr>
        <w:t>m</w:t>
      </w:r>
      <w:r w:rsidRPr="00892259">
        <w:rPr>
          <w:b w:val="0"/>
          <w:noProof/>
        </w:rPr>
        <w:t>ay increase demand for AACFs in future</w:t>
      </w:r>
      <w:r>
        <w:rPr>
          <w:b w:val="0"/>
          <w:noProof/>
        </w:rPr>
        <w:t>.</w:t>
      </w:r>
      <w:r w:rsidRPr="00892259">
        <w:rPr>
          <w:b w:val="0"/>
          <w:noProof/>
        </w:rPr>
        <w:t xml:space="preserve"> </w:t>
      </w:r>
      <w:r w:rsidR="00320E4B">
        <w:rPr>
          <w:b w:val="0"/>
          <w:noProof/>
        </w:rPr>
        <w:t>The core cohort is assumed to remain the same as in general</w:t>
      </w:r>
      <w:r w:rsidR="00E27D9D">
        <w:rPr>
          <w:b w:val="0"/>
          <w:noProof/>
        </w:rPr>
        <w:t>,</w:t>
      </w:r>
      <w:r w:rsidR="00320E4B">
        <w:rPr>
          <w:b w:val="0"/>
          <w:noProof/>
        </w:rPr>
        <w:t xml:space="preserve"> age related disability will not be a contributor to the cohort of new users of </w:t>
      </w:r>
      <w:r w:rsidR="00E71337">
        <w:rPr>
          <w:b w:val="0"/>
          <w:noProof/>
        </w:rPr>
        <w:t>A</w:t>
      </w:r>
      <w:r w:rsidR="00320E4B">
        <w:rPr>
          <w:b w:val="0"/>
          <w:noProof/>
        </w:rPr>
        <w:t xml:space="preserve">ACFs. The </w:t>
      </w:r>
      <w:r w:rsidRPr="00892259">
        <w:rPr>
          <w:b w:val="0"/>
          <w:noProof/>
        </w:rPr>
        <w:t>proportion of the population</w:t>
      </w:r>
      <w:r w:rsidR="00320E4B">
        <w:rPr>
          <w:b w:val="0"/>
          <w:noProof/>
        </w:rPr>
        <w:t xml:space="preserve"> that</w:t>
      </w:r>
      <w:r w:rsidRPr="00892259">
        <w:rPr>
          <w:b w:val="0"/>
          <w:noProof/>
        </w:rPr>
        <w:t xml:space="preserve"> may require </w:t>
      </w:r>
      <w:r>
        <w:rPr>
          <w:b w:val="0"/>
          <w:noProof/>
        </w:rPr>
        <w:t>the use of AACFs</w:t>
      </w:r>
      <w:r w:rsidRPr="00892259">
        <w:rPr>
          <w:b w:val="0"/>
          <w:noProof/>
        </w:rPr>
        <w:t>, and greater flexibility in care</w:t>
      </w:r>
      <w:r>
        <w:rPr>
          <w:b w:val="0"/>
          <w:noProof/>
        </w:rPr>
        <w:t xml:space="preserve"> through the NDIS</w:t>
      </w:r>
      <w:r w:rsidR="00E27D9D">
        <w:rPr>
          <w:b w:val="0"/>
          <w:noProof/>
        </w:rPr>
        <w:t>,</w:t>
      </w:r>
      <w:r>
        <w:rPr>
          <w:b w:val="0"/>
          <w:noProof/>
        </w:rPr>
        <w:t xml:space="preserve"> might also</w:t>
      </w:r>
      <w:r w:rsidRPr="00892259">
        <w:rPr>
          <w:b w:val="0"/>
          <w:noProof/>
        </w:rPr>
        <w:t xml:space="preserve"> result in more travel by people who use AACFs. As the effects of these factors are </w:t>
      </w:r>
      <w:r>
        <w:rPr>
          <w:b w:val="0"/>
          <w:noProof/>
        </w:rPr>
        <w:t>uncertain and difficult to quantify</w:t>
      </w:r>
      <w:r w:rsidRPr="00892259">
        <w:rPr>
          <w:b w:val="0"/>
          <w:noProof/>
        </w:rPr>
        <w:t>, they have not been included in the deliberately conservative core cohort population estimation.</w:t>
      </w:r>
    </w:p>
    <w:p w:rsidR="006643D4" w:rsidRDefault="002C73BA" w:rsidP="0089225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pPr>
      <w:r w:rsidRPr="00892259">
        <w:rPr>
          <w:b w:val="0"/>
          <w:noProof/>
        </w:rPr>
        <w:t xml:space="preserve">TfNSW and the Australasian Railway Association noted </w:t>
      </w:r>
      <w:r w:rsidR="00C32697" w:rsidRPr="00892259">
        <w:rPr>
          <w:b w:val="0"/>
          <w:noProof/>
        </w:rPr>
        <w:t xml:space="preserve">that the </w:t>
      </w:r>
      <w:r w:rsidR="008E47A9" w:rsidRPr="00892259">
        <w:rPr>
          <w:b w:val="0"/>
          <w:noProof/>
        </w:rPr>
        <w:t xml:space="preserve">defined population was not appropriate for </w:t>
      </w:r>
      <w:r w:rsidR="00C54D9C" w:rsidRPr="00892259">
        <w:rPr>
          <w:b w:val="0"/>
          <w:noProof/>
        </w:rPr>
        <w:t>most public transport buildings</w:t>
      </w:r>
      <w:r w:rsidR="0045218B" w:rsidRPr="00892259">
        <w:rPr>
          <w:b w:val="0"/>
          <w:noProof/>
        </w:rPr>
        <w:t xml:space="preserve"> due to </w:t>
      </w:r>
      <w:r w:rsidR="004C0F62" w:rsidRPr="00892259">
        <w:rPr>
          <w:b w:val="0"/>
          <w:noProof/>
        </w:rPr>
        <w:t xml:space="preserve">a range of reasons including low </w:t>
      </w:r>
      <w:r w:rsidR="0045218B" w:rsidRPr="00892259">
        <w:rPr>
          <w:b w:val="0"/>
          <w:noProof/>
        </w:rPr>
        <w:t>utilisation of existing facilities,</w:t>
      </w:r>
      <w:r w:rsidR="004C0F62" w:rsidRPr="00892259">
        <w:rPr>
          <w:b w:val="0"/>
          <w:noProof/>
        </w:rPr>
        <w:t xml:space="preserve"> and</w:t>
      </w:r>
      <w:r w:rsidR="0045218B" w:rsidRPr="00892259">
        <w:rPr>
          <w:b w:val="0"/>
          <w:noProof/>
        </w:rPr>
        <w:t xml:space="preserve"> </w:t>
      </w:r>
      <w:r w:rsidR="004937C1" w:rsidRPr="00892259">
        <w:rPr>
          <w:b w:val="0"/>
          <w:noProof/>
        </w:rPr>
        <w:t>the broad nature of profound and severe activity limitations</w:t>
      </w:r>
      <w:r w:rsidR="00C54D9C" w:rsidRPr="00892259">
        <w:rPr>
          <w:b w:val="0"/>
          <w:noProof/>
        </w:rPr>
        <w:t xml:space="preserve">. </w:t>
      </w:r>
      <w:r w:rsidR="004C0F62" w:rsidRPr="00892259">
        <w:rPr>
          <w:b w:val="0"/>
          <w:noProof/>
        </w:rPr>
        <w:t xml:space="preserve">For this reason as well as a range of other reasons described in </w:t>
      </w:r>
      <w:r w:rsidR="00A072E6">
        <w:rPr>
          <w:b w:val="0"/>
          <w:noProof/>
        </w:rPr>
        <w:t>S</w:t>
      </w:r>
      <w:r w:rsidR="00A072E6" w:rsidRPr="00892259">
        <w:rPr>
          <w:b w:val="0"/>
          <w:noProof/>
        </w:rPr>
        <w:t xml:space="preserve">ection </w:t>
      </w:r>
      <w:r w:rsidR="004C0F62" w:rsidRPr="00892259">
        <w:rPr>
          <w:bCs w:val="0"/>
          <w:noProof/>
        </w:rPr>
        <w:fldChar w:fldCharType="begin"/>
      </w:r>
      <w:r w:rsidR="004C0F62" w:rsidRPr="00892259">
        <w:rPr>
          <w:b w:val="0"/>
          <w:noProof/>
        </w:rPr>
        <w:instrText xml:space="preserve"> REF _Ref517092069 \r \h </w:instrText>
      </w:r>
      <w:r w:rsidR="00892259">
        <w:rPr>
          <w:bCs w:val="0"/>
          <w:noProof/>
        </w:rPr>
        <w:instrText xml:space="preserve"> \* MERGEFORMAT </w:instrText>
      </w:r>
      <w:r w:rsidR="004C0F62" w:rsidRPr="00892259">
        <w:rPr>
          <w:bCs w:val="0"/>
          <w:noProof/>
        </w:rPr>
      </w:r>
      <w:r w:rsidR="004C0F62" w:rsidRPr="00892259">
        <w:rPr>
          <w:bCs w:val="0"/>
          <w:noProof/>
        </w:rPr>
        <w:fldChar w:fldCharType="separate"/>
      </w:r>
      <w:r w:rsidR="00910A73">
        <w:rPr>
          <w:b w:val="0"/>
          <w:noProof/>
        </w:rPr>
        <w:t>7.1.2</w:t>
      </w:r>
      <w:r w:rsidR="004C0F62" w:rsidRPr="00892259">
        <w:rPr>
          <w:bCs w:val="0"/>
          <w:noProof/>
        </w:rPr>
        <w:fldChar w:fldCharType="end"/>
      </w:r>
      <w:r w:rsidR="004C0F62" w:rsidRPr="00892259">
        <w:rPr>
          <w:b w:val="0"/>
          <w:noProof/>
        </w:rPr>
        <w:t>, extending the requirements to public transport buildings is not recommended.</w:t>
      </w:r>
      <w:r w:rsidR="008B6570" w:rsidRPr="0068071B">
        <w:rPr>
          <w:noProof/>
          <w:highlight w:val="yellow"/>
        </w:rPr>
        <w:t xml:space="preserve"> </w:t>
      </w:r>
    </w:p>
    <w:p w:rsidR="00C87639" w:rsidRDefault="00C87639">
      <w:pPr>
        <w:jc w:val="left"/>
        <w:rPr>
          <w:rFonts w:eastAsia="Times New Roman" w:cs="Arial"/>
          <w:b/>
          <w:bCs/>
          <w:sz w:val="36"/>
          <w:szCs w:val="24"/>
        </w:rPr>
      </w:pPr>
      <w:bookmarkStart w:id="406" w:name="_Toc504063170"/>
      <w:bookmarkStart w:id="407" w:name="_Toc504388861"/>
      <w:bookmarkStart w:id="408" w:name="_Toc504401712"/>
      <w:bookmarkStart w:id="409" w:name="_Toc504649918"/>
      <w:r>
        <w:br w:type="page"/>
      </w:r>
    </w:p>
    <w:p w:rsidR="000F2B13" w:rsidRPr="003828E9" w:rsidRDefault="000F2B13" w:rsidP="003828E9">
      <w:pPr>
        <w:pStyle w:val="Heading1"/>
      </w:pPr>
      <w:bookmarkStart w:id="410" w:name="_Toc525897795"/>
      <w:r w:rsidRPr="003828E9">
        <w:lastRenderedPageBreak/>
        <w:t>Measuring the costs and benefits</w:t>
      </w:r>
      <w:bookmarkEnd w:id="406"/>
      <w:bookmarkEnd w:id="407"/>
      <w:bookmarkEnd w:id="408"/>
      <w:bookmarkEnd w:id="409"/>
      <w:bookmarkEnd w:id="410"/>
    </w:p>
    <w:p w:rsidR="00DC778D" w:rsidRPr="00395106" w:rsidRDefault="00DC778D" w:rsidP="00742E07">
      <w:pPr>
        <w:pStyle w:val="EYBodytextwithparaspace"/>
      </w:pPr>
      <w:bookmarkStart w:id="411" w:name="_Ref503974229"/>
      <w:bookmarkStart w:id="412" w:name="_Toc504063171"/>
      <w:bookmarkStart w:id="413" w:name="_Toc504388862"/>
      <w:bookmarkStart w:id="414" w:name="_Toc504401713"/>
      <w:bookmarkStart w:id="415" w:name="_Toc504649919"/>
      <w:r>
        <w:t>This Chapter describes the methodology employed in estimating the costs and benefits expected to accrue from mandating the provision of AACFs in selected Class 6 shopping centres and Class 9</w:t>
      </w:r>
      <w:r w:rsidR="00742E07">
        <w:t>b</w:t>
      </w:r>
      <w:r>
        <w:t xml:space="preserve"> assembly buildings. </w:t>
      </w:r>
    </w:p>
    <w:p w:rsidR="000F2B13" w:rsidRPr="003828E9" w:rsidRDefault="000F2B13" w:rsidP="003828E9">
      <w:pPr>
        <w:pStyle w:val="Heading2"/>
      </w:pPr>
      <w:bookmarkStart w:id="416" w:name="_Toc525897796"/>
      <w:r w:rsidRPr="003828E9">
        <w:t>Costs</w:t>
      </w:r>
      <w:bookmarkEnd w:id="411"/>
      <w:bookmarkEnd w:id="412"/>
      <w:bookmarkEnd w:id="413"/>
      <w:bookmarkEnd w:id="414"/>
      <w:bookmarkEnd w:id="415"/>
      <w:bookmarkEnd w:id="416"/>
    </w:p>
    <w:p w:rsidR="000F2B13" w:rsidRDefault="000F2B13" w:rsidP="00681E1A">
      <w:pPr>
        <w:pStyle w:val="EYBodytextwithparaspace"/>
        <w:spacing w:after="200"/>
      </w:pPr>
      <w:r>
        <w:t>The costs of this proposal are divided into capital expenses and ongoing operating expenses and are informed by two key reports:</w:t>
      </w:r>
    </w:p>
    <w:p w:rsidR="000F2B13" w:rsidRDefault="000F2B13" w:rsidP="00AB0998">
      <w:pPr>
        <w:pStyle w:val="EYBulletedText1"/>
      </w:pPr>
      <w:r>
        <w:t xml:space="preserve">The </w:t>
      </w:r>
      <w:r w:rsidR="00CA7828">
        <w:t xml:space="preserve">updated </w:t>
      </w:r>
      <w:r w:rsidR="00844286">
        <w:t>‘</w:t>
      </w:r>
      <w:r w:rsidRPr="000A3F57">
        <w:rPr>
          <w:i/>
        </w:rPr>
        <w:t>Report on</w:t>
      </w:r>
      <w:r w:rsidR="00844286" w:rsidRPr="000A3F57">
        <w:rPr>
          <w:i/>
        </w:rPr>
        <w:t xml:space="preserve"> [the]</w:t>
      </w:r>
      <w:r w:rsidRPr="000A3F57">
        <w:rPr>
          <w:i/>
        </w:rPr>
        <w:t xml:space="preserve"> Cost of Installing Typical Accessible Adult Change Facilities</w:t>
      </w:r>
      <w:r w:rsidR="00037224">
        <w:rPr>
          <w:i/>
        </w:rPr>
        <w:t xml:space="preserve"> </w:t>
      </w:r>
      <w:r w:rsidR="00037224">
        <w:rPr>
          <w:rFonts w:ascii="Verdana" w:hAnsi="Verdana"/>
          <w:i/>
        </w:rPr>
        <w:t>─</w:t>
      </w:r>
      <w:r w:rsidR="00037224">
        <w:rPr>
          <w:i/>
        </w:rPr>
        <w:t xml:space="preserve"> Costs for Installation of </w:t>
      </w:r>
      <w:r w:rsidR="009E728A">
        <w:rPr>
          <w:i/>
        </w:rPr>
        <w:t xml:space="preserve">[an] </w:t>
      </w:r>
      <w:r w:rsidR="00037224">
        <w:rPr>
          <w:i/>
        </w:rPr>
        <w:t>Incorporated and New Facility</w:t>
      </w:r>
      <w:r w:rsidR="00844286" w:rsidRPr="000A3F57">
        <w:rPr>
          <w:i/>
        </w:rPr>
        <w:t>’</w:t>
      </w:r>
      <w:r>
        <w:t xml:space="preserve">, </w:t>
      </w:r>
      <w:r w:rsidR="00DC778D">
        <w:t>prepared</w:t>
      </w:r>
      <w:r>
        <w:t xml:space="preserve"> by Donald Cant Watts and Corke (DCWC)</w:t>
      </w:r>
      <w:r w:rsidR="00615628">
        <w:t xml:space="preserve"> </w:t>
      </w:r>
      <w:r w:rsidR="00DC778D">
        <w:t xml:space="preserve">and </w:t>
      </w:r>
      <w:r w:rsidR="00615628">
        <w:t>provided</w:t>
      </w:r>
      <w:r w:rsidR="00DC778D">
        <w:t xml:space="preserve"> to EY by the ABCB</w:t>
      </w:r>
      <w:r w:rsidR="00615628">
        <w:t xml:space="preserve"> on </w:t>
      </w:r>
      <w:r w:rsidR="00934914">
        <w:t xml:space="preserve">the </w:t>
      </w:r>
      <w:r w:rsidR="00615628" w:rsidRPr="00E32A36">
        <w:t>6</w:t>
      </w:r>
      <w:r w:rsidR="00934914" w:rsidRPr="00742E07">
        <w:t>th</w:t>
      </w:r>
      <w:r w:rsidR="00934914" w:rsidRPr="00E32A36">
        <w:t xml:space="preserve"> of</w:t>
      </w:r>
      <w:r w:rsidR="007C1680" w:rsidRPr="00E32A36">
        <w:t xml:space="preserve"> </w:t>
      </w:r>
      <w:r w:rsidR="00615628" w:rsidRPr="00E32A36">
        <w:t>June 2018</w:t>
      </w:r>
      <w:r w:rsidRPr="00E32A36">
        <w:t>.</w:t>
      </w:r>
    </w:p>
    <w:p w:rsidR="000F2B13" w:rsidRPr="00764FAC" w:rsidRDefault="00844286" w:rsidP="00AB0998">
      <w:pPr>
        <w:pStyle w:val="EYBulletedText1"/>
      </w:pPr>
      <w:r>
        <w:t xml:space="preserve">The </w:t>
      </w:r>
      <w:r w:rsidR="000F2B13" w:rsidRPr="000A3F57">
        <w:rPr>
          <w:i/>
        </w:rPr>
        <w:t>2017 Benchmarks Survey of Operating Costs, Retail, Shopping Centres</w:t>
      </w:r>
      <w:r w:rsidR="000F2B13">
        <w:t xml:space="preserve"> </w:t>
      </w:r>
      <w:r w:rsidR="00DC778D">
        <w:t xml:space="preserve">prepared </w:t>
      </w:r>
      <w:r w:rsidR="000F2B13">
        <w:t>by the Property Council of Australia.</w:t>
      </w:r>
    </w:p>
    <w:p w:rsidR="000F2B13" w:rsidRDefault="000F2B13" w:rsidP="00145D1B">
      <w:pPr>
        <w:pStyle w:val="Heading3"/>
      </w:pPr>
      <w:bookmarkStart w:id="417" w:name="_Toc501022770"/>
      <w:bookmarkStart w:id="418" w:name="_Ref517247321"/>
      <w:bookmarkStart w:id="419" w:name="_Ref517247371"/>
      <w:bookmarkStart w:id="420" w:name="_Ref517260551"/>
      <w:bookmarkStart w:id="421" w:name="_Ref517260579"/>
      <w:r>
        <w:t>Capital expenses</w:t>
      </w:r>
      <w:bookmarkEnd w:id="417"/>
      <w:bookmarkEnd w:id="418"/>
      <w:bookmarkEnd w:id="419"/>
      <w:bookmarkEnd w:id="420"/>
      <w:bookmarkEnd w:id="421"/>
    </w:p>
    <w:p w:rsidR="000F2B13" w:rsidRPr="00742E07" w:rsidRDefault="000F2B13" w:rsidP="008738B7">
      <w:pPr>
        <w:pStyle w:val="EYBodytextwithparaspace"/>
      </w:pPr>
      <w:r w:rsidRPr="00742E07">
        <w:t xml:space="preserve">Capital expenses include those relating to the supply, construction, </w:t>
      </w:r>
      <w:r w:rsidR="00844286" w:rsidRPr="00742E07">
        <w:t xml:space="preserve">and </w:t>
      </w:r>
      <w:r w:rsidRPr="00742E07">
        <w:t>installation of the new facilities as well as any associated additional works required to comply with</w:t>
      </w:r>
      <w:r w:rsidR="00844286" w:rsidRPr="00742E07">
        <w:t xml:space="preserve"> the</w:t>
      </w:r>
      <w:r w:rsidRPr="00742E07">
        <w:t xml:space="preserve"> new regulation. </w:t>
      </w:r>
      <w:r w:rsidR="003B61AC" w:rsidRPr="00742E07">
        <w:t>Following the cost estimates provided to</w:t>
      </w:r>
      <w:r w:rsidR="001D5C23" w:rsidRPr="00742E07">
        <w:t xml:space="preserve"> inform the Consultation RIS, DC</w:t>
      </w:r>
      <w:r w:rsidR="003B61AC" w:rsidRPr="00742E07">
        <w:t xml:space="preserve">WC provided updated cost estimates. </w:t>
      </w:r>
      <w:r w:rsidRPr="00742E07">
        <w:t xml:space="preserve">This </w:t>
      </w:r>
      <w:r w:rsidR="003B61AC" w:rsidRPr="00742E07">
        <w:t>Final</w:t>
      </w:r>
      <w:r w:rsidRPr="00742E07">
        <w:t xml:space="preserve"> RIS relies on the </w:t>
      </w:r>
      <w:r w:rsidR="005E15A5" w:rsidRPr="00742E07">
        <w:t xml:space="preserve">updated </w:t>
      </w:r>
      <w:r w:rsidRPr="00742E07">
        <w:t xml:space="preserve">cost estimates </w:t>
      </w:r>
      <w:r w:rsidR="00883AA1" w:rsidRPr="00742E07">
        <w:t>developed by DCWC</w:t>
      </w:r>
      <w:r w:rsidR="003B61AC" w:rsidRPr="00742E07">
        <w:t>.</w:t>
      </w:r>
    </w:p>
    <w:p w:rsidR="00615628" w:rsidRPr="00742E07" w:rsidRDefault="00883AA1" w:rsidP="008738B7">
      <w:pPr>
        <w:pStyle w:val="EYBodytextwithparaspace"/>
      </w:pPr>
      <w:r w:rsidRPr="00742E07">
        <w:t xml:space="preserve">Based on that </w:t>
      </w:r>
      <w:r w:rsidR="005E15A5" w:rsidRPr="00742E07">
        <w:t xml:space="preserve">updated </w:t>
      </w:r>
      <w:r w:rsidRPr="00742E07">
        <w:t>report,</w:t>
      </w:r>
      <w:r w:rsidR="000F2B13" w:rsidRPr="00742E07">
        <w:t xml:space="preserve"> </w:t>
      </w:r>
      <w:r w:rsidR="008A0D0A" w:rsidRPr="00742E07">
        <w:t xml:space="preserve">the DCWC estimate of </w:t>
      </w:r>
      <w:r w:rsidR="000F2B13" w:rsidRPr="00742E07">
        <w:t xml:space="preserve">an average capital cost of </w:t>
      </w:r>
      <w:r w:rsidR="005E15A5" w:rsidRPr="00742E07">
        <w:t xml:space="preserve">$28,500 for an Incorporated </w:t>
      </w:r>
      <w:r w:rsidR="00615628" w:rsidRPr="00742E07">
        <w:t xml:space="preserve">or Co-located </w:t>
      </w:r>
      <w:r w:rsidR="005E15A5" w:rsidRPr="00742E07">
        <w:t>Facility</w:t>
      </w:r>
      <w:r w:rsidR="001D5C23" w:rsidRPr="00742E07">
        <w:t xml:space="preserve">, </w:t>
      </w:r>
      <w:r w:rsidR="005E15A5" w:rsidRPr="00742E07">
        <w:t>and $46,200 for a Separate Facility</w:t>
      </w:r>
      <w:r w:rsidR="00615628" w:rsidRPr="00742E07">
        <w:t>,</w:t>
      </w:r>
      <w:r w:rsidR="00065F88" w:rsidRPr="00742E07">
        <w:t xml:space="preserve"> was </w:t>
      </w:r>
      <w:r w:rsidR="00615628" w:rsidRPr="00742E07">
        <w:t>applied to this analysis</w:t>
      </w:r>
      <w:r w:rsidR="005E15A5" w:rsidRPr="00742E07">
        <w:t xml:space="preserve">. </w:t>
      </w:r>
    </w:p>
    <w:p w:rsidR="005E15A5" w:rsidRPr="00742E07" w:rsidRDefault="00615628" w:rsidP="008738B7">
      <w:pPr>
        <w:pStyle w:val="EYBodytextwithparaspace"/>
      </w:pPr>
      <w:r w:rsidRPr="00742E07">
        <w:t xml:space="preserve">The costs for a Co-located </w:t>
      </w:r>
      <w:r w:rsidR="00640036" w:rsidRPr="00742E07">
        <w:t>Facility refer to the extra cost</w:t>
      </w:r>
      <w:r w:rsidRPr="00742E07">
        <w:t>s</w:t>
      </w:r>
      <w:r w:rsidR="00640036" w:rsidRPr="00742E07">
        <w:t xml:space="preserve"> of an integrated facility that encompasses the additional accessible sanitary requirements </w:t>
      </w:r>
      <w:r w:rsidR="004D6C52">
        <w:t>whereas</w:t>
      </w:r>
      <w:r w:rsidR="004D6C52" w:rsidRPr="00742E07">
        <w:t xml:space="preserve"> </w:t>
      </w:r>
      <w:r w:rsidR="00640036" w:rsidRPr="00742E07">
        <w:t xml:space="preserve">a Separate Facility refers to </w:t>
      </w:r>
      <w:r w:rsidR="004D6C52">
        <w:t>the capital costs of providing additional walls</w:t>
      </w:r>
      <w:r w:rsidR="00873EB4">
        <w:t xml:space="preserve"> and fitout of a separate</w:t>
      </w:r>
      <w:r w:rsidR="00640036" w:rsidRPr="00742E07">
        <w:t xml:space="preserve"> accessible facility.</w:t>
      </w:r>
      <w:r w:rsidR="00A7016C" w:rsidRPr="00742E07">
        <w:t xml:space="preserve"> </w:t>
      </w:r>
      <w:r w:rsidRPr="00742E07">
        <w:t>The</w:t>
      </w:r>
      <w:r w:rsidR="00A7016C" w:rsidRPr="00742E07">
        <w:t xml:space="preserve"> </w:t>
      </w:r>
      <w:r w:rsidR="005E15A5" w:rsidRPr="00742E07">
        <w:t>estimates relate to both Class 6 shopping centres and Class 9b assembly buildings</w:t>
      </w:r>
      <w:r w:rsidRPr="00742E07">
        <w:t xml:space="preserve"> and </w:t>
      </w:r>
      <w:bookmarkStart w:id="422" w:name="_Toc501022771"/>
      <w:r w:rsidR="005E15A5" w:rsidRPr="00742E07">
        <w:t>are</w:t>
      </w:r>
      <w:r w:rsidR="00AD5644" w:rsidRPr="00742E07">
        <w:t xml:space="preserve"> based on </w:t>
      </w:r>
      <w:r w:rsidR="00125219" w:rsidRPr="00742E07">
        <w:t xml:space="preserve">an </w:t>
      </w:r>
      <w:r w:rsidR="005E15A5" w:rsidRPr="00742E07">
        <w:t xml:space="preserve">updated </w:t>
      </w:r>
      <w:r w:rsidR="00AD5644" w:rsidRPr="00742E07">
        <w:t>specification</w:t>
      </w:r>
      <w:r w:rsidR="00873EB4">
        <w:t xml:space="preserve"> (rationalised since public consultation)</w:t>
      </w:r>
      <w:r w:rsidR="00AD5644" w:rsidRPr="00742E07">
        <w:t xml:space="preserve">. </w:t>
      </w:r>
    </w:p>
    <w:p w:rsidR="001D5C23" w:rsidRPr="00546EB6" w:rsidRDefault="001D5C23" w:rsidP="008738B7">
      <w:pPr>
        <w:pStyle w:val="EYBodytextwithparaspace"/>
      </w:pPr>
      <w:r w:rsidRPr="00742E07">
        <w:t>The</w:t>
      </w:r>
      <w:r w:rsidR="00615628" w:rsidRPr="00742E07">
        <w:t xml:space="preserve"> estimated capital expenses</w:t>
      </w:r>
      <w:r w:rsidRPr="00742E07">
        <w:t xml:space="preserve"> include a design and construction contingency, and allowances for builder’s preliminaries, margins and overheads.</w:t>
      </w:r>
      <w:r>
        <w:t xml:space="preserve"> </w:t>
      </w:r>
    </w:p>
    <w:p w:rsidR="000F2B13" w:rsidRDefault="000F2B13" w:rsidP="00AD5644">
      <w:pPr>
        <w:pStyle w:val="Heading3"/>
      </w:pPr>
      <w:r>
        <w:t>Ongoing operating expenses</w:t>
      </w:r>
      <w:bookmarkEnd w:id="422"/>
    </w:p>
    <w:p w:rsidR="000F2B13" w:rsidRDefault="000F2B13" w:rsidP="008738B7">
      <w:pPr>
        <w:pStyle w:val="EYBodytextwithparaspace"/>
      </w:pPr>
      <w:r>
        <w:t xml:space="preserve">The ongoing operating expenses include </w:t>
      </w:r>
      <w:r w:rsidRPr="00B90A4A">
        <w:t>those relating to the ongoing maintenance of facilities.</w:t>
      </w:r>
      <w:r>
        <w:t xml:space="preserve"> </w:t>
      </w:r>
      <w:r w:rsidR="00844286">
        <w:t xml:space="preserve">This </w:t>
      </w:r>
      <w:r w:rsidR="00065F88">
        <w:t xml:space="preserve">Final </w:t>
      </w:r>
      <w:r>
        <w:t xml:space="preserve">RIS relies upon cost estimates devised by the Property Council of Australia in its 2017 Benchmarks Survey of </w:t>
      </w:r>
      <w:r w:rsidR="00844286">
        <w:t xml:space="preserve">Australian shopping centres. </w:t>
      </w:r>
      <w:r w:rsidR="00125219">
        <w:t>I</w:t>
      </w:r>
      <w:r w:rsidR="00844286">
        <w:t xml:space="preserve">t is assumed that the operating costs for </w:t>
      </w:r>
      <w:r w:rsidR="00F70C6A">
        <w:t>AACF</w:t>
      </w:r>
      <w:r w:rsidR="00A55F43">
        <w:t>s</w:t>
      </w:r>
      <w:r w:rsidR="00844286">
        <w:t xml:space="preserve"> do not differ </w:t>
      </w:r>
      <w:r w:rsidR="00A55F43">
        <w:t>by</w:t>
      </w:r>
      <w:r w:rsidR="00844286">
        <w:t xml:space="preserve"> </w:t>
      </w:r>
      <w:r w:rsidR="00281E50">
        <w:t>location.</w:t>
      </w:r>
    </w:p>
    <w:p w:rsidR="000F2B13" w:rsidRPr="00B90A4A" w:rsidRDefault="000F2B13" w:rsidP="008738B7">
      <w:pPr>
        <w:pStyle w:val="EYBodytextwithparaspace"/>
      </w:pPr>
      <w:r>
        <w:t xml:space="preserve">For the purposes of this analysis an average operating cost of $287 per square metre has been assumed to apply for operating costs, being the average metropolitan cost from the </w:t>
      </w:r>
      <w:r>
        <w:lastRenderedPageBreak/>
        <w:t>Property Council’s benchmark report</w:t>
      </w:r>
      <w:r w:rsidRPr="00E42D9D">
        <w:t xml:space="preserve">. </w:t>
      </w:r>
      <w:r w:rsidRPr="002111AB">
        <w:t xml:space="preserve">We have further assumed an average square meterage of </w:t>
      </w:r>
      <w:r w:rsidR="00065F88" w:rsidRPr="00546EB6">
        <w:t>2.04</w:t>
      </w:r>
      <w:r w:rsidR="00DB1162">
        <w:t>m</w:t>
      </w:r>
      <w:r w:rsidR="00DB1162" w:rsidRPr="00742E07">
        <w:rPr>
          <w:vertAlign w:val="superscript"/>
        </w:rPr>
        <w:t>2</w:t>
      </w:r>
      <w:r w:rsidRPr="007657B6">
        <w:t xml:space="preserve"> per </w:t>
      </w:r>
      <w:r w:rsidRPr="00742E07">
        <w:t xml:space="preserve">facility </w:t>
      </w:r>
      <w:r w:rsidR="00065F88" w:rsidRPr="00742E07">
        <w:t xml:space="preserve">for an </w:t>
      </w:r>
      <w:r w:rsidR="00F8657D">
        <w:t>Incorporated Facility, and 7.68</w:t>
      </w:r>
      <w:r w:rsidR="00DB1162" w:rsidRPr="00742E07">
        <w:t>m</w:t>
      </w:r>
      <w:r w:rsidR="00DB1162" w:rsidRPr="00742E07">
        <w:rPr>
          <w:vertAlign w:val="superscript"/>
        </w:rPr>
        <w:t>2</w:t>
      </w:r>
      <w:r w:rsidR="00065F88" w:rsidRPr="00742E07">
        <w:t xml:space="preserve"> for a Separate Facility </w:t>
      </w:r>
      <w:r w:rsidRPr="00742E07">
        <w:t>based on the sp</w:t>
      </w:r>
      <w:r w:rsidRPr="00E42D9D">
        <w:t>ecifications provided by</w:t>
      </w:r>
      <w:r w:rsidRPr="002111AB">
        <w:t xml:space="preserve"> </w:t>
      </w:r>
      <w:r w:rsidRPr="007657B6">
        <w:t>DCWC.</w:t>
      </w:r>
    </w:p>
    <w:p w:rsidR="000F2B13" w:rsidRDefault="000F2B13" w:rsidP="00145D1B">
      <w:pPr>
        <w:pStyle w:val="Heading3"/>
      </w:pPr>
      <w:r>
        <w:t>Regulatory burden costs</w:t>
      </w:r>
    </w:p>
    <w:p w:rsidR="00C22813" w:rsidRPr="00274C28" w:rsidRDefault="00C22813" w:rsidP="008738B7">
      <w:pPr>
        <w:pStyle w:val="EYBodytextwithparaspace"/>
      </w:pPr>
      <w:r w:rsidRPr="00274C28">
        <w:t>The Australian Government has introduced the ‘Guide to Regulation’, which discusses the importance of cutting red tape.</w:t>
      </w:r>
    </w:p>
    <w:p w:rsidR="00C22813" w:rsidRPr="00A55F43" w:rsidRDefault="00C22813" w:rsidP="008738B7">
      <w:pPr>
        <w:pStyle w:val="EYBodytextwithparaspace"/>
      </w:pPr>
      <w:r w:rsidRPr="00274C28">
        <w:t>A key principle for Australian Government policy makers in the Guide to Re</w:t>
      </w:r>
      <w:r w:rsidR="00A55F43">
        <w:t xml:space="preserve">gulation is that </w:t>
      </w:r>
      <w:r w:rsidR="00A55F43" w:rsidRPr="00A55F43">
        <w:t>t</w:t>
      </w:r>
      <w:r w:rsidRPr="00A55F43">
        <w:t xml:space="preserve">he </w:t>
      </w:r>
      <w:r w:rsidR="00A55F43">
        <w:t>‘</w:t>
      </w:r>
      <w:r w:rsidRPr="00A55F43">
        <w:t>cost burden of new regulation must be fully offset by reductions in existing regulatory burden</w:t>
      </w:r>
      <w:r w:rsidR="00C95E42">
        <w:t>’</w:t>
      </w:r>
      <w:r w:rsidRPr="00A55F43">
        <w:t>.</w:t>
      </w:r>
      <w:r w:rsidR="00A55F43" w:rsidRPr="00C133AC">
        <w:rPr>
          <w:rStyle w:val="FootnoteReference"/>
          <w:sz w:val="24"/>
          <w:szCs w:val="24"/>
        </w:rPr>
        <w:footnoteReference w:id="58"/>
      </w:r>
    </w:p>
    <w:p w:rsidR="00AD5644" w:rsidRDefault="00AD5644" w:rsidP="008738B7">
      <w:pPr>
        <w:pStyle w:val="EYBodytextwithparaspace"/>
      </w:pPr>
      <w:r w:rsidRPr="00E11DFF">
        <w:t xml:space="preserve">All regulatory costs, whether arising from new regulations or changes to existing regulation, must be quantified using the Regulatory Burden Measurement </w:t>
      </w:r>
      <w:r w:rsidR="006C2CFD">
        <w:t>F</w:t>
      </w:r>
      <w:r w:rsidRPr="00E11DFF">
        <w:t>ramework. The framework must also be used for quantifying offsetting regulatory savings, where applicable.</w:t>
      </w:r>
    </w:p>
    <w:p w:rsidR="00AD5644" w:rsidRPr="00E11DFF" w:rsidRDefault="00AD5644" w:rsidP="008738B7">
      <w:pPr>
        <w:pStyle w:val="EYBodytextwithparaspace"/>
      </w:pPr>
      <w:r>
        <w:t>The only costs relevant to this analysis are capital and operating costs. Given that the regulation is proposed to apply only to prospective developments</w:t>
      </w:r>
      <w:r w:rsidR="00391509">
        <w:t>, there is not assumed to be any extension to construction periods, and thus</w:t>
      </w:r>
      <w:r>
        <w:t xml:space="preserve"> there </w:t>
      </w:r>
      <w:r w:rsidR="001A01F0">
        <w:t xml:space="preserve">is </w:t>
      </w:r>
      <w:r>
        <w:t>no</w:t>
      </w:r>
      <w:r w:rsidR="00391509">
        <w:t>t expected to be any</w:t>
      </w:r>
      <w:r>
        <w:t xml:space="preserve"> delay </w:t>
      </w:r>
      <w:r w:rsidR="00391509">
        <w:t xml:space="preserve">or disruption </w:t>
      </w:r>
      <w:r>
        <w:t>cost</w:t>
      </w:r>
      <w:r w:rsidR="00391509">
        <w:t>.</w:t>
      </w:r>
      <w:r>
        <w:t xml:space="preserve"> </w:t>
      </w:r>
      <w:r w:rsidR="00391509">
        <w:t>Similarly, as</w:t>
      </w:r>
      <w:r>
        <w:t xml:space="preserve"> there is not expected to be a </w:t>
      </w:r>
      <w:r w:rsidR="00391509">
        <w:t xml:space="preserve">need for any additional staffing or administrative requirements from a government perspective, the </w:t>
      </w:r>
      <w:r>
        <w:t>cost of administering the regulatory amendment</w:t>
      </w:r>
      <w:r w:rsidR="00391509">
        <w:t xml:space="preserve"> is expected to be minimal</w:t>
      </w:r>
      <w:r>
        <w:t>.</w:t>
      </w:r>
    </w:p>
    <w:p w:rsidR="00AD5644" w:rsidRPr="00E11DFF" w:rsidRDefault="0083057B" w:rsidP="008738B7">
      <w:pPr>
        <w:pStyle w:val="EYBodytextwithparaspace"/>
      </w:pPr>
      <w:r>
        <w:t>T</w:t>
      </w:r>
      <w:r w:rsidR="00AD5644">
        <w:t xml:space="preserve">he ABCB has advised that an appropriate estimation for the regulatory offset </w:t>
      </w:r>
      <w:r w:rsidR="00A55F43">
        <w:t>is one-ninth of the total cost</w:t>
      </w:r>
      <w:r w:rsidR="00A675D7">
        <w:t xml:space="preserve"> (proportional to the Commonwealth’s share)</w:t>
      </w:r>
      <w:r w:rsidR="00A55F43">
        <w:t>.</w:t>
      </w:r>
      <w:r w:rsidR="00AD5644">
        <w:t xml:space="preserve"> </w:t>
      </w:r>
      <w:r w:rsidR="00913F88">
        <w:t>T</w:t>
      </w:r>
      <w:r w:rsidR="00AD5644">
        <w:t xml:space="preserve">his </w:t>
      </w:r>
      <w:r w:rsidR="00181144">
        <w:t xml:space="preserve">regulatory offset is </w:t>
      </w:r>
      <w:r w:rsidR="002A0193">
        <w:t>calculated separately to the estimation of capital and operating costs and is not included in</w:t>
      </w:r>
      <w:r w:rsidR="00181144">
        <w:t xml:space="preserve"> the total cost</w:t>
      </w:r>
      <w:r w:rsidR="002A0193">
        <w:t xml:space="preserve"> estimate</w:t>
      </w:r>
      <w:r w:rsidR="00AD5644" w:rsidRPr="00E11DFF">
        <w:t xml:space="preserve">. </w:t>
      </w:r>
    </w:p>
    <w:p w:rsidR="00AD5644" w:rsidRDefault="00AD5644" w:rsidP="008738B7">
      <w:pPr>
        <w:pStyle w:val="EYBodytextwithparaspace"/>
      </w:pPr>
      <w:r w:rsidRPr="00E11DFF">
        <w:t>Governments of the States and Territories are not required under C</w:t>
      </w:r>
      <w:r w:rsidR="00913F88">
        <w:t xml:space="preserve">ouncil of </w:t>
      </w:r>
      <w:r w:rsidRPr="00E11DFF">
        <w:t>A</w:t>
      </w:r>
      <w:r w:rsidR="00913F88">
        <w:t xml:space="preserve">ustralian </w:t>
      </w:r>
      <w:r w:rsidR="00913F88" w:rsidRPr="00E11DFF">
        <w:t>G</w:t>
      </w:r>
      <w:r w:rsidR="00913F88">
        <w:t>overnments (COAG)</w:t>
      </w:r>
      <w:r w:rsidRPr="00E11DFF">
        <w:t xml:space="preserve"> policy to identify regulatory offsets. Some jurisdictions may have their own mechanisms regarding regulatory offsets, which would be a matter for those jurisdictions to consider.</w:t>
      </w:r>
    </w:p>
    <w:p w:rsidR="00145D1B" w:rsidRDefault="00CE2001" w:rsidP="00145D1B">
      <w:pPr>
        <w:pStyle w:val="Caption"/>
        <w:pBdr>
          <w:top w:val="single" w:sz="4" w:space="1" w:color="auto"/>
          <w:left w:val="single" w:sz="4" w:space="4" w:color="auto"/>
          <w:bottom w:val="single" w:sz="4" w:space="1" w:color="auto"/>
          <w:right w:val="single" w:sz="4" w:space="4" w:color="auto"/>
        </w:pBdr>
        <w:shd w:val="clear" w:color="auto" w:fill="D9D9D9" w:themeFill="background1" w:themeFillShade="D9"/>
      </w:pPr>
      <w:r>
        <w:t>Consultation q</w:t>
      </w:r>
      <w:r w:rsidR="000F2B13">
        <w:t>uestion</w:t>
      </w:r>
      <w:r w:rsidR="00145D1B">
        <w:t>s</w:t>
      </w:r>
    </w:p>
    <w:p w:rsidR="008A4863" w:rsidRPr="006A7ED5" w:rsidRDefault="008A4863" w:rsidP="00A15416">
      <w:pPr>
        <w:pStyle w:val="Caption"/>
        <w:numPr>
          <w:ilvl w:val="0"/>
          <w:numId w:val="40"/>
        </w:numPr>
        <w:pBdr>
          <w:top w:val="single" w:sz="4" w:space="1" w:color="auto"/>
          <w:left w:val="single" w:sz="4" w:space="4" w:color="auto"/>
          <w:bottom w:val="single" w:sz="4" w:space="1" w:color="auto"/>
          <w:right w:val="single" w:sz="4" w:space="4" w:color="auto"/>
        </w:pBdr>
        <w:shd w:val="clear" w:color="auto" w:fill="D9D9D9" w:themeFill="background1" w:themeFillShade="D9"/>
        <w:ind w:hanging="720"/>
        <w:rPr>
          <w:b w:val="0"/>
        </w:rPr>
      </w:pPr>
      <w:bookmarkStart w:id="423" w:name="_Ref506883449"/>
      <w:r w:rsidRPr="006A7ED5">
        <w:rPr>
          <w:b w:val="0"/>
        </w:rPr>
        <w:t>Are the cost estimates applied in this analysis appropriate and reasonable?</w:t>
      </w:r>
    </w:p>
    <w:p w:rsidR="008A4863" w:rsidRDefault="008A4863" w:rsidP="00A15416">
      <w:pPr>
        <w:pStyle w:val="Caption"/>
        <w:numPr>
          <w:ilvl w:val="0"/>
          <w:numId w:val="40"/>
        </w:numPr>
        <w:pBdr>
          <w:top w:val="single" w:sz="4" w:space="1" w:color="auto"/>
          <w:left w:val="single" w:sz="4" w:space="4" w:color="auto"/>
          <w:bottom w:val="single" w:sz="4" w:space="1" w:color="auto"/>
          <w:right w:val="single" w:sz="4" w:space="4" w:color="auto"/>
        </w:pBdr>
        <w:shd w:val="clear" w:color="auto" w:fill="D9D9D9" w:themeFill="background1" w:themeFillShade="D9"/>
        <w:ind w:hanging="720"/>
        <w:rPr>
          <w:b w:val="0"/>
        </w:rPr>
      </w:pPr>
      <w:bookmarkStart w:id="424" w:name="_Ref506883454"/>
      <w:bookmarkEnd w:id="423"/>
      <w:r>
        <w:rPr>
          <w:b w:val="0"/>
        </w:rPr>
        <w:t>Are there any additional establishment and maintenance costs that should be considered?</w:t>
      </w:r>
    </w:p>
    <w:p w:rsidR="00503BD2" w:rsidRDefault="00503BD2">
      <w:pPr>
        <w:jc w:val="left"/>
        <w:rPr>
          <w:sz w:val="2"/>
        </w:rPr>
      </w:pPr>
      <w:r>
        <w:rPr>
          <w:sz w:val="2"/>
        </w:rPr>
        <w:br w:type="page"/>
      </w:r>
    </w:p>
    <w:p w:rsidR="00FD6D1A" w:rsidRPr="00005FF3" w:rsidRDefault="008A4863" w:rsidP="0022711B">
      <w:pPr>
        <w:pStyle w:val="Caption"/>
        <w:keepNext/>
        <w:pBdr>
          <w:top w:val="single" w:sz="4" w:space="1" w:color="auto"/>
          <w:left w:val="single" w:sz="4" w:space="4" w:color="auto"/>
          <w:bottom w:val="single" w:sz="4" w:space="1" w:color="auto"/>
          <w:right w:val="single" w:sz="4" w:space="4" w:color="auto"/>
        </w:pBdr>
        <w:shd w:val="clear" w:color="auto" w:fill="F2F2F2" w:themeFill="background1" w:themeFillShade="F2"/>
      </w:pPr>
      <w:r w:rsidRPr="00005FF3">
        <w:lastRenderedPageBreak/>
        <w:t>S</w:t>
      </w:r>
      <w:bookmarkEnd w:id="424"/>
      <w:r w:rsidR="00F86DE0" w:rsidRPr="00005FF3">
        <w:t>takeholder feedback</w:t>
      </w:r>
      <w:r w:rsidR="00F132A3" w:rsidRPr="00005FF3">
        <w:t xml:space="preserve"> </w:t>
      </w:r>
    </w:p>
    <w:p w:rsidR="00E50060" w:rsidRPr="00005FF3" w:rsidRDefault="00E50060" w:rsidP="009829EC">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005FF3">
        <w:rPr>
          <w:b w:val="0"/>
        </w:rPr>
        <w:t>Most responses noted the cost estimates applied were appropriate for the scope of the analysis, or for new buildings over the coming 10 years. Rail industry estimates</w:t>
      </w:r>
      <w:r w:rsidR="00BA131B" w:rsidRPr="00005FF3">
        <w:rPr>
          <w:b w:val="0"/>
        </w:rPr>
        <w:t xml:space="preserve"> provided by the Australasian Railway Association</w:t>
      </w:r>
      <w:r w:rsidRPr="00005FF3">
        <w:rPr>
          <w:b w:val="0"/>
        </w:rPr>
        <w:t xml:space="preserve"> for the design and construction of a stand-alone AACF were estimated as being in the range of $150,000-$300,000. </w:t>
      </w:r>
      <w:r w:rsidR="008552C5" w:rsidRPr="00005FF3">
        <w:rPr>
          <w:b w:val="0"/>
        </w:rPr>
        <w:t>I</w:t>
      </w:r>
      <w:r w:rsidRPr="00005FF3">
        <w:rPr>
          <w:b w:val="0"/>
        </w:rPr>
        <w:t xml:space="preserve">t was noted </w:t>
      </w:r>
      <w:r w:rsidR="00BA131B" w:rsidRPr="00005FF3">
        <w:rPr>
          <w:b w:val="0"/>
        </w:rPr>
        <w:t xml:space="preserve">by TfNSW and the Australasian Railway Association that </w:t>
      </w:r>
      <w:r w:rsidRPr="00005FF3">
        <w:rPr>
          <w:b w:val="0"/>
        </w:rPr>
        <w:t xml:space="preserve">the costs of AACF installation within an existing accessible </w:t>
      </w:r>
      <w:r w:rsidR="00A675D7">
        <w:rPr>
          <w:b w:val="0"/>
        </w:rPr>
        <w:t>facility</w:t>
      </w:r>
      <w:r w:rsidR="00A675D7" w:rsidRPr="00005FF3">
        <w:rPr>
          <w:b w:val="0"/>
        </w:rPr>
        <w:t xml:space="preserve"> </w:t>
      </w:r>
      <w:r w:rsidRPr="00005FF3">
        <w:rPr>
          <w:b w:val="0"/>
        </w:rPr>
        <w:t xml:space="preserve">is approximately $50,000-$120,000, and this range could increase significantly in transport buildings with heritage implications and site specific issues. These rail station specific cost estimates do not include acquisition costs for space, infrastructure reconfiguration and forgone revenue from leasing. </w:t>
      </w:r>
      <w:r w:rsidR="00BA131B" w:rsidRPr="00005FF3">
        <w:rPr>
          <w:b w:val="0"/>
        </w:rPr>
        <w:t>TfNSW</w:t>
      </w:r>
      <w:r w:rsidRPr="00005FF3">
        <w:rPr>
          <w:b w:val="0"/>
        </w:rPr>
        <w:t xml:space="preserve"> noted the average leasing revenue from retail space within a high patronage public transport environment is between $10,000 and $12,500</w:t>
      </w:r>
      <w:r w:rsidR="00A675D7">
        <w:rPr>
          <w:b w:val="0"/>
        </w:rPr>
        <w:t>m</w:t>
      </w:r>
      <w:r w:rsidR="00A675D7" w:rsidRPr="00A675D7">
        <w:rPr>
          <w:b w:val="0"/>
          <w:vertAlign w:val="superscript"/>
        </w:rPr>
        <w:t>2</w:t>
      </w:r>
      <w:r w:rsidRPr="00005FF3">
        <w:rPr>
          <w:b w:val="0"/>
        </w:rPr>
        <w:t xml:space="preserve"> per annum. A number of disability advocates noted capital costs could be reduced by </w:t>
      </w:r>
      <w:r w:rsidR="00586504" w:rsidRPr="00005FF3">
        <w:rPr>
          <w:b w:val="0"/>
        </w:rPr>
        <w:t xml:space="preserve">requiring fit-for-purpose </w:t>
      </w:r>
      <w:r w:rsidRPr="00005FF3">
        <w:rPr>
          <w:b w:val="0"/>
        </w:rPr>
        <w:t xml:space="preserve">design </w:t>
      </w:r>
      <w:r w:rsidR="00586504" w:rsidRPr="00005FF3">
        <w:rPr>
          <w:b w:val="0"/>
        </w:rPr>
        <w:t>requirements</w:t>
      </w:r>
      <w:r w:rsidRPr="00005FF3">
        <w:rPr>
          <w:b w:val="0"/>
        </w:rPr>
        <w:t xml:space="preserve">, rather than mandating prescriptive </w:t>
      </w:r>
      <w:r w:rsidR="00586504" w:rsidRPr="00005FF3">
        <w:rPr>
          <w:b w:val="0"/>
        </w:rPr>
        <w:t xml:space="preserve">requirements that could be considered </w:t>
      </w:r>
      <w:r w:rsidRPr="00005FF3">
        <w:rPr>
          <w:b w:val="0"/>
        </w:rPr>
        <w:t>compliant with Changing Places specifications.</w:t>
      </w:r>
    </w:p>
    <w:p w:rsidR="00125219" w:rsidRPr="00005FF3" w:rsidRDefault="002B182F" w:rsidP="009829EC">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Pr>
          <w:b w:val="0"/>
        </w:rPr>
        <w:t>DCWC</w:t>
      </w:r>
      <w:r w:rsidR="00125219" w:rsidRPr="00005FF3">
        <w:rPr>
          <w:b w:val="0"/>
        </w:rPr>
        <w:t xml:space="preserve"> undertook a revised costing exercise based on revised design specifications</w:t>
      </w:r>
      <w:r w:rsidR="001E0D0F">
        <w:rPr>
          <w:b w:val="0"/>
        </w:rPr>
        <w:t xml:space="preserve"> and updated</w:t>
      </w:r>
      <w:r w:rsidR="00125219" w:rsidRPr="00005FF3">
        <w:rPr>
          <w:b w:val="0"/>
        </w:rPr>
        <w:t xml:space="preserve"> capital costs</w:t>
      </w:r>
      <w:r w:rsidR="001E0D0F">
        <w:rPr>
          <w:b w:val="0"/>
        </w:rPr>
        <w:t xml:space="preserve"> where necessary</w:t>
      </w:r>
      <w:r w:rsidR="00125219" w:rsidRPr="00005FF3">
        <w:rPr>
          <w:b w:val="0"/>
        </w:rPr>
        <w:t xml:space="preserve">. </w:t>
      </w:r>
      <w:r w:rsidR="002A0193">
        <w:rPr>
          <w:b w:val="0"/>
        </w:rPr>
        <w:t>The</w:t>
      </w:r>
      <w:r w:rsidR="001E0D0F">
        <w:rPr>
          <w:b w:val="0"/>
        </w:rPr>
        <w:t xml:space="preserve">se </w:t>
      </w:r>
      <w:r w:rsidR="00125219" w:rsidRPr="00005FF3">
        <w:rPr>
          <w:b w:val="0"/>
        </w:rPr>
        <w:t xml:space="preserve">costs </w:t>
      </w:r>
      <w:r w:rsidR="002A0193">
        <w:rPr>
          <w:b w:val="0"/>
        </w:rPr>
        <w:t>are</w:t>
      </w:r>
      <w:r w:rsidR="002A0193" w:rsidRPr="00005FF3">
        <w:rPr>
          <w:b w:val="0"/>
        </w:rPr>
        <w:t xml:space="preserve"> </w:t>
      </w:r>
      <w:r w:rsidR="002A0193">
        <w:rPr>
          <w:b w:val="0"/>
        </w:rPr>
        <w:t>provided</w:t>
      </w:r>
      <w:r w:rsidR="002A0193" w:rsidRPr="00005FF3">
        <w:rPr>
          <w:b w:val="0"/>
        </w:rPr>
        <w:t xml:space="preserve"> </w:t>
      </w:r>
      <w:r w:rsidR="00125219" w:rsidRPr="00005FF3">
        <w:rPr>
          <w:b w:val="0"/>
        </w:rPr>
        <w:t xml:space="preserve">in </w:t>
      </w:r>
      <w:r w:rsidR="00A072E6">
        <w:rPr>
          <w:b w:val="0"/>
        </w:rPr>
        <w:t>S</w:t>
      </w:r>
      <w:r w:rsidR="00A072E6" w:rsidRPr="00005FF3">
        <w:rPr>
          <w:b w:val="0"/>
        </w:rPr>
        <w:t xml:space="preserve">ection </w:t>
      </w:r>
      <w:r w:rsidR="00125219" w:rsidRPr="00005FF3">
        <w:rPr>
          <w:b w:val="0"/>
        </w:rPr>
        <w:fldChar w:fldCharType="begin"/>
      </w:r>
      <w:r w:rsidR="00125219" w:rsidRPr="00005FF3">
        <w:rPr>
          <w:b w:val="0"/>
        </w:rPr>
        <w:instrText xml:space="preserve"> REF _Ref517260579 \r \h  \* MERGEFORMAT </w:instrText>
      </w:r>
      <w:r w:rsidR="00125219" w:rsidRPr="00005FF3">
        <w:rPr>
          <w:b w:val="0"/>
        </w:rPr>
      </w:r>
      <w:r w:rsidR="00125219" w:rsidRPr="00005FF3">
        <w:rPr>
          <w:b w:val="0"/>
        </w:rPr>
        <w:fldChar w:fldCharType="separate"/>
      </w:r>
      <w:r w:rsidR="00910A73">
        <w:rPr>
          <w:b w:val="0"/>
        </w:rPr>
        <w:t>6.1.1</w:t>
      </w:r>
      <w:r w:rsidR="00125219" w:rsidRPr="00005FF3">
        <w:rPr>
          <w:b w:val="0"/>
        </w:rPr>
        <w:fldChar w:fldCharType="end"/>
      </w:r>
      <w:r w:rsidR="00125219" w:rsidRPr="00005FF3">
        <w:rPr>
          <w:b w:val="0"/>
        </w:rPr>
        <w:t>.</w:t>
      </w:r>
    </w:p>
    <w:p w:rsidR="007574EC" w:rsidRPr="00005FF3" w:rsidRDefault="007A68F6" w:rsidP="009829EC">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005FF3">
        <w:rPr>
          <w:b w:val="0"/>
        </w:rPr>
        <w:t xml:space="preserve">A number of </w:t>
      </w:r>
      <w:r w:rsidR="009D4D7D">
        <w:rPr>
          <w:b w:val="0"/>
        </w:rPr>
        <w:t>stakeholders,</w:t>
      </w:r>
      <w:r w:rsidR="009D4D7D" w:rsidRPr="00005FF3">
        <w:rPr>
          <w:b w:val="0"/>
        </w:rPr>
        <w:t xml:space="preserve"> </w:t>
      </w:r>
      <w:r w:rsidR="00FA37FD" w:rsidRPr="00005FF3">
        <w:rPr>
          <w:b w:val="0"/>
        </w:rPr>
        <w:t>including TfNSW, the Australasian Railway Association</w:t>
      </w:r>
      <w:r w:rsidR="007574EC" w:rsidRPr="00005FF3">
        <w:rPr>
          <w:b w:val="0"/>
        </w:rPr>
        <w:t>,</w:t>
      </w:r>
      <w:r w:rsidR="00FA37FD" w:rsidRPr="00005FF3">
        <w:rPr>
          <w:b w:val="0"/>
        </w:rPr>
        <w:t xml:space="preserve"> Shoalhaven City Council </w:t>
      </w:r>
      <w:r w:rsidR="007574EC" w:rsidRPr="00005FF3">
        <w:rPr>
          <w:b w:val="0"/>
        </w:rPr>
        <w:t xml:space="preserve">and the Building Designers’ </w:t>
      </w:r>
      <w:r w:rsidR="00143015" w:rsidRPr="00005FF3">
        <w:rPr>
          <w:b w:val="0"/>
        </w:rPr>
        <w:t>Association</w:t>
      </w:r>
      <w:r w:rsidR="007574EC" w:rsidRPr="00005FF3">
        <w:rPr>
          <w:b w:val="0"/>
        </w:rPr>
        <w:t xml:space="preserve"> of Queensland</w:t>
      </w:r>
      <w:r w:rsidR="009D4D7D">
        <w:rPr>
          <w:b w:val="0"/>
        </w:rPr>
        <w:t>,</w:t>
      </w:r>
      <w:r w:rsidR="007574EC" w:rsidRPr="00005FF3">
        <w:rPr>
          <w:b w:val="0"/>
        </w:rPr>
        <w:t xml:space="preserve"> </w:t>
      </w:r>
      <w:r w:rsidR="003F1F3E" w:rsidRPr="00005FF3">
        <w:rPr>
          <w:b w:val="0"/>
        </w:rPr>
        <w:t xml:space="preserve">noted </w:t>
      </w:r>
      <w:r w:rsidR="008C43CB" w:rsidRPr="00005FF3">
        <w:rPr>
          <w:b w:val="0"/>
        </w:rPr>
        <w:t xml:space="preserve">maintenance costs may be understated. </w:t>
      </w:r>
      <w:r w:rsidR="00BC614A" w:rsidRPr="00005FF3">
        <w:rPr>
          <w:b w:val="0"/>
        </w:rPr>
        <w:t>Multiple respons</w:t>
      </w:r>
      <w:r w:rsidR="008C43CB" w:rsidRPr="00005FF3">
        <w:rPr>
          <w:b w:val="0"/>
        </w:rPr>
        <w:t>es were of the view that m</w:t>
      </w:r>
      <w:r w:rsidR="003F1F3E" w:rsidRPr="00005FF3">
        <w:rPr>
          <w:b w:val="0"/>
        </w:rPr>
        <w:t xml:space="preserve">itigation measures for vandalism and misuse including regular refits and routine inspections should be considered as part of maintenance costs. </w:t>
      </w:r>
    </w:p>
    <w:p w:rsidR="009D4D7D" w:rsidRDefault="00005FF3" w:rsidP="00005FF3">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005FF3">
        <w:rPr>
          <w:b w:val="0"/>
        </w:rPr>
        <w:t xml:space="preserve">A wide range of estimates for additional costs were provided. TfNSW noted the average maintenance costs of AACFs were estimated at approximately $50,000 per annum, per location. This estimate was noted to include regular refits and routine inspections. </w:t>
      </w:r>
    </w:p>
    <w:p w:rsidR="00005FF3" w:rsidRPr="00005FF3" w:rsidRDefault="00005FF3" w:rsidP="00005FF3">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005FF3">
        <w:rPr>
          <w:b w:val="0"/>
        </w:rPr>
        <w:t>The Building Designers’ Association of Queensland noted that the loss of floor area of 3m</w:t>
      </w:r>
      <w:r w:rsidRPr="004F695A">
        <w:rPr>
          <w:b w:val="0"/>
          <w:vertAlign w:val="superscript"/>
        </w:rPr>
        <w:t>2</w:t>
      </w:r>
      <w:r w:rsidRPr="00005FF3">
        <w:rPr>
          <w:b w:val="0"/>
        </w:rPr>
        <w:t xml:space="preserve"> could have a cost implication of $15,000</w:t>
      </w:r>
      <w:r w:rsidR="009D4D7D">
        <w:rPr>
          <w:b w:val="0"/>
        </w:rPr>
        <w:t>.</w:t>
      </w:r>
      <w:r w:rsidRPr="00005FF3">
        <w:rPr>
          <w:b w:val="0"/>
        </w:rPr>
        <w:t xml:space="preserve"> </w:t>
      </w:r>
      <w:r w:rsidR="009D4D7D">
        <w:rPr>
          <w:b w:val="0"/>
        </w:rPr>
        <w:t>N</w:t>
      </w:r>
      <w:r w:rsidRPr="00005FF3">
        <w:rPr>
          <w:b w:val="0"/>
        </w:rPr>
        <w:t>o further details were provided in support of this figure</w:t>
      </w:r>
      <w:r w:rsidR="009D4D7D">
        <w:rPr>
          <w:b w:val="0"/>
        </w:rPr>
        <w:t xml:space="preserve">, however it is assumed that the figure </w:t>
      </w:r>
      <w:r w:rsidR="00DC0FA7">
        <w:rPr>
          <w:b w:val="0"/>
        </w:rPr>
        <w:t>relates to</w:t>
      </w:r>
      <w:r w:rsidR="009D4D7D">
        <w:rPr>
          <w:b w:val="0"/>
        </w:rPr>
        <w:t xml:space="preserve"> the potential revenue that could be generated by shopping centres if the space were leased rather than used as an AACF</w:t>
      </w:r>
      <w:r w:rsidRPr="00005FF3">
        <w:rPr>
          <w:b w:val="0"/>
        </w:rPr>
        <w:t xml:space="preserve">. There are </w:t>
      </w:r>
      <w:r w:rsidR="001A4129">
        <w:rPr>
          <w:b w:val="0"/>
        </w:rPr>
        <w:t>three</w:t>
      </w:r>
      <w:r w:rsidRPr="00005FF3">
        <w:rPr>
          <w:b w:val="0"/>
        </w:rPr>
        <w:t xml:space="preserve"> points worth making in relation to this figure</w:t>
      </w:r>
      <w:r>
        <w:rPr>
          <w:b w:val="0"/>
        </w:rPr>
        <w:t>:</w:t>
      </w:r>
    </w:p>
    <w:p w:rsidR="009975BB" w:rsidRDefault="009975BB" w:rsidP="004F695A">
      <w:pPr>
        <w:pStyle w:val="EYBulletedText1"/>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First, it is worth noting that these costs would only be incurred under the regulatory scenario, with any costs under the </w:t>
      </w:r>
      <w:r w:rsidR="004F695A">
        <w:t>n</w:t>
      </w:r>
      <w:r>
        <w:t>on-regulatory scenario being solely at the choice of the developer</w:t>
      </w:r>
      <w:r w:rsidR="00C13C4B">
        <w:t>.</w:t>
      </w:r>
    </w:p>
    <w:p w:rsidR="009975BB" w:rsidRDefault="009975BB" w:rsidP="004F695A">
      <w:pPr>
        <w:pStyle w:val="EYBulletedText1"/>
        <w:pBdr>
          <w:top w:val="single" w:sz="4" w:space="1" w:color="auto"/>
          <w:left w:val="single" w:sz="4" w:space="4" w:color="auto"/>
          <w:bottom w:val="single" w:sz="4" w:space="1" w:color="auto"/>
          <w:right w:val="single" w:sz="4" w:space="4" w:color="auto"/>
        </w:pBdr>
        <w:shd w:val="clear" w:color="auto" w:fill="F2F2F2" w:themeFill="background1" w:themeFillShade="F2"/>
      </w:pPr>
      <w:r>
        <w:t>Second</w:t>
      </w:r>
      <w:r w:rsidR="00005FF3" w:rsidRPr="00005FF3">
        <w:t xml:space="preserve">, </w:t>
      </w:r>
      <w:r w:rsidR="00435C3D">
        <w:t xml:space="preserve">while </w:t>
      </w:r>
      <w:r w:rsidR="001A4129">
        <w:t xml:space="preserve">we </w:t>
      </w:r>
      <w:r>
        <w:t xml:space="preserve">acknowledge that the requirement to install an AACF would potentially affect overall lettable area for smaller shopping centres, it is not clear that this </w:t>
      </w:r>
      <w:r w:rsidR="004F695A">
        <w:t xml:space="preserve">would be </w:t>
      </w:r>
      <w:r>
        <w:t>the case for larger buildings,</w:t>
      </w:r>
      <w:r w:rsidR="004F695A">
        <w:t xml:space="preserve"> where sanitary facilities are typically grouped together as banks of toilets </w:t>
      </w:r>
      <w:r>
        <w:t xml:space="preserve">meaning </w:t>
      </w:r>
      <w:r w:rsidR="004F695A">
        <w:t xml:space="preserve">the potential loss </w:t>
      </w:r>
      <w:r>
        <w:t>of $15,000 to all</w:t>
      </w:r>
      <w:r w:rsidR="004F695A">
        <w:t xml:space="preserve"> new shopping</w:t>
      </w:r>
      <w:r>
        <w:t xml:space="preserve"> cent</w:t>
      </w:r>
      <w:r w:rsidR="004F695A">
        <w:t>re</w:t>
      </w:r>
      <w:r>
        <w:t>s would be an over estimate</w:t>
      </w:r>
      <w:r w:rsidR="00765EC5">
        <w:t>.</w:t>
      </w:r>
      <w:r w:rsidR="004F695A">
        <w:t xml:space="preserve"> </w:t>
      </w:r>
    </w:p>
    <w:p w:rsidR="00765EC5" w:rsidRDefault="00765EC5" w:rsidP="00765EC5">
      <w:pPr>
        <w:pStyle w:val="EYBulletedText1"/>
        <w:pBdr>
          <w:top w:val="single" w:sz="4" w:space="1" w:color="auto"/>
          <w:left w:val="single" w:sz="4" w:space="4" w:color="auto"/>
          <w:bottom w:val="single" w:sz="4" w:space="1" w:color="auto"/>
          <w:right w:val="single" w:sz="4" w:space="4" w:color="auto"/>
        </w:pBdr>
        <w:shd w:val="clear" w:color="auto" w:fill="F2F2F2" w:themeFill="background1" w:themeFillShade="F2"/>
      </w:pPr>
      <w:r>
        <w:t>Finally</w:t>
      </w:r>
      <w:r w:rsidR="00005FF3" w:rsidRPr="00005FF3">
        <w:t xml:space="preserve">, </w:t>
      </w:r>
      <w:r w:rsidR="00EF7045">
        <w:t xml:space="preserve">analysis shows that </w:t>
      </w:r>
      <w:r w:rsidR="00534AF1">
        <w:t xml:space="preserve">the economic </w:t>
      </w:r>
      <w:r w:rsidR="00435C3D">
        <w:t xml:space="preserve">loss associated with </w:t>
      </w:r>
      <w:r w:rsidR="00534AF1">
        <w:t xml:space="preserve">a reduction in </w:t>
      </w:r>
      <w:r w:rsidR="00435C3D">
        <w:t xml:space="preserve">floor space would not outweigh </w:t>
      </w:r>
      <w:r w:rsidR="00534AF1">
        <w:t xml:space="preserve">the </w:t>
      </w:r>
      <w:r w:rsidR="00435C3D">
        <w:t xml:space="preserve">benefits associated </w:t>
      </w:r>
      <w:r w:rsidR="00534AF1">
        <w:t>from the installation of a</w:t>
      </w:r>
      <w:r w:rsidR="00C13C4B">
        <w:t>n</w:t>
      </w:r>
      <w:r w:rsidR="00534AF1">
        <w:t xml:space="preserve"> </w:t>
      </w:r>
      <w:r w:rsidR="00435C3D">
        <w:t>AACF</w:t>
      </w:r>
      <w:r>
        <w:t xml:space="preserve"> in shopping centres </w:t>
      </w:r>
      <w:r w:rsidR="00534AF1">
        <w:t>above 10,000 m</w:t>
      </w:r>
      <w:r w:rsidR="00B651C0" w:rsidRPr="00145CFE">
        <w:rPr>
          <w:vertAlign w:val="superscript"/>
        </w:rPr>
        <w:t>2</w:t>
      </w:r>
      <w:r>
        <w:t>.</w:t>
      </w:r>
    </w:p>
    <w:p w:rsidR="00005FF3" w:rsidRPr="00005FF3" w:rsidRDefault="007574EC" w:rsidP="007E1FF5">
      <w:pPr>
        <w:pStyle w:val="EYBulletedText1"/>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pPr>
      <w:r w:rsidRPr="00005FF3">
        <w:lastRenderedPageBreak/>
        <w:t>Providing a counter-po</w:t>
      </w:r>
      <w:r w:rsidR="00BA0AD2">
        <w:t xml:space="preserve">int to this view was </w:t>
      </w:r>
      <w:r w:rsidR="00D07FF1">
        <w:t xml:space="preserve">Victorian </w:t>
      </w:r>
      <w:r w:rsidR="008B3631">
        <w:t>HHSBA</w:t>
      </w:r>
      <w:r w:rsidRPr="00005FF3">
        <w:t>, which noted</w:t>
      </w:r>
      <w:r w:rsidR="00005FF3" w:rsidRPr="00005FF3">
        <w:t>:</w:t>
      </w:r>
    </w:p>
    <w:p w:rsidR="00CA3483" w:rsidRPr="00005FF3" w:rsidRDefault="007574EC" w:rsidP="009829EC">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i/>
        </w:rPr>
      </w:pPr>
      <w:r w:rsidRPr="00005FF3">
        <w:rPr>
          <w:b w:val="0"/>
          <w:i/>
        </w:rPr>
        <w:t>“</w:t>
      </w:r>
      <w:r w:rsidR="00005FF3" w:rsidRPr="00005FF3">
        <w:rPr>
          <w:b w:val="0"/>
          <w:i/>
        </w:rPr>
        <w:t>We</w:t>
      </w:r>
      <w:r w:rsidRPr="00005FF3">
        <w:rPr>
          <w:b w:val="0"/>
          <w:i/>
        </w:rPr>
        <w:t xml:space="preserve"> do not believe that there will be significant additional costs involved. The costs are fairly straightforward – regular cleaning as per any public toilet and equipment maintenance for hoist and change table as per manufacturer’s recommendation</w:t>
      </w:r>
      <w:r w:rsidR="00CE10DD">
        <w:rPr>
          <w:b w:val="0"/>
          <w:i/>
        </w:rPr>
        <w:t>.</w:t>
      </w:r>
      <w:r w:rsidRPr="00005FF3">
        <w:rPr>
          <w:b w:val="0"/>
          <w:i/>
        </w:rPr>
        <w:t>”</w:t>
      </w:r>
    </w:p>
    <w:p w:rsidR="003C1430" w:rsidRPr="00005FF3" w:rsidRDefault="003C1430" w:rsidP="009829EC">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005FF3">
        <w:rPr>
          <w:b w:val="0"/>
        </w:rPr>
        <w:t xml:space="preserve">Feedback from stakeholders indicated the Consultation RIS did not adequately capture establishment and maintenance costs for retrofitting existing buildings, particularly transport buildings. Owing </w:t>
      </w:r>
      <w:r w:rsidR="00FA73C8" w:rsidRPr="00005FF3">
        <w:rPr>
          <w:b w:val="0"/>
        </w:rPr>
        <w:t>to</w:t>
      </w:r>
      <w:r w:rsidRPr="00005FF3">
        <w:rPr>
          <w:b w:val="0"/>
        </w:rPr>
        <w:t xml:space="preserve"> the considerable </w:t>
      </w:r>
      <w:r w:rsidR="00F120D1" w:rsidRPr="00005FF3">
        <w:rPr>
          <w:b w:val="0"/>
        </w:rPr>
        <w:t>range</w:t>
      </w:r>
      <w:r w:rsidRPr="00005FF3">
        <w:rPr>
          <w:b w:val="0"/>
        </w:rPr>
        <w:t xml:space="preserve"> in </w:t>
      </w:r>
      <w:r w:rsidR="00F120D1" w:rsidRPr="00005FF3">
        <w:rPr>
          <w:b w:val="0"/>
        </w:rPr>
        <w:t>estimates</w:t>
      </w:r>
      <w:r w:rsidRPr="00005FF3">
        <w:rPr>
          <w:b w:val="0"/>
        </w:rPr>
        <w:t xml:space="preserve"> provided of potential ‘additional’ costs, it is not considered prudent </w:t>
      </w:r>
      <w:r w:rsidR="00F120D1" w:rsidRPr="00005FF3">
        <w:rPr>
          <w:b w:val="0"/>
        </w:rPr>
        <w:t>to</w:t>
      </w:r>
      <w:r w:rsidRPr="00005FF3">
        <w:rPr>
          <w:b w:val="0"/>
        </w:rPr>
        <w:t xml:space="preserve"> separately include any </w:t>
      </w:r>
      <w:r w:rsidR="00F120D1" w:rsidRPr="00005FF3">
        <w:rPr>
          <w:b w:val="0"/>
        </w:rPr>
        <w:t>such</w:t>
      </w:r>
      <w:r w:rsidRPr="00005FF3">
        <w:rPr>
          <w:b w:val="0"/>
        </w:rPr>
        <w:t xml:space="preserve"> </w:t>
      </w:r>
      <w:r w:rsidR="00F120D1" w:rsidRPr="00005FF3">
        <w:rPr>
          <w:b w:val="0"/>
        </w:rPr>
        <w:t>estimates</w:t>
      </w:r>
      <w:r w:rsidRPr="00005FF3">
        <w:rPr>
          <w:b w:val="0"/>
        </w:rPr>
        <w:t xml:space="preserve"> in the modelling. </w:t>
      </w:r>
    </w:p>
    <w:p w:rsidR="003C1430" w:rsidRPr="00005FF3" w:rsidRDefault="003C1430" w:rsidP="009829EC">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005FF3">
        <w:rPr>
          <w:b w:val="0"/>
        </w:rPr>
        <w:t xml:space="preserve">That said, it is noted that the minimum necessary specifications assumed under </w:t>
      </w:r>
      <w:r w:rsidR="00C13C4B">
        <w:rPr>
          <w:b w:val="0"/>
        </w:rPr>
        <w:t>R</w:t>
      </w:r>
      <w:r w:rsidR="00C13C4B" w:rsidRPr="00005FF3">
        <w:rPr>
          <w:b w:val="0"/>
        </w:rPr>
        <w:t xml:space="preserve">egulatory </w:t>
      </w:r>
      <w:r w:rsidR="00C13C4B">
        <w:rPr>
          <w:b w:val="0"/>
        </w:rPr>
        <w:t>O</w:t>
      </w:r>
      <w:r w:rsidR="00C13C4B" w:rsidRPr="00005FF3">
        <w:rPr>
          <w:b w:val="0"/>
        </w:rPr>
        <w:t xml:space="preserve">ption </w:t>
      </w:r>
      <w:r w:rsidRPr="00005FF3">
        <w:rPr>
          <w:b w:val="0"/>
        </w:rPr>
        <w:t>A (which is the preferred option)</w:t>
      </w:r>
      <w:r w:rsidR="00F120D1" w:rsidRPr="00005FF3">
        <w:rPr>
          <w:b w:val="0"/>
        </w:rPr>
        <w:t xml:space="preserve">, </w:t>
      </w:r>
      <w:r w:rsidR="002A0193">
        <w:rPr>
          <w:b w:val="0"/>
        </w:rPr>
        <w:t xml:space="preserve">have been developed so as to </w:t>
      </w:r>
      <w:r w:rsidR="00F120D1" w:rsidRPr="00005FF3">
        <w:rPr>
          <w:b w:val="0"/>
        </w:rPr>
        <w:t>not specifically require mechanical features</w:t>
      </w:r>
      <w:r w:rsidR="002A0193">
        <w:rPr>
          <w:b w:val="0"/>
        </w:rPr>
        <w:t xml:space="preserve"> such as mechanical hoists</w:t>
      </w:r>
      <w:r w:rsidR="00F120D1" w:rsidRPr="00005FF3">
        <w:rPr>
          <w:b w:val="0"/>
        </w:rPr>
        <w:t xml:space="preserve">. This in itself is likely to </w:t>
      </w:r>
      <w:r w:rsidR="00D75328" w:rsidRPr="00005FF3">
        <w:rPr>
          <w:b w:val="0"/>
        </w:rPr>
        <w:t>considerably reduce ongoing maintenance costs.</w:t>
      </w:r>
      <w:r w:rsidR="00F120D1" w:rsidRPr="00005FF3">
        <w:rPr>
          <w:b w:val="0"/>
        </w:rPr>
        <w:t xml:space="preserve"> </w:t>
      </w:r>
      <w:r w:rsidR="00D75328" w:rsidRPr="00005FF3">
        <w:rPr>
          <w:b w:val="0"/>
        </w:rPr>
        <w:t>It</w:t>
      </w:r>
      <w:r w:rsidR="00F120D1" w:rsidRPr="00005FF3">
        <w:rPr>
          <w:b w:val="0"/>
        </w:rPr>
        <w:t xml:space="preserve"> is also worth noting that benefits and costs for AACFs are considered over a ten year period, in which it is not expected that any large scale maintenance or replacement of parts of the AACF </w:t>
      </w:r>
      <w:r w:rsidR="00D75328" w:rsidRPr="00005FF3">
        <w:rPr>
          <w:b w:val="0"/>
        </w:rPr>
        <w:t>would</w:t>
      </w:r>
      <w:r w:rsidR="00F120D1" w:rsidRPr="00005FF3">
        <w:rPr>
          <w:b w:val="0"/>
        </w:rPr>
        <w:t xml:space="preserve"> be required.</w:t>
      </w:r>
    </w:p>
    <w:p w:rsidR="00FD6D1A" w:rsidRPr="00FD6D1A" w:rsidRDefault="00FA73C8" w:rsidP="0022711B">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pPr>
      <w:r w:rsidRPr="00005FF3">
        <w:rPr>
          <w:b w:val="0"/>
        </w:rPr>
        <w:t>Finally, while specific comments relating to the potential costs of retrofitting existing public transport buildings are acknowledged, based on our analysis and stakeholder feedback, mandating AACFs in public transport buildings is not recommended.</w:t>
      </w:r>
      <w:r w:rsidR="00716B19">
        <w:rPr>
          <w:b w:val="0"/>
        </w:rPr>
        <w:t xml:space="preserve"> The reasons for this recommendation are described in </w:t>
      </w:r>
      <w:r w:rsidR="00E71337">
        <w:rPr>
          <w:b w:val="0"/>
        </w:rPr>
        <w:t>S</w:t>
      </w:r>
      <w:r w:rsidR="00716B19">
        <w:rPr>
          <w:b w:val="0"/>
        </w:rPr>
        <w:t xml:space="preserve">ection </w:t>
      </w:r>
      <w:r w:rsidR="00716B19">
        <w:rPr>
          <w:b w:val="0"/>
        </w:rPr>
        <w:fldChar w:fldCharType="begin"/>
      </w:r>
      <w:r w:rsidR="00716B19">
        <w:rPr>
          <w:b w:val="0"/>
        </w:rPr>
        <w:instrText xml:space="preserve"> REF _Ref517092069 \r \h </w:instrText>
      </w:r>
      <w:r w:rsidR="00716B19">
        <w:rPr>
          <w:b w:val="0"/>
        </w:rPr>
      </w:r>
      <w:r w:rsidR="00716B19">
        <w:rPr>
          <w:b w:val="0"/>
        </w:rPr>
        <w:fldChar w:fldCharType="separate"/>
      </w:r>
      <w:r w:rsidR="00910A73">
        <w:rPr>
          <w:b w:val="0"/>
        </w:rPr>
        <w:t>7.1.2</w:t>
      </w:r>
      <w:r w:rsidR="00716B19">
        <w:rPr>
          <w:b w:val="0"/>
        </w:rPr>
        <w:fldChar w:fldCharType="end"/>
      </w:r>
      <w:r w:rsidR="00716B19">
        <w:rPr>
          <w:b w:val="0"/>
        </w:rPr>
        <w:t>.</w:t>
      </w:r>
    </w:p>
    <w:p w:rsidR="000F2B13" w:rsidRDefault="000F2B13" w:rsidP="000F2B13">
      <w:pPr>
        <w:pStyle w:val="Heading2"/>
      </w:pPr>
      <w:bookmarkStart w:id="425" w:name="_Toc504063172"/>
      <w:bookmarkStart w:id="426" w:name="_Toc504388863"/>
      <w:bookmarkStart w:id="427" w:name="_Toc504401714"/>
      <w:bookmarkStart w:id="428" w:name="_Toc504649920"/>
      <w:bookmarkStart w:id="429" w:name="_Toc525897797"/>
      <w:r>
        <w:t>Benefits</w:t>
      </w:r>
      <w:bookmarkEnd w:id="425"/>
      <w:bookmarkEnd w:id="426"/>
      <w:bookmarkEnd w:id="427"/>
      <w:bookmarkEnd w:id="428"/>
      <w:bookmarkEnd w:id="429"/>
    </w:p>
    <w:p w:rsidR="000F2B13" w:rsidRPr="00B90A4A" w:rsidRDefault="000F2B13" w:rsidP="008738B7">
      <w:pPr>
        <w:pStyle w:val="EYBodytextwithparaspace"/>
      </w:pPr>
      <w:r>
        <w:t xml:space="preserve">This </w:t>
      </w:r>
      <w:r w:rsidR="0003696D">
        <w:t xml:space="preserve">Final </w:t>
      </w:r>
      <w:r>
        <w:t xml:space="preserve">RIS considers two types of benefit: </w:t>
      </w:r>
      <w:r w:rsidR="001A4C2E">
        <w:t xml:space="preserve">quantifiable </w:t>
      </w:r>
      <w:r>
        <w:t xml:space="preserve">benefits and </w:t>
      </w:r>
      <w:r w:rsidR="00E63653">
        <w:t xml:space="preserve">qualitative </w:t>
      </w:r>
      <w:r>
        <w:t xml:space="preserve">benefits. </w:t>
      </w:r>
    </w:p>
    <w:p w:rsidR="000F2B13" w:rsidRDefault="00501F98" w:rsidP="00145D1B">
      <w:pPr>
        <w:pStyle w:val="Heading3"/>
      </w:pPr>
      <w:bookmarkStart w:id="430" w:name="_Ref523139856"/>
      <w:r>
        <w:t xml:space="preserve">Quantifiable </w:t>
      </w:r>
      <w:r w:rsidR="000F2B13">
        <w:t>benefits</w:t>
      </w:r>
      <w:r w:rsidR="003344F8">
        <w:t xml:space="preserve"> – shopping centres, museums and </w:t>
      </w:r>
      <w:r w:rsidR="00982664">
        <w:t>stadiums</w:t>
      </w:r>
      <w:bookmarkEnd w:id="430"/>
    </w:p>
    <w:p w:rsidR="00415D89" w:rsidRDefault="00281E50" w:rsidP="008738B7">
      <w:pPr>
        <w:pStyle w:val="EYBodytextwithparaspace"/>
      </w:pPr>
      <w:r>
        <w:t xml:space="preserve">Quantifiable </w:t>
      </w:r>
      <w:r w:rsidR="000F2B13">
        <w:t xml:space="preserve">benefits </w:t>
      </w:r>
      <w:r w:rsidR="00415D89">
        <w:t>estimate</w:t>
      </w:r>
      <w:r w:rsidR="000F2B13">
        <w:t xml:space="preserve"> the ‘</w:t>
      </w:r>
      <w:r w:rsidR="00415D89">
        <w:t>use’</w:t>
      </w:r>
      <w:r w:rsidR="000F2B13">
        <w:t xml:space="preserve"> value of a</w:t>
      </w:r>
      <w:r w:rsidR="00AA791A">
        <w:t>n additional</w:t>
      </w:r>
      <w:r w:rsidR="000F2B13">
        <w:t xml:space="preserve"> trip to a Class 6 </w:t>
      </w:r>
      <w:r w:rsidR="00C22813">
        <w:t xml:space="preserve">shopping centre or </w:t>
      </w:r>
      <w:r w:rsidR="006B28B8">
        <w:t>Class 9b</w:t>
      </w:r>
      <w:r w:rsidR="00C22813">
        <w:t xml:space="preserve"> assembly building </w:t>
      </w:r>
      <w:r w:rsidR="000F2B13">
        <w:t xml:space="preserve">for a person with a </w:t>
      </w:r>
      <w:r w:rsidR="00883AA1">
        <w:t>complex</w:t>
      </w:r>
      <w:r>
        <w:t xml:space="preserve"> </w:t>
      </w:r>
      <w:r w:rsidR="000F2B13">
        <w:t>disability.</w:t>
      </w:r>
      <w:r w:rsidR="00AA791A" w:rsidRPr="00C133AC">
        <w:rPr>
          <w:rStyle w:val="FootnoteReference"/>
          <w:sz w:val="24"/>
          <w:szCs w:val="24"/>
        </w:rPr>
        <w:footnoteReference w:id="59"/>
      </w:r>
      <w:r w:rsidR="000F2B13">
        <w:t xml:space="preserve"> </w:t>
      </w:r>
      <w:r w:rsidR="000F2B13" w:rsidRPr="00AA366F">
        <w:t>The idea behind this approach is that any form of trip must hold some intrinsic value</w:t>
      </w:r>
      <w:r w:rsidR="00E2292A">
        <w:t>; t</w:t>
      </w:r>
      <w:r w:rsidR="00E314C3">
        <w:t>his intrinsic value can be thought of as the utility gained from making a trip, over and above the cost of getting there.</w:t>
      </w:r>
    </w:p>
    <w:p w:rsidR="000F2B13" w:rsidRDefault="009F7E64" w:rsidP="008738B7">
      <w:pPr>
        <w:pStyle w:val="EYBodytextwithparaspace"/>
      </w:pPr>
      <w:r>
        <w:t>For all case studies, o</w:t>
      </w:r>
      <w:r w:rsidR="00CB60EB">
        <w:t xml:space="preserve">ur analysis initially calculates the </w:t>
      </w:r>
      <w:r w:rsidR="00E314C3">
        <w:t>‘</w:t>
      </w:r>
      <w:r w:rsidR="00CB60EB">
        <w:t>break</w:t>
      </w:r>
      <w:r w:rsidR="001440BA">
        <w:t>-</w:t>
      </w:r>
      <w:r w:rsidR="00CB60EB">
        <w:t>even</w:t>
      </w:r>
      <w:r w:rsidR="00E314C3">
        <w:t>’ val</w:t>
      </w:r>
      <w:r w:rsidR="00AA791A">
        <w:t>ue of utility</w:t>
      </w:r>
      <w:r w:rsidR="00085B64">
        <w:t>, which is</w:t>
      </w:r>
      <w:r w:rsidR="00AA791A">
        <w:t xml:space="preserve"> the</w:t>
      </w:r>
      <w:r w:rsidR="00CB60EB">
        <w:t xml:space="preserve"> </w:t>
      </w:r>
      <w:r w:rsidR="004D6C52">
        <w:t xml:space="preserve">point where </w:t>
      </w:r>
      <w:r w:rsidR="00AA791A">
        <w:t>estimate</w:t>
      </w:r>
      <w:r w:rsidR="00C87DFC">
        <w:t>d</w:t>
      </w:r>
      <w:r w:rsidR="00AA791A">
        <w:t xml:space="preserve"> use values are just enough to cover the estimated capital and operating costs of an AACF</w:t>
      </w:r>
      <w:r w:rsidR="00CB60EB">
        <w:t>. Following that</w:t>
      </w:r>
      <w:r w:rsidR="00AA791A">
        <w:t>,</w:t>
      </w:r>
      <w:r w:rsidR="00CB60EB">
        <w:t xml:space="preserve"> estimates of the potential benefits that the trip may </w:t>
      </w:r>
      <w:r w:rsidR="00AA791A">
        <w:t>generate</w:t>
      </w:r>
      <w:r w:rsidR="00CB60EB">
        <w:t xml:space="preserve"> are applied to the same analysis</w:t>
      </w:r>
      <w:r>
        <w:t xml:space="preserve"> for shopping centres, museums and stadiums</w:t>
      </w:r>
      <w:r w:rsidR="00CB60EB">
        <w:t xml:space="preserve"> </w:t>
      </w:r>
      <w:r w:rsidR="00AA791A">
        <w:t xml:space="preserve">in order </w:t>
      </w:r>
      <w:r w:rsidR="00CB60EB">
        <w:t>to calculate a range of benefits that may accrue.</w:t>
      </w:r>
    </w:p>
    <w:p w:rsidR="00501F98" w:rsidRDefault="00391509" w:rsidP="008738B7">
      <w:pPr>
        <w:pStyle w:val="EYBodytextwithparaspace"/>
      </w:pPr>
      <w:r>
        <w:t>W</w:t>
      </w:r>
      <w:r w:rsidR="000F2B13">
        <w:t>e have used the cost of making the trip as a proxy for the</w:t>
      </w:r>
      <w:r w:rsidR="00E314C3">
        <w:t xml:space="preserve"> upper bound</w:t>
      </w:r>
      <w:r w:rsidR="000F2B13">
        <w:t xml:space="preserve"> value of the trip.</w:t>
      </w:r>
      <w:r w:rsidR="00E314C3">
        <w:t xml:space="preserve"> </w:t>
      </w:r>
      <w:r w:rsidR="00883AA1">
        <w:t>Thus,</w:t>
      </w:r>
      <w:r w:rsidR="00AA791A">
        <w:t xml:space="preserve"> if it costs say $50 to travel to a </w:t>
      </w:r>
      <w:r w:rsidR="002D118B">
        <w:t xml:space="preserve">Class </w:t>
      </w:r>
      <w:r w:rsidR="00AA791A">
        <w:t xml:space="preserve">6 shopping centre or </w:t>
      </w:r>
      <w:r w:rsidR="006B28B8">
        <w:t>Class 9b</w:t>
      </w:r>
      <w:r w:rsidR="00AA791A">
        <w:t xml:space="preserve"> assembly building, the utility (over and above the travel cost) must also be $50</w:t>
      </w:r>
      <w:r w:rsidR="00464794">
        <w:t>.</w:t>
      </w:r>
      <w:r w:rsidR="00464794" w:rsidRPr="00C133AC">
        <w:rPr>
          <w:rStyle w:val="FootnoteReference"/>
          <w:sz w:val="24"/>
          <w:szCs w:val="24"/>
        </w:rPr>
        <w:footnoteReference w:id="60"/>
      </w:r>
    </w:p>
    <w:p w:rsidR="00AD5644" w:rsidRPr="004741AC" w:rsidRDefault="00AD5644" w:rsidP="00681E1A">
      <w:pPr>
        <w:pStyle w:val="EYBodytextwithparaspace"/>
        <w:spacing w:after="200"/>
      </w:pPr>
      <w:r w:rsidRPr="004741AC">
        <w:lastRenderedPageBreak/>
        <w:t xml:space="preserve">There are a number of important points to make about the </w:t>
      </w:r>
      <w:r w:rsidR="00E2292A" w:rsidRPr="009260BA">
        <w:t>quantification of benefits</w:t>
      </w:r>
      <w:r w:rsidRPr="004741AC">
        <w:t>:</w:t>
      </w:r>
    </w:p>
    <w:p w:rsidR="00AD5644" w:rsidRPr="004741AC" w:rsidRDefault="00AD5644" w:rsidP="008738B7">
      <w:pPr>
        <w:pStyle w:val="EYBulletedText1"/>
      </w:pPr>
      <w:r w:rsidRPr="004741AC">
        <w:t xml:space="preserve">First, what we are measuring is the value of additional trips as a result of </w:t>
      </w:r>
      <w:r w:rsidR="007D4E06" w:rsidRPr="004741AC">
        <w:t>A</w:t>
      </w:r>
      <w:r w:rsidRPr="004741AC">
        <w:t>ACF</w:t>
      </w:r>
      <w:r w:rsidR="00085B64">
        <w:t>s</w:t>
      </w:r>
      <w:r w:rsidRPr="004741AC">
        <w:t xml:space="preserve"> being included in prospective developments. We are not measuring the </w:t>
      </w:r>
      <w:r w:rsidR="00085B64">
        <w:t>value</w:t>
      </w:r>
      <w:r w:rsidR="00085B64" w:rsidRPr="004741AC">
        <w:t xml:space="preserve"> </w:t>
      </w:r>
      <w:r w:rsidRPr="004741AC">
        <w:t xml:space="preserve">of toileting needs being met. The latter is noted below as a </w:t>
      </w:r>
      <w:r w:rsidR="00E63653" w:rsidRPr="004741AC">
        <w:t xml:space="preserve">qualitative </w:t>
      </w:r>
      <w:r w:rsidRPr="004741AC">
        <w:t>benefit.</w:t>
      </w:r>
    </w:p>
    <w:p w:rsidR="00AA791A" w:rsidRPr="004741AC" w:rsidRDefault="00AD5644" w:rsidP="008738B7">
      <w:pPr>
        <w:pStyle w:val="EYBulletedText1"/>
      </w:pPr>
      <w:r w:rsidRPr="004741AC">
        <w:t xml:space="preserve">Second, it is worth noting that by definition, the </w:t>
      </w:r>
      <w:r w:rsidR="00464794" w:rsidRPr="004741AC">
        <w:t xml:space="preserve">estimates that we have undertaken, most likely </w:t>
      </w:r>
      <w:r w:rsidRPr="004741AC">
        <w:t>underestimate of the ‘true’ willingness to pay</w:t>
      </w:r>
      <w:r w:rsidR="00AA791A" w:rsidRPr="004741AC">
        <w:t>, for two reasons:</w:t>
      </w:r>
    </w:p>
    <w:p w:rsidR="00AA791A" w:rsidRPr="004741AC" w:rsidRDefault="00AA791A" w:rsidP="009260BA">
      <w:pPr>
        <w:pStyle w:val="EYBulletedText2"/>
      </w:pPr>
      <w:r w:rsidRPr="004741AC">
        <w:t xml:space="preserve">We are not considering the possibility for additional utility to exceed the travel cost (and </w:t>
      </w:r>
      <w:r w:rsidR="00883AA1">
        <w:t>based on our consultations</w:t>
      </w:r>
      <w:r w:rsidR="009710BE">
        <w:t xml:space="preserve"> and stakeholder feedback</w:t>
      </w:r>
      <w:r w:rsidR="00883AA1">
        <w:t xml:space="preserve">, it is fair to say that </w:t>
      </w:r>
      <w:r w:rsidRPr="004741AC">
        <w:t xml:space="preserve">for some people it almost certainly will). </w:t>
      </w:r>
    </w:p>
    <w:p w:rsidR="00AD5644" w:rsidRPr="004741AC" w:rsidRDefault="00AA791A" w:rsidP="009260BA">
      <w:pPr>
        <w:pStyle w:val="EYBulletedText2"/>
      </w:pPr>
      <w:r w:rsidRPr="004741AC">
        <w:t xml:space="preserve">We have also not considered that buildings provide value </w:t>
      </w:r>
      <w:r w:rsidR="00BE1DFA">
        <w:t>for</w:t>
      </w:r>
      <w:r w:rsidRPr="004741AC">
        <w:t xml:space="preserve"> people merely by providing them the </w:t>
      </w:r>
      <w:r w:rsidRPr="004741AC">
        <w:rPr>
          <w:i/>
        </w:rPr>
        <w:t>option</w:t>
      </w:r>
      <w:r w:rsidRPr="004741AC">
        <w:t xml:space="preserve"> to attend the building, even if they do not actually attend; in other words, people benefit merely from the existence of a building. In economics terms this is known as the </w:t>
      </w:r>
      <w:r w:rsidR="00064138">
        <w:t>‘</w:t>
      </w:r>
      <w:r w:rsidRPr="004741AC">
        <w:t>existence</w:t>
      </w:r>
      <w:r w:rsidR="00064138">
        <w:t>’</w:t>
      </w:r>
      <w:r w:rsidRPr="004741AC">
        <w:t xml:space="preserve"> o</w:t>
      </w:r>
      <w:r w:rsidR="00883AA1">
        <w:t>r</w:t>
      </w:r>
      <w:r w:rsidRPr="004741AC">
        <w:t xml:space="preserve"> </w:t>
      </w:r>
      <w:r w:rsidR="00064138">
        <w:t>‘</w:t>
      </w:r>
      <w:r w:rsidRPr="004741AC">
        <w:t>option value</w:t>
      </w:r>
      <w:r w:rsidR="00064138">
        <w:t>’</w:t>
      </w:r>
      <w:r w:rsidR="001A4C2E" w:rsidRPr="004741AC">
        <w:t>.</w:t>
      </w:r>
    </w:p>
    <w:p w:rsidR="00AD5644" w:rsidRPr="004741AC" w:rsidRDefault="00AD5644" w:rsidP="008738B7">
      <w:pPr>
        <w:pStyle w:val="EYBulletedText1"/>
      </w:pPr>
      <w:r w:rsidRPr="004741AC">
        <w:t>Third, we have also not taken into consideration the potential value that carers and/or family members might derive from a trip with their loved ones.</w:t>
      </w:r>
    </w:p>
    <w:p w:rsidR="009C60AA" w:rsidRPr="00005FF3" w:rsidRDefault="00AD5644" w:rsidP="006117C6">
      <w:pPr>
        <w:pStyle w:val="EYBulletedText1"/>
      </w:pPr>
      <w:r w:rsidRPr="004741AC">
        <w:t xml:space="preserve">Finally, as will be described in the following </w:t>
      </w:r>
      <w:r w:rsidR="00CE10DD">
        <w:t>C</w:t>
      </w:r>
      <w:r w:rsidR="00CE10DD" w:rsidRPr="004741AC">
        <w:t>hapter</w:t>
      </w:r>
      <w:r w:rsidRPr="004741AC">
        <w:t xml:space="preserve">, the parameters that have </w:t>
      </w:r>
      <w:r w:rsidR="009710BE">
        <w:t xml:space="preserve">been used </w:t>
      </w:r>
      <w:r w:rsidRPr="004741AC">
        <w:t xml:space="preserve">for the modelling have been deliberately chosen to be as conservative as </w:t>
      </w:r>
      <w:r w:rsidRPr="00005FF3">
        <w:t>possible.</w:t>
      </w:r>
    </w:p>
    <w:p w:rsidR="00982664" w:rsidRPr="00005FF3" w:rsidRDefault="009C60AA" w:rsidP="006117C6">
      <w:pPr>
        <w:pStyle w:val="Heading3"/>
      </w:pPr>
      <w:r w:rsidRPr="00005FF3">
        <w:t>Quantifiable benefits – swimming pools</w:t>
      </w:r>
      <w:r w:rsidR="000F3779" w:rsidRPr="00005FF3">
        <w:t xml:space="preserve"> and Airports</w:t>
      </w:r>
    </w:p>
    <w:p w:rsidR="00982664" w:rsidRPr="00005FF3" w:rsidRDefault="00982664" w:rsidP="00E30DB1">
      <w:pPr>
        <w:pStyle w:val="EYBodytextwithparaspace"/>
      </w:pPr>
      <w:r w:rsidRPr="00005FF3">
        <w:t>In the case of public swimming pools</w:t>
      </w:r>
      <w:r w:rsidR="000F3779" w:rsidRPr="00005FF3">
        <w:t xml:space="preserve"> and </w:t>
      </w:r>
      <w:r w:rsidR="002662EF">
        <w:t>a</w:t>
      </w:r>
      <w:r w:rsidR="000F3779" w:rsidRPr="00005FF3">
        <w:t>irports,</w:t>
      </w:r>
      <w:r w:rsidRPr="00005FF3">
        <w:t xml:space="preserve"> the methodology used </w:t>
      </w:r>
      <w:r w:rsidR="000F3779" w:rsidRPr="00005FF3">
        <w:t xml:space="preserve">for </w:t>
      </w:r>
      <w:r w:rsidR="009815D5" w:rsidRPr="00005FF3">
        <w:t>the above uses</w:t>
      </w:r>
      <w:r w:rsidRPr="00005FF3">
        <w:t xml:space="preserve"> was not considered appropriate </w:t>
      </w:r>
      <w:r w:rsidR="00517C40" w:rsidRPr="00005FF3">
        <w:t xml:space="preserve">due </w:t>
      </w:r>
      <w:r w:rsidRPr="00005FF3">
        <w:t>to an assumption that the majority of trips made to a swimming pool for people with a complex disability would be made for therapeutic rather than recreational purposes</w:t>
      </w:r>
      <w:r w:rsidR="000F3779" w:rsidRPr="00005FF3">
        <w:t xml:space="preserve">, and trips made to an </w:t>
      </w:r>
      <w:r w:rsidR="002662EF">
        <w:t>a</w:t>
      </w:r>
      <w:r w:rsidR="000F3779" w:rsidRPr="00005FF3">
        <w:t xml:space="preserve">irport were not made for the purpose of attending an </w:t>
      </w:r>
      <w:r w:rsidR="002662EF">
        <w:t>a</w:t>
      </w:r>
      <w:r w:rsidR="000F3779" w:rsidRPr="00005FF3">
        <w:t xml:space="preserve">irport, but rather for the purpose of </w:t>
      </w:r>
      <w:r w:rsidR="009815D5" w:rsidRPr="00005FF3">
        <w:t xml:space="preserve">reaching </w:t>
      </w:r>
      <w:r w:rsidR="000F3779" w:rsidRPr="00005FF3">
        <w:t>an end destination</w:t>
      </w:r>
      <w:r w:rsidRPr="00005FF3">
        <w:t>.</w:t>
      </w:r>
    </w:p>
    <w:p w:rsidR="000F3779" w:rsidRPr="00982664" w:rsidRDefault="000F3779" w:rsidP="00E30DB1">
      <w:pPr>
        <w:pStyle w:val="EYBodytextwithparaspace"/>
      </w:pPr>
      <w:r w:rsidRPr="00005FF3">
        <w:t>Thus, in both cases the analysis began by assessing the minimum value of an individual trip that would be required in order for the installation of AACFs to be warranted. In the case of swimming pools, an estimate of the potential benefit for individual trips was available</w:t>
      </w:r>
      <w:r w:rsidR="00DC6C21" w:rsidRPr="00005FF3">
        <w:t xml:space="preserve"> from the literature</w:t>
      </w:r>
      <w:r w:rsidR="009815D5" w:rsidRPr="00005FF3">
        <w:t>.</w:t>
      </w:r>
      <w:r w:rsidR="00DC6C21" w:rsidRPr="00005FF3">
        <w:t xml:space="preserve"> </w:t>
      </w:r>
      <w:r w:rsidR="009815D5" w:rsidRPr="00005FF3">
        <w:t>T</w:t>
      </w:r>
      <w:r w:rsidR="00DC6C21" w:rsidRPr="00005FF3">
        <w:t xml:space="preserve">his allowed the break-even analysis to be conducted on the basis of possible feeder populations for prospective swimming </w:t>
      </w:r>
      <w:r w:rsidR="00136DE7" w:rsidRPr="00005FF3">
        <w:t>pools (</w:t>
      </w:r>
      <w:r w:rsidR="009815D5" w:rsidRPr="00005FF3">
        <w:t xml:space="preserve">See </w:t>
      </w:r>
      <w:r w:rsidR="002662EF">
        <w:t>S</w:t>
      </w:r>
      <w:r w:rsidR="009815D5" w:rsidRPr="00005FF3">
        <w:t xml:space="preserve">ection </w:t>
      </w:r>
      <w:r w:rsidR="009815D5" w:rsidRPr="00005FF3">
        <w:fldChar w:fldCharType="begin"/>
      </w:r>
      <w:r w:rsidR="009815D5" w:rsidRPr="00005FF3">
        <w:instrText xml:space="preserve"> REF _Ref505945913 \r \h  \* MERGEFORMAT </w:instrText>
      </w:r>
      <w:r w:rsidR="009815D5" w:rsidRPr="00005FF3">
        <w:fldChar w:fldCharType="separate"/>
      </w:r>
      <w:r w:rsidR="00910A73">
        <w:t>7.1</w:t>
      </w:r>
      <w:r w:rsidR="009815D5" w:rsidRPr="00005FF3">
        <w:fldChar w:fldCharType="end"/>
      </w:r>
      <w:r w:rsidR="009815D5" w:rsidRPr="00005FF3">
        <w:t>)</w:t>
      </w:r>
      <w:r w:rsidR="00DC6C21" w:rsidRPr="00005FF3">
        <w:t xml:space="preserve">. In the case of </w:t>
      </w:r>
      <w:r w:rsidR="00154967">
        <w:t>a</w:t>
      </w:r>
      <w:r w:rsidR="00154967" w:rsidRPr="00005FF3">
        <w:t>irports</w:t>
      </w:r>
      <w:r w:rsidR="00DC6C21" w:rsidRPr="00005FF3">
        <w:t xml:space="preserve">, benefits for an individual trip were not known. As a result, the analysis focussed on a range of different patronage figures from a selection of small, medium and large airports across Australia, to provide an indication </w:t>
      </w:r>
      <w:r w:rsidR="00F10E0C" w:rsidRPr="00005FF3">
        <w:t>of</w:t>
      </w:r>
      <w:r w:rsidR="00DC6C21" w:rsidRPr="00005FF3">
        <w:t xml:space="preserve"> the benefit per trip that </w:t>
      </w:r>
      <w:r w:rsidR="00F10E0C" w:rsidRPr="00005FF3">
        <w:t>would</w:t>
      </w:r>
      <w:r w:rsidR="00DC6C21" w:rsidRPr="00005FF3">
        <w:t xml:space="preserve"> be required</w:t>
      </w:r>
      <w:r w:rsidR="00F10E0C" w:rsidRPr="00005FF3">
        <w:t xml:space="preserve"> </w:t>
      </w:r>
      <w:r w:rsidR="00DC6C21" w:rsidRPr="00005FF3">
        <w:t xml:space="preserve">in </w:t>
      </w:r>
      <w:r w:rsidR="00F10E0C" w:rsidRPr="00005FF3">
        <w:t>order</w:t>
      </w:r>
      <w:r w:rsidR="00DC6C21" w:rsidRPr="00005FF3">
        <w:t xml:space="preserve"> for the </w:t>
      </w:r>
      <w:r w:rsidR="00F10E0C" w:rsidRPr="00005FF3">
        <w:t>installation of</w:t>
      </w:r>
      <w:r w:rsidR="00DC6C21" w:rsidRPr="00005FF3">
        <w:t xml:space="preserve"> an AACF to be </w:t>
      </w:r>
      <w:r w:rsidR="00F10E0C" w:rsidRPr="00005FF3">
        <w:t>justified</w:t>
      </w:r>
      <w:r w:rsidR="00DC6C21" w:rsidRPr="00005FF3">
        <w:t xml:space="preserve"> from a </w:t>
      </w:r>
      <w:r w:rsidR="009815D5" w:rsidRPr="00005FF3">
        <w:t>break-even</w:t>
      </w:r>
      <w:r w:rsidR="00DC6C21" w:rsidRPr="00005FF3">
        <w:t xml:space="preserve"> perspective.</w:t>
      </w:r>
      <w:r w:rsidR="009815D5" w:rsidRPr="00005FF3">
        <w:t xml:space="preserve"> </w:t>
      </w:r>
    </w:p>
    <w:p w:rsidR="000F2B13" w:rsidRDefault="00E63653" w:rsidP="00145D1B">
      <w:pPr>
        <w:pStyle w:val="Heading3"/>
      </w:pPr>
      <w:bookmarkStart w:id="431" w:name="_Ref505349926"/>
      <w:r>
        <w:t xml:space="preserve">Qualitative </w:t>
      </w:r>
      <w:r w:rsidR="000F2B13">
        <w:t>benefits</w:t>
      </w:r>
      <w:bookmarkEnd w:id="431"/>
    </w:p>
    <w:p w:rsidR="00A46B44" w:rsidRDefault="000F2B13" w:rsidP="008738B7">
      <w:pPr>
        <w:pStyle w:val="EYBodytextwithparaspace"/>
      </w:pPr>
      <w:r w:rsidRPr="00254B45">
        <w:t xml:space="preserve">A regulatory change such as </w:t>
      </w:r>
      <w:r w:rsidR="004D6C52">
        <w:t>that</w:t>
      </w:r>
      <w:r w:rsidR="00CE10DD">
        <w:t xml:space="preserve"> being considered by this analysis</w:t>
      </w:r>
      <w:r w:rsidR="00CE10DD" w:rsidRPr="00254B45">
        <w:t xml:space="preserve"> </w:t>
      </w:r>
      <w:r w:rsidRPr="00254B45">
        <w:t>will inevitably generate a range of benefits that are not directly ca</w:t>
      </w:r>
      <w:r w:rsidRPr="00254B45">
        <w:rPr>
          <w:rStyle w:val="EYBodytextwithparaspaceChar"/>
        </w:rPr>
        <w:t>u</w:t>
      </w:r>
      <w:r w:rsidRPr="00AA791A">
        <w:t xml:space="preserve">sed by the trip to a Class 6 </w:t>
      </w:r>
      <w:r w:rsidR="00C22813" w:rsidRPr="00AA791A">
        <w:t xml:space="preserve">shopping centre </w:t>
      </w:r>
      <w:r w:rsidRPr="00AA791A">
        <w:t xml:space="preserve">or </w:t>
      </w:r>
      <w:r w:rsidR="00085B64">
        <w:t xml:space="preserve">a </w:t>
      </w:r>
      <w:r w:rsidR="006B28B8">
        <w:t>Class 9b</w:t>
      </w:r>
      <w:r w:rsidRPr="00AA791A">
        <w:t xml:space="preserve"> </w:t>
      </w:r>
      <w:r w:rsidR="00C22813" w:rsidRPr="00AA791A">
        <w:t>assembly building</w:t>
      </w:r>
      <w:r w:rsidRPr="00AA791A">
        <w:t xml:space="preserve">, but will nevertheless flow over time. It is worth noting from </w:t>
      </w:r>
      <w:r w:rsidRPr="00AA791A">
        <w:lastRenderedPageBreak/>
        <w:t>the outset that these effects are not quantifiable and</w:t>
      </w:r>
      <w:r w:rsidR="005F024C">
        <w:t xml:space="preserve"> instead are considered through</w:t>
      </w:r>
      <w:r w:rsidR="00C92BB7">
        <w:t xml:space="preserve"> stakeholder feedback</w:t>
      </w:r>
      <w:r w:rsidR="005F024C">
        <w:t xml:space="preserve"> and</w:t>
      </w:r>
      <w:r w:rsidR="00F268E6">
        <w:t xml:space="preserve"> the detailed consultation period undertaken by EY Sweeney</w:t>
      </w:r>
      <w:r w:rsidRPr="00AA791A">
        <w:t xml:space="preserve">.  </w:t>
      </w:r>
    </w:p>
    <w:p w:rsidR="000F2B13" w:rsidRDefault="000F2B13" w:rsidP="008738B7">
      <w:pPr>
        <w:pStyle w:val="EYBodytextwithparaspace"/>
      </w:pPr>
      <w:r w:rsidRPr="00AA791A">
        <w:t>At a high level, these benefits are likely to flow both to the person with a disability and their carers as well as to society in general</w:t>
      </w:r>
      <w:r w:rsidR="00A46B44">
        <w:t xml:space="preserve">, and are likely to </w:t>
      </w:r>
      <w:r w:rsidR="00A46B44" w:rsidRPr="00254B45">
        <w:t>range from improved quality of life</w:t>
      </w:r>
      <w:r w:rsidR="003527F5">
        <w:t>,</w:t>
      </w:r>
      <w:r w:rsidR="00A46B44" w:rsidRPr="00C133AC">
        <w:rPr>
          <w:rStyle w:val="FootnoteReference"/>
          <w:sz w:val="24"/>
          <w:szCs w:val="24"/>
        </w:rPr>
        <w:footnoteReference w:id="61"/>
      </w:r>
      <w:r w:rsidR="00A46B44" w:rsidRPr="00254B45">
        <w:t xml:space="preserve"> improved wellbeing</w:t>
      </w:r>
      <w:r w:rsidR="00A46B44" w:rsidRPr="00C133AC">
        <w:rPr>
          <w:rStyle w:val="FootnoteReference"/>
          <w:sz w:val="24"/>
          <w:szCs w:val="24"/>
        </w:rPr>
        <w:footnoteReference w:id="62"/>
      </w:r>
      <w:r w:rsidR="00A46B44" w:rsidRPr="00254B45">
        <w:t xml:space="preserve"> and improved mental</w:t>
      </w:r>
      <w:r w:rsidR="00A46B44">
        <w:t xml:space="preserve"> and physical health outcomes</w:t>
      </w:r>
      <w:r w:rsidR="00797DA5">
        <w:t>.</w:t>
      </w:r>
      <w:r w:rsidR="00A46B44" w:rsidRPr="00C133AC">
        <w:rPr>
          <w:rStyle w:val="FootnoteReference"/>
          <w:sz w:val="24"/>
          <w:szCs w:val="24"/>
        </w:rPr>
        <w:footnoteReference w:id="63"/>
      </w:r>
    </w:p>
    <w:p w:rsidR="00F30E36" w:rsidRPr="00005FF3" w:rsidRDefault="00F30E36" w:rsidP="008738B7">
      <w:pPr>
        <w:pStyle w:val="EYBodytextwithparaspace"/>
      </w:pPr>
      <w:r w:rsidRPr="00005FF3">
        <w:t>We consider these benefits to be potentially very substantial, and in fact in our view the qualitative benefits will almost certainly outweigh the quantitative benefits disc</w:t>
      </w:r>
      <w:r w:rsidR="00433BE9">
        <w:t>ussed in the following Chapter.</w:t>
      </w:r>
      <w:r w:rsidRPr="00005FF3">
        <w:t xml:space="preserve"> </w:t>
      </w:r>
      <w:r w:rsidR="00046161" w:rsidRPr="00005FF3">
        <w:t xml:space="preserve">One stakeholder related the story of a young man who had unexpectedly become severely limited in core activities, and how to that gentlemen the loss of toileting abilities had had by far the greatest impact on his day to day life. </w:t>
      </w:r>
    </w:p>
    <w:p w:rsidR="00046161" w:rsidRPr="00CF05D1" w:rsidRDefault="006E712D" w:rsidP="00CF05D1">
      <w:pPr>
        <w:pStyle w:val="EYBodytextwithparaspace"/>
        <w:ind w:left="720"/>
        <w:rPr>
          <w:i/>
        </w:rPr>
      </w:pPr>
      <w:r w:rsidRPr="00CF05D1">
        <w:rPr>
          <w:i/>
        </w:rPr>
        <w:t>“</w:t>
      </w:r>
      <w:r w:rsidR="00046161" w:rsidRPr="00CF05D1">
        <w:rPr>
          <w:i/>
        </w:rPr>
        <w:t>I met a young man recently when I opened a lift and change facility …He had severed his spinal cord in an accident eight years earlier. He told me that his greatest loss was not the loss of the use of his legs but the loss of his bladder and bowel control.</w:t>
      </w:r>
      <w:r w:rsidRPr="00CF05D1">
        <w:rPr>
          <w:i/>
        </w:rPr>
        <w:t>”</w:t>
      </w:r>
    </w:p>
    <w:p w:rsidR="009815D5" w:rsidRPr="00005FF3" w:rsidRDefault="001B2378" w:rsidP="00CF05D1">
      <w:pPr>
        <w:pStyle w:val="EYBodytextwithparaspace"/>
      </w:pPr>
      <w:r w:rsidRPr="00005FF3">
        <w:t>The Australian Human Rights Commission noted in its submission that</w:t>
      </w:r>
      <w:r w:rsidR="009815D5" w:rsidRPr="00005FF3">
        <w:t>:</w:t>
      </w:r>
    </w:p>
    <w:p w:rsidR="001B2378" w:rsidRPr="00CF05D1" w:rsidRDefault="001B2378" w:rsidP="00CF05D1">
      <w:pPr>
        <w:pStyle w:val="EYBodytextwithparaspace"/>
        <w:ind w:left="720"/>
        <w:rPr>
          <w:i/>
        </w:rPr>
      </w:pPr>
      <w:r w:rsidRPr="00CF05D1">
        <w:rPr>
          <w:i/>
        </w:rPr>
        <w:t>"</w:t>
      </w:r>
      <w:r w:rsidR="00136DE7" w:rsidRPr="00CF05D1">
        <w:rPr>
          <w:i/>
        </w:rPr>
        <w:t>The</w:t>
      </w:r>
      <w:r w:rsidRPr="00CF05D1">
        <w:rPr>
          <w:i/>
        </w:rPr>
        <w:t xml:space="preserve"> provision of adult change facilities has the potential to deliver various long-term, qualitative benefits for a person with a disability and their carers. The expected benefits include improved quality of life, improved community and social participation, and improved wellbeing and mental health outcomes.</w:t>
      </w:r>
      <w:r w:rsidR="009815D5" w:rsidRPr="00CF05D1">
        <w:rPr>
          <w:i/>
        </w:rPr>
        <w:t>”</w:t>
      </w:r>
    </w:p>
    <w:p w:rsidR="00D16207" w:rsidRPr="00005FF3" w:rsidRDefault="00A46B44" w:rsidP="00CF05D1">
      <w:pPr>
        <w:pStyle w:val="EYBodytextwithparaspace"/>
      </w:pPr>
      <w:r w:rsidRPr="00005FF3">
        <w:t>For example, t</w:t>
      </w:r>
      <w:r w:rsidR="00462491" w:rsidRPr="00005FF3">
        <w:t xml:space="preserve">he introduction of </w:t>
      </w:r>
      <w:r w:rsidR="007951FA" w:rsidRPr="00005FF3">
        <w:t>AACFs</w:t>
      </w:r>
      <w:r w:rsidR="000F2C91" w:rsidRPr="00005FF3">
        <w:t xml:space="preserve"> </w:t>
      </w:r>
      <w:r w:rsidR="00AF3692" w:rsidRPr="00005FF3">
        <w:t>could</w:t>
      </w:r>
      <w:r w:rsidR="000F2C91" w:rsidRPr="00005FF3">
        <w:t xml:space="preserve"> facilitate </w:t>
      </w:r>
      <w:r w:rsidR="009C20E8" w:rsidRPr="00005FF3">
        <w:t xml:space="preserve">improved </w:t>
      </w:r>
      <w:r w:rsidR="00391E7B" w:rsidRPr="00005FF3">
        <w:t>social inclusion for people with a disability as a result of improved accessibility and mobility</w:t>
      </w:r>
      <w:r w:rsidR="00797DA5">
        <w:t>.</w:t>
      </w:r>
      <w:r w:rsidR="00391E7B" w:rsidRPr="0022711B">
        <w:rPr>
          <w:vertAlign w:val="superscript"/>
        </w:rPr>
        <w:footnoteReference w:id="64"/>
      </w:r>
      <w:r w:rsidR="00D73A41">
        <w:t xml:space="preserve"> </w:t>
      </w:r>
      <w:r w:rsidRPr="00005FF3">
        <w:t>Over time, the consultation findings suggest that this</w:t>
      </w:r>
      <w:r w:rsidR="00462491" w:rsidRPr="00005FF3">
        <w:t xml:space="preserve"> </w:t>
      </w:r>
      <w:r w:rsidR="00AF3692" w:rsidRPr="00005FF3">
        <w:t>might</w:t>
      </w:r>
      <w:r w:rsidR="000F2C91" w:rsidRPr="00005FF3">
        <w:t xml:space="preserve"> </w:t>
      </w:r>
      <w:r w:rsidR="00462491" w:rsidRPr="00005FF3">
        <w:t xml:space="preserve">also help to reduce </w:t>
      </w:r>
      <w:r w:rsidR="00C87DFC" w:rsidRPr="00005FF3">
        <w:t>stress, improve social participation</w:t>
      </w:r>
      <w:r w:rsidRPr="00005FF3">
        <w:t>,</w:t>
      </w:r>
      <w:r w:rsidR="00C87DFC" w:rsidRPr="00005FF3">
        <w:t xml:space="preserve"> and improve the quality of life and mental or physical health</w:t>
      </w:r>
      <w:r w:rsidR="00462491" w:rsidRPr="00005FF3">
        <w:t xml:space="preserve"> </w:t>
      </w:r>
      <w:r w:rsidRPr="00005FF3">
        <w:t>of not only people with complex disabilities but also their carers.</w:t>
      </w:r>
    </w:p>
    <w:p w:rsidR="00C03960" w:rsidRDefault="00234906" w:rsidP="005A733A">
      <w:pPr>
        <w:pStyle w:val="EYBodytextwithparaspace"/>
      </w:pPr>
      <w:r>
        <w:t>A summary of potential qualitative benefits</w:t>
      </w:r>
      <w:r w:rsidR="00C87DFC">
        <w:t xml:space="preserve"> is provided</w:t>
      </w:r>
      <w:r w:rsidR="00462491" w:rsidRPr="00AA791A">
        <w:t xml:space="preserve"> in </w:t>
      </w:r>
      <w:r w:rsidR="004D1C56">
        <w:fldChar w:fldCharType="begin"/>
      </w:r>
      <w:r w:rsidR="004D1C56">
        <w:instrText xml:space="preserve"> REF _Ref521486055 \h </w:instrText>
      </w:r>
      <w:r w:rsidR="004D1C56">
        <w:fldChar w:fldCharType="separate"/>
      </w:r>
      <w:r w:rsidR="00910A73">
        <w:t xml:space="preserve">Table </w:t>
      </w:r>
      <w:r w:rsidR="00910A73">
        <w:rPr>
          <w:noProof/>
        </w:rPr>
        <w:t>6</w:t>
      </w:r>
      <w:r w:rsidR="00910A73">
        <w:noBreakHyphen/>
      </w:r>
      <w:r w:rsidR="00910A73">
        <w:rPr>
          <w:noProof/>
        </w:rPr>
        <w:t>1</w:t>
      </w:r>
      <w:r w:rsidR="004D1C56">
        <w:fldChar w:fldCharType="end"/>
      </w:r>
      <w:r w:rsidR="00462491" w:rsidRPr="00AA791A">
        <w:t>.</w:t>
      </w:r>
    </w:p>
    <w:p w:rsidR="000F2B13" w:rsidRDefault="000F2B13" w:rsidP="006117C6">
      <w:pPr>
        <w:pStyle w:val="Caption"/>
        <w:keepNext/>
      </w:pPr>
      <w:bookmarkStart w:id="432" w:name="_Ref521486055"/>
      <w:bookmarkStart w:id="433" w:name="_Ref503440197"/>
      <w:bookmarkStart w:id="434" w:name="_Toc504063143"/>
      <w:bookmarkStart w:id="435" w:name="_Toc504401743"/>
      <w:bookmarkStart w:id="436" w:name="_Toc525897814"/>
      <w:r>
        <w:lastRenderedPageBreak/>
        <w:t xml:space="preserve">Table </w:t>
      </w:r>
      <w:r w:rsidR="00DE5D49">
        <w:rPr>
          <w:noProof/>
        </w:rPr>
        <w:fldChar w:fldCharType="begin"/>
      </w:r>
      <w:r w:rsidR="00DE5D49">
        <w:rPr>
          <w:noProof/>
        </w:rPr>
        <w:instrText xml:space="preserve"> STYLEREF 1 \s </w:instrText>
      </w:r>
      <w:r w:rsidR="00DE5D49">
        <w:rPr>
          <w:noProof/>
        </w:rPr>
        <w:fldChar w:fldCharType="separate"/>
      </w:r>
      <w:r w:rsidR="00910A73">
        <w:rPr>
          <w:noProof/>
        </w:rPr>
        <w:t>6</w:t>
      </w:r>
      <w:r w:rsidR="00DE5D49">
        <w:rPr>
          <w:noProof/>
        </w:rPr>
        <w:fldChar w:fldCharType="end"/>
      </w:r>
      <w:r w:rsidR="00325A73">
        <w:noBreakHyphen/>
      </w:r>
      <w:r w:rsidR="00DE5D49">
        <w:rPr>
          <w:noProof/>
        </w:rPr>
        <w:fldChar w:fldCharType="begin"/>
      </w:r>
      <w:r w:rsidR="00DE5D49">
        <w:rPr>
          <w:noProof/>
        </w:rPr>
        <w:instrText xml:space="preserve"> SEQ Table \* ARABIC \s 1 </w:instrText>
      </w:r>
      <w:r w:rsidR="00DE5D49">
        <w:rPr>
          <w:noProof/>
        </w:rPr>
        <w:fldChar w:fldCharType="separate"/>
      </w:r>
      <w:r w:rsidR="00910A73">
        <w:rPr>
          <w:noProof/>
        </w:rPr>
        <w:t>1</w:t>
      </w:r>
      <w:r w:rsidR="00DE5D49">
        <w:rPr>
          <w:noProof/>
        </w:rPr>
        <w:fldChar w:fldCharType="end"/>
      </w:r>
      <w:bookmarkEnd w:id="432"/>
      <w:bookmarkEnd w:id="433"/>
      <w:r>
        <w:t xml:space="preserve">: Summary of </w:t>
      </w:r>
      <w:r w:rsidR="00E63653">
        <w:t xml:space="preserve">qualitative </w:t>
      </w:r>
      <w:r>
        <w:t>benefits</w:t>
      </w:r>
      <w:bookmarkEnd w:id="434"/>
      <w:bookmarkEnd w:id="435"/>
      <w:bookmarkEnd w:id="436"/>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57" w:type="dxa"/>
          <w:right w:w="57" w:type="dxa"/>
        </w:tblCellMar>
        <w:tblLook w:val="04A0" w:firstRow="1" w:lastRow="0" w:firstColumn="1" w:lastColumn="0" w:noHBand="0" w:noVBand="1"/>
        <w:tblCaption w:val="Table 6 1: Summary of qualitative benefits"/>
        <w:tblDescription w:val="A summary of qualitative benefits."/>
      </w:tblPr>
      <w:tblGrid>
        <w:gridCol w:w="1211"/>
        <w:gridCol w:w="4536"/>
        <w:gridCol w:w="3880"/>
      </w:tblGrid>
      <w:tr w:rsidR="005E36A8" w:rsidRPr="00145D1B" w:rsidTr="00602F49">
        <w:trPr>
          <w:tblHeader/>
        </w:trPr>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rsidR="005E36A8" w:rsidRPr="00602F49" w:rsidRDefault="005E36A8" w:rsidP="00005FF3">
            <w:pPr>
              <w:pStyle w:val="EYTableHeadingWhite"/>
              <w:keepNext/>
              <w:rPr>
                <w:sz w:val="20"/>
                <w:szCs w:val="20"/>
              </w:rPr>
            </w:pPr>
            <w:r w:rsidRPr="00602F49">
              <w:rPr>
                <w:sz w:val="20"/>
                <w:szCs w:val="20"/>
              </w:rPr>
              <w:t>Group</w:t>
            </w:r>
          </w:p>
        </w:tc>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rsidR="005E36A8" w:rsidRPr="00602F49" w:rsidRDefault="005E36A8" w:rsidP="00005FF3">
            <w:pPr>
              <w:pStyle w:val="EYTableHeadingWhite"/>
              <w:keepNext/>
              <w:rPr>
                <w:sz w:val="20"/>
                <w:szCs w:val="20"/>
              </w:rPr>
            </w:pPr>
            <w:r w:rsidRPr="00602F49">
              <w:rPr>
                <w:sz w:val="20"/>
                <w:szCs w:val="20"/>
              </w:rPr>
              <w:t>Short term benefits</w:t>
            </w:r>
          </w:p>
        </w:tc>
        <w:tc>
          <w:tcPr>
            <w:tcW w:w="36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rsidR="005E36A8" w:rsidRPr="00602F49" w:rsidRDefault="005E36A8" w:rsidP="00005FF3">
            <w:pPr>
              <w:pStyle w:val="EYTableHeadingWhite"/>
              <w:keepNext/>
              <w:rPr>
                <w:sz w:val="20"/>
                <w:szCs w:val="20"/>
              </w:rPr>
            </w:pPr>
            <w:r w:rsidRPr="00602F49">
              <w:rPr>
                <w:sz w:val="20"/>
                <w:szCs w:val="20"/>
              </w:rPr>
              <w:t>Long term benefits</w:t>
            </w:r>
          </w:p>
        </w:tc>
      </w:tr>
      <w:tr w:rsidR="005E36A8" w:rsidRPr="00145D1B" w:rsidTr="00602F49">
        <w:tc>
          <w:tcPr>
            <w:tcW w:w="1134" w:type="dxa"/>
            <w:tcBorders>
              <w:top w:val="single" w:sz="4" w:space="0" w:color="FFFFFF" w:themeColor="background1"/>
            </w:tcBorders>
            <w:shd w:val="clear" w:color="auto" w:fill="D9D9D9" w:themeFill="background1" w:themeFillShade="D9"/>
          </w:tcPr>
          <w:p w:rsidR="005E36A8" w:rsidRPr="00C83556" w:rsidRDefault="005E36A8" w:rsidP="00005FF3">
            <w:pPr>
              <w:keepNext/>
              <w:jc w:val="left"/>
              <w:rPr>
                <w:rFonts w:cs="Arial"/>
                <w:b/>
                <w:sz w:val="20"/>
                <w:szCs w:val="20"/>
              </w:rPr>
            </w:pPr>
            <w:r w:rsidRPr="00C83556">
              <w:rPr>
                <w:rFonts w:cs="Arial"/>
                <w:b/>
                <w:sz w:val="20"/>
                <w:szCs w:val="20"/>
              </w:rPr>
              <w:t>Person with a disability</w:t>
            </w:r>
          </w:p>
        </w:tc>
        <w:tc>
          <w:tcPr>
            <w:tcW w:w="4248" w:type="dxa"/>
            <w:tcBorders>
              <w:top w:val="single" w:sz="4" w:space="0" w:color="FFFFFF" w:themeColor="background1"/>
            </w:tcBorders>
            <w:shd w:val="clear" w:color="auto" w:fill="auto"/>
          </w:tcPr>
          <w:p w:rsidR="005E36A8" w:rsidRPr="00602F49" w:rsidRDefault="005E36A8" w:rsidP="00005FF3">
            <w:pPr>
              <w:pStyle w:val="EYTablebullet1"/>
              <w:keepNext/>
              <w:rPr>
                <w:sz w:val="20"/>
                <w:szCs w:val="20"/>
              </w:rPr>
            </w:pPr>
            <w:r w:rsidRPr="00602F49">
              <w:rPr>
                <w:sz w:val="20"/>
                <w:szCs w:val="20"/>
              </w:rPr>
              <w:t>Toileting needs are met and equal access to facilities is provided</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Longer attendance at Class 6 shopping centres or Class 9b assembly buildings</w:t>
            </w:r>
          </w:p>
          <w:p w:rsidR="005E36A8" w:rsidRPr="00602F49" w:rsidRDefault="002662EF" w:rsidP="00005FF3">
            <w:pPr>
              <w:pStyle w:val="EYTablebullet1"/>
              <w:keepNext/>
              <w:rPr>
                <w:sz w:val="20"/>
                <w:szCs w:val="20"/>
              </w:rPr>
            </w:pPr>
            <w:r w:rsidRPr="00602F49">
              <w:rPr>
                <w:sz w:val="20"/>
                <w:szCs w:val="20"/>
              </w:rPr>
              <w:t>Increased dignity.</w:t>
            </w:r>
          </w:p>
          <w:p w:rsidR="005E36A8" w:rsidRPr="00602F49" w:rsidRDefault="005E36A8" w:rsidP="00005FF3">
            <w:pPr>
              <w:pStyle w:val="EYTablebullet1"/>
              <w:keepNext/>
              <w:rPr>
                <w:sz w:val="20"/>
                <w:szCs w:val="20"/>
              </w:rPr>
            </w:pPr>
            <w:r w:rsidRPr="00602F49">
              <w:rPr>
                <w:sz w:val="20"/>
                <w:szCs w:val="20"/>
              </w:rPr>
              <w:t>Reduced social isolation and increased social cohesion</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Reduced stress and anxiety</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Psychological benefits for people with a disability from outi</w:t>
            </w:r>
            <w:r w:rsidR="002662EF" w:rsidRPr="00602F49">
              <w:rPr>
                <w:sz w:val="20"/>
                <w:szCs w:val="20"/>
              </w:rPr>
              <w:t>ngs.</w:t>
            </w:r>
          </w:p>
          <w:p w:rsidR="005E36A8" w:rsidRPr="00602F49" w:rsidRDefault="005E36A8" w:rsidP="00005FF3">
            <w:pPr>
              <w:pStyle w:val="EYTablebullet1"/>
              <w:keepNext/>
              <w:rPr>
                <w:sz w:val="20"/>
                <w:szCs w:val="20"/>
              </w:rPr>
            </w:pPr>
            <w:r w:rsidRPr="00602F49">
              <w:rPr>
                <w:sz w:val="20"/>
                <w:szCs w:val="20"/>
              </w:rPr>
              <w:t>Enables an increase in discretionary time</w:t>
            </w:r>
            <w:r w:rsidR="002662EF" w:rsidRPr="00602F49">
              <w:rPr>
                <w:sz w:val="20"/>
                <w:szCs w:val="20"/>
              </w:rPr>
              <w:t>.</w:t>
            </w:r>
          </w:p>
        </w:tc>
        <w:tc>
          <w:tcPr>
            <w:tcW w:w="3634" w:type="dxa"/>
            <w:tcBorders>
              <w:top w:val="single" w:sz="4" w:space="0" w:color="FFFFFF" w:themeColor="background1"/>
            </w:tcBorders>
            <w:shd w:val="clear" w:color="auto" w:fill="auto"/>
          </w:tcPr>
          <w:p w:rsidR="005E36A8" w:rsidRPr="00602F49" w:rsidRDefault="005E36A8" w:rsidP="00005FF3">
            <w:pPr>
              <w:pStyle w:val="EYTablebullet1"/>
              <w:keepNext/>
              <w:rPr>
                <w:sz w:val="20"/>
                <w:szCs w:val="20"/>
              </w:rPr>
            </w:pPr>
            <w:r w:rsidRPr="00602F49">
              <w:rPr>
                <w:sz w:val="20"/>
                <w:szCs w:val="20"/>
              </w:rPr>
              <w:t>Improved quality of life, wellbeing and mental health outcomes</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Improved community inclusion</w:t>
            </w:r>
            <w:r w:rsidR="002662EF" w:rsidRPr="00602F49">
              <w:rPr>
                <w:sz w:val="20"/>
                <w:szCs w:val="20"/>
              </w:rPr>
              <w:t>.</w:t>
            </w:r>
            <w:r w:rsidRPr="00602F49">
              <w:rPr>
                <w:sz w:val="20"/>
                <w:szCs w:val="20"/>
              </w:rPr>
              <w:t xml:space="preserve"> </w:t>
            </w:r>
          </w:p>
          <w:p w:rsidR="005E36A8" w:rsidRPr="00602F49" w:rsidRDefault="005E36A8" w:rsidP="00005FF3">
            <w:pPr>
              <w:pStyle w:val="EYTablebullet1"/>
              <w:keepNext/>
              <w:rPr>
                <w:sz w:val="20"/>
                <w:szCs w:val="20"/>
              </w:rPr>
            </w:pPr>
            <w:r w:rsidRPr="00602F49">
              <w:rPr>
                <w:sz w:val="20"/>
                <w:szCs w:val="20"/>
              </w:rPr>
              <w:t>Improved social participation</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Increased opportunities to engage with the workforce</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Reduced reliance on social welfare and / or insurance</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Greater personal freedom and empowerment</w:t>
            </w:r>
            <w:r w:rsidR="002662EF" w:rsidRPr="00602F49">
              <w:rPr>
                <w:sz w:val="20"/>
                <w:szCs w:val="20"/>
              </w:rPr>
              <w:t>.</w:t>
            </w:r>
          </w:p>
        </w:tc>
      </w:tr>
      <w:tr w:rsidR="005E36A8" w:rsidRPr="00145D1B" w:rsidTr="00395106">
        <w:tc>
          <w:tcPr>
            <w:tcW w:w="1134" w:type="dxa"/>
            <w:shd w:val="clear" w:color="auto" w:fill="D9D9D9" w:themeFill="background1" w:themeFillShade="D9"/>
          </w:tcPr>
          <w:p w:rsidR="005E36A8" w:rsidRPr="00C83556" w:rsidRDefault="005E36A8" w:rsidP="00005FF3">
            <w:pPr>
              <w:keepNext/>
              <w:jc w:val="left"/>
              <w:rPr>
                <w:rFonts w:cs="Arial"/>
                <w:b/>
                <w:sz w:val="20"/>
                <w:szCs w:val="20"/>
              </w:rPr>
            </w:pPr>
            <w:r w:rsidRPr="00C83556">
              <w:rPr>
                <w:rFonts w:cs="Arial"/>
                <w:b/>
                <w:sz w:val="20"/>
                <w:szCs w:val="20"/>
              </w:rPr>
              <w:t>Carer</w:t>
            </w:r>
          </w:p>
        </w:tc>
        <w:tc>
          <w:tcPr>
            <w:tcW w:w="4248" w:type="dxa"/>
            <w:shd w:val="clear" w:color="auto" w:fill="auto"/>
          </w:tcPr>
          <w:p w:rsidR="005E36A8" w:rsidRPr="00602F49" w:rsidRDefault="005E36A8" w:rsidP="00005FF3">
            <w:pPr>
              <w:pStyle w:val="EYTablebullet1"/>
              <w:keepNext/>
              <w:rPr>
                <w:sz w:val="20"/>
                <w:szCs w:val="20"/>
              </w:rPr>
            </w:pPr>
            <w:r w:rsidRPr="00602F49">
              <w:rPr>
                <w:sz w:val="20"/>
                <w:szCs w:val="20"/>
              </w:rPr>
              <w:t>Reduced stress and anxiety</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Reduced need to change person with a complex disability in unsuitable environments</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Longer attendance at Class 6 shopping centres or Class 9b assembly buildings</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Improved social inclusion and inclusion in daily life / family activities for informal carers leading to reduced isolation</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Reduced potential for injury in assisting person with a complex disability with their toileting needs</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Enables an increase in discretionary time</w:t>
            </w:r>
            <w:r w:rsidR="002662EF" w:rsidRPr="00602F49">
              <w:rPr>
                <w:sz w:val="20"/>
                <w:szCs w:val="20"/>
              </w:rPr>
              <w:t>.</w:t>
            </w:r>
          </w:p>
        </w:tc>
        <w:tc>
          <w:tcPr>
            <w:tcW w:w="3634" w:type="dxa"/>
            <w:shd w:val="clear" w:color="auto" w:fill="auto"/>
          </w:tcPr>
          <w:p w:rsidR="005E36A8" w:rsidRPr="00602F49" w:rsidRDefault="005E36A8" w:rsidP="00005FF3">
            <w:pPr>
              <w:pStyle w:val="EYTablebullet1"/>
              <w:keepNext/>
              <w:rPr>
                <w:sz w:val="20"/>
                <w:szCs w:val="20"/>
              </w:rPr>
            </w:pPr>
            <w:r w:rsidRPr="00602F49">
              <w:rPr>
                <w:sz w:val="20"/>
                <w:szCs w:val="20"/>
              </w:rPr>
              <w:t>Reduced stress from caring for person with a disability</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Improved quality of life, wellbeing and mental health outcomes for informal carers</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Improved social participation for informal carers</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Opportunity to increase employment participation</w:t>
            </w:r>
            <w:r w:rsidR="002662EF" w:rsidRPr="00602F49">
              <w:rPr>
                <w:sz w:val="20"/>
                <w:szCs w:val="20"/>
              </w:rPr>
              <w:t>.</w:t>
            </w:r>
            <w:r w:rsidRPr="00602F49">
              <w:rPr>
                <w:sz w:val="20"/>
                <w:szCs w:val="20"/>
              </w:rPr>
              <w:t xml:space="preserve"> </w:t>
            </w:r>
          </w:p>
        </w:tc>
      </w:tr>
      <w:tr w:rsidR="005E36A8" w:rsidRPr="00145D1B" w:rsidTr="00395106">
        <w:tc>
          <w:tcPr>
            <w:tcW w:w="1134" w:type="dxa"/>
            <w:shd w:val="clear" w:color="auto" w:fill="D9D9D9" w:themeFill="background1" w:themeFillShade="D9"/>
          </w:tcPr>
          <w:p w:rsidR="005E36A8" w:rsidRPr="00C83556" w:rsidRDefault="005E36A8" w:rsidP="00005FF3">
            <w:pPr>
              <w:keepNext/>
              <w:jc w:val="left"/>
              <w:rPr>
                <w:rFonts w:cs="Arial"/>
                <w:b/>
                <w:sz w:val="20"/>
                <w:szCs w:val="20"/>
              </w:rPr>
            </w:pPr>
            <w:r w:rsidRPr="00C83556">
              <w:rPr>
                <w:rFonts w:cs="Arial"/>
                <w:b/>
                <w:sz w:val="20"/>
                <w:szCs w:val="20"/>
              </w:rPr>
              <w:t xml:space="preserve">Society </w:t>
            </w:r>
          </w:p>
        </w:tc>
        <w:tc>
          <w:tcPr>
            <w:tcW w:w="4248" w:type="dxa"/>
            <w:shd w:val="clear" w:color="auto" w:fill="auto"/>
          </w:tcPr>
          <w:p w:rsidR="005E36A8" w:rsidRPr="00602F49" w:rsidRDefault="005E36A8" w:rsidP="00005FF3">
            <w:pPr>
              <w:pStyle w:val="EYTablebullet1"/>
              <w:keepNext/>
              <w:rPr>
                <w:sz w:val="20"/>
                <w:szCs w:val="20"/>
              </w:rPr>
            </w:pPr>
            <w:r w:rsidRPr="00602F49">
              <w:rPr>
                <w:sz w:val="20"/>
                <w:szCs w:val="20"/>
              </w:rPr>
              <w:t>Increased awareness of the special needs and challenges associated with living with a complex disability</w:t>
            </w:r>
            <w:r w:rsidR="002662EF" w:rsidRPr="00602F49">
              <w:rPr>
                <w:sz w:val="20"/>
                <w:szCs w:val="20"/>
              </w:rPr>
              <w:t>.</w:t>
            </w:r>
            <w:r w:rsidRPr="00602F49">
              <w:rPr>
                <w:sz w:val="20"/>
                <w:szCs w:val="20"/>
              </w:rPr>
              <w:t xml:space="preserve"> </w:t>
            </w:r>
          </w:p>
          <w:p w:rsidR="005E36A8" w:rsidRPr="00602F49" w:rsidRDefault="005E36A8" w:rsidP="00005FF3">
            <w:pPr>
              <w:pStyle w:val="EYTablebullet1"/>
              <w:keepNext/>
              <w:rPr>
                <w:sz w:val="20"/>
                <w:szCs w:val="20"/>
              </w:rPr>
            </w:pPr>
            <w:r w:rsidRPr="00602F49">
              <w:rPr>
                <w:sz w:val="20"/>
                <w:szCs w:val="20"/>
              </w:rPr>
              <w:t>Extension of benefits to people outside of the core cohort who nevertheless might benefit from AACFs including the elderly or people using wheelchairs, mobility scooters</w:t>
            </w:r>
            <w:r w:rsidR="00DC3094">
              <w:rPr>
                <w:sz w:val="20"/>
                <w:szCs w:val="20"/>
              </w:rPr>
              <w:t>,</w:t>
            </w:r>
            <w:r w:rsidRPr="00602F49">
              <w:rPr>
                <w:sz w:val="20"/>
                <w:szCs w:val="20"/>
              </w:rPr>
              <w:t xml:space="preserve"> etc. </w:t>
            </w:r>
          </w:p>
          <w:p w:rsidR="005E36A8" w:rsidRPr="00602F49" w:rsidRDefault="005E36A8" w:rsidP="00005FF3">
            <w:pPr>
              <w:pStyle w:val="EYTablebullet1"/>
              <w:keepNext/>
              <w:rPr>
                <w:sz w:val="20"/>
                <w:szCs w:val="20"/>
              </w:rPr>
            </w:pPr>
            <w:r w:rsidRPr="00602F49">
              <w:rPr>
                <w:sz w:val="20"/>
                <w:szCs w:val="20"/>
              </w:rPr>
              <w:t>Promotes acceptance within the community of the principle that persons with disabilities have the same fundamental rights as the rest of the community</w:t>
            </w:r>
            <w:r w:rsidR="002662EF" w:rsidRPr="00602F49">
              <w:rPr>
                <w:sz w:val="20"/>
                <w:szCs w:val="20"/>
              </w:rPr>
              <w:t>.</w:t>
            </w:r>
            <w:r w:rsidRPr="00602F49">
              <w:rPr>
                <w:sz w:val="20"/>
                <w:szCs w:val="20"/>
              </w:rPr>
              <w:t xml:space="preserve"> </w:t>
            </w:r>
          </w:p>
        </w:tc>
        <w:tc>
          <w:tcPr>
            <w:tcW w:w="3634" w:type="dxa"/>
            <w:shd w:val="clear" w:color="auto" w:fill="auto"/>
          </w:tcPr>
          <w:p w:rsidR="005E36A8" w:rsidRPr="00602F49" w:rsidRDefault="005E36A8" w:rsidP="00005FF3">
            <w:pPr>
              <w:pStyle w:val="EYTablebullet1"/>
              <w:keepNext/>
              <w:rPr>
                <w:sz w:val="20"/>
                <w:szCs w:val="20"/>
              </w:rPr>
            </w:pPr>
            <w:r w:rsidRPr="00602F49">
              <w:rPr>
                <w:sz w:val="20"/>
                <w:szCs w:val="20"/>
              </w:rPr>
              <w:t>Better inclusivity and awareness in society</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Reduced health system costs</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Increased engagement in human rights and social impact</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More equitable society</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Needs of those with progressive diseases / disorders addressed</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Tourism dollars increase due to availability of suitable facilities</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Increased productivity by enabling greater employment participation by both people with a disability and their carers</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Enables greater consumption and an increase in the taxation base</w:t>
            </w:r>
            <w:r w:rsidR="002662EF" w:rsidRPr="00602F49">
              <w:rPr>
                <w:sz w:val="20"/>
                <w:szCs w:val="20"/>
              </w:rPr>
              <w:t>.</w:t>
            </w:r>
          </w:p>
          <w:p w:rsidR="005E36A8" w:rsidRPr="00602F49" w:rsidRDefault="005E36A8" w:rsidP="00005FF3">
            <w:pPr>
              <w:pStyle w:val="EYTablebullet1"/>
              <w:keepNext/>
              <w:rPr>
                <w:sz w:val="20"/>
                <w:szCs w:val="20"/>
              </w:rPr>
            </w:pPr>
            <w:r w:rsidRPr="00602F49">
              <w:rPr>
                <w:sz w:val="20"/>
                <w:szCs w:val="20"/>
              </w:rPr>
              <w:t>Potentially decreasing social welfare expenditure</w:t>
            </w:r>
            <w:r w:rsidR="002662EF" w:rsidRPr="00602F49">
              <w:rPr>
                <w:sz w:val="20"/>
                <w:szCs w:val="20"/>
              </w:rPr>
              <w:t>.</w:t>
            </w:r>
          </w:p>
        </w:tc>
      </w:tr>
    </w:tbl>
    <w:p w:rsidR="00C03960" w:rsidRDefault="00C03960"/>
    <w:p w:rsidR="001C33C7" w:rsidRDefault="001C33C7"/>
    <w:tbl>
      <w:tblPr>
        <w:tblStyle w:val="TableGrid"/>
        <w:tblW w:w="0" w:type="auto"/>
        <w:tblLook w:val="04A0" w:firstRow="1" w:lastRow="0" w:firstColumn="1" w:lastColumn="0" w:noHBand="0" w:noVBand="1"/>
      </w:tblPr>
      <w:tblGrid>
        <w:gridCol w:w="9627"/>
      </w:tblGrid>
      <w:tr w:rsidR="00AE69FB" w:rsidTr="00AE69FB">
        <w:tc>
          <w:tcPr>
            <w:tcW w:w="9627" w:type="dxa"/>
            <w:shd w:val="clear" w:color="auto" w:fill="FFE600"/>
          </w:tcPr>
          <w:p w:rsidR="00AE69FB" w:rsidRDefault="009815D5" w:rsidP="005C0085">
            <w:pPr>
              <w:pStyle w:val="Caption"/>
              <w:keepNext/>
              <w:shd w:val="clear" w:color="auto" w:fill="FFE600"/>
            </w:pPr>
            <w:r>
              <w:lastRenderedPageBreak/>
              <w:t>End user c</w:t>
            </w:r>
            <w:r w:rsidR="00AE69FB">
              <w:t>onsultation findings</w:t>
            </w:r>
            <w:r w:rsidR="00AE69FB">
              <w:br/>
            </w:r>
          </w:p>
          <w:p w:rsidR="00AE69FB" w:rsidRDefault="001F20F2" w:rsidP="00816051">
            <w:pPr>
              <w:shd w:val="clear" w:color="auto" w:fill="FFE600"/>
              <w:jc w:val="left"/>
            </w:pPr>
            <w:r>
              <w:t xml:space="preserve">If </w:t>
            </w:r>
            <w:r w:rsidR="00801837">
              <w:t>AACFs</w:t>
            </w:r>
            <w:r>
              <w:t xml:space="preserve"> were in place, t</w:t>
            </w:r>
            <w:r w:rsidR="00AE69FB">
              <w:t>he key benefits identified by participants included:</w:t>
            </w:r>
          </w:p>
          <w:p w:rsidR="00AE69FB" w:rsidRDefault="00AE69FB" w:rsidP="00A15416">
            <w:pPr>
              <w:pStyle w:val="ListParagraph"/>
              <w:numPr>
                <w:ilvl w:val="0"/>
                <w:numId w:val="23"/>
              </w:numPr>
              <w:shd w:val="clear" w:color="auto" w:fill="FFE600"/>
              <w:ind w:hanging="691"/>
              <w:jc w:val="left"/>
            </w:pPr>
            <w:r w:rsidRPr="009260BA">
              <w:rPr>
                <w:b/>
              </w:rPr>
              <w:t>A more enriched life</w:t>
            </w:r>
            <w:r>
              <w:t>… by providing facilities that enabled people to get out of the house and enjoy being part of the community, rather than sitting at home, isolated from the community</w:t>
            </w:r>
            <w:r w:rsidR="00C92BB7">
              <w:t>.</w:t>
            </w:r>
          </w:p>
          <w:p w:rsidR="00AE69FB" w:rsidRDefault="00AE69FB" w:rsidP="00A15416">
            <w:pPr>
              <w:pStyle w:val="ListParagraph"/>
              <w:numPr>
                <w:ilvl w:val="0"/>
                <w:numId w:val="23"/>
              </w:numPr>
              <w:shd w:val="clear" w:color="auto" w:fill="FFE600"/>
              <w:ind w:hanging="691"/>
              <w:jc w:val="left"/>
            </w:pPr>
            <w:r w:rsidRPr="009260BA">
              <w:rPr>
                <w:b/>
              </w:rPr>
              <w:t>Improved flexibility</w:t>
            </w:r>
            <w:r>
              <w:t>… that will ensure people are able to engage in activities and maintain engagement with the community that they would not have otherwise been able to do</w:t>
            </w:r>
            <w:r w:rsidR="00C92BB7">
              <w:t>.</w:t>
            </w:r>
          </w:p>
          <w:p w:rsidR="00AE69FB" w:rsidRDefault="00AE69FB" w:rsidP="00A15416">
            <w:pPr>
              <w:pStyle w:val="ListParagraph"/>
              <w:numPr>
                <w:ilvl w:val="0"/>
                <w:numId w:val="23"/>
              </w:numPr>
              <w:shd w:val="clear" w:color="auto" w:fill="FFE600"/>
              <w:ind w:hanging="691"/>
              <w:jc w:val="left"/>
            </w:pPr>
            <w:r w:rsidRPr="009260BA">
              <w:rPr>
                <w:b/>
              </w:rPr>
              <w:t>Reducing the broader impact of disability on families</w:t>
            </w:r>
            <w:r>
              <w:t xml:space="preserve">… which is often hidden, but exists in many ways ranging from physical and emotional support, to a reduced amount of time someone is able to spend in the community (e.g. shopping), to not being able to attend sporting or cultural events, go on holidays together, or even go to a pub or restaurant.  The availability of </w:t>
            </w:r>
            <w:r w:rsidR="00801837">
              <w:t xml:space="preserve">AACFs </w:t>
            </w:r>
            <w:r>
              <w:t>would help to improve a carer’s ability to more fully engage in community based activities, including going on holiday</w:t>
            </w:r>
            <w:r w:rsidR="00C92BB7">
              <w:t>.</w:t>
            </w:r>
          </w:p>
          <w:p w:rsidR="00AE69FB" w:rsidRDefault="00AE69FB" w:rsidP="00A15416">
            <w:pPr>
              <w:pStyle w:val="ListParagraph"/>
              <w:numPr>
                <w:ilvl w:val="0"/>
                <w:numId w:val="23"/>
              </w:numPr>
              <w:shd w:val="clear" w:color="auto" w:fill="FFE600"/>
              <w:ind w:hanging="691"/>
              <w:jc w:val="left"/>
            </w:pPr>
            <w:r w:rsidRPr="009260BA">
              <w:rPr>
                <w:b/>
              </w:rPr>
              <w:t>Reducing the hidden risks to those with disability</w:t>
            </w:r>
            <w:r>
              <w:t xml:space="preserve">… through </w:t>
            </w:r>
            <w:r w:rsidR="00214882">
              <w:t xml:space="preserve">reducing </w:t>
            </w:r>
            <w:r>
              <w:t>the use of “work arounds”, and improvised strategies that risk the health and wellbeing of both individuals and their carers</w:t>
            </w:r>
            <w:r w:rsidR="00C92BB7">
              <w:t>.</w:t>
            </w:r>
          </w:p>
          <w:p w:rsidR="00AE69FB" w:rsidRDefault="00AE69FB" w:rsidP="00A15416">
            <w:pPr>
              <w:pStyle w:val="ListParagraph"/>
              <w:numPr>
                <w:ilvl w:val="0"/>
                <w:numId w:val="23"/>
              </w:numPr>
              <w:shd w:val="clear" w:color="auto" w:fill="FFE600"/>
              <w:ind w:hanging="691"/>
              <w:jc w:val="left"/>
            </w:pPr>
            <w:r w:rsidRPr="009260BA">
              <w:rPr>
                <w:b/>
              </w:rPr>
              <w:t>Reducing the hidden cost of disability support</w:t>
            </w:r>
            <w:r>
              <w:t xml:space="preserve">… with such a high proportion of people who need assistance being supported by relatives or friends, the potential cost burden on the Australian community </w:t>
            </w:r>
            <w:r w:rsidR="00BE1DFA">
              <w:t xml:space="preserve">could be </w:t>
            </w:r>
            <w:r>
              <w:t>significantly reduced</w:t>
            </w:r>
            <w:r w:rsidR="00BE1DFA">
              <w:t xml:space="preserve"> with the introduction of AACFs</w:t>
            </w:r>
            <w:r>
              <w:t>.  Participants therefore felt that it was appropriate that carers be supported through the provision of appropriate, accessible sanitary facilities</w:t>
            </w:r>
            <w:r w:rsidR="00C92BB7">
              <w:t>.</w:t>
            </w:r>
          </w:p>
          <w:p w:rsidR="00AE69FB" w:rsidRDefault="00AE69FB" w:rsidP="00A15416">
            <w:pPr>
              <w:pStyle w:val="ListParagraph"/>
              <w:numPr>
                <w:ilvl w:val="0"/>
                <w:numId w:val="23"/>
              </w:numPr>
              <w:shd w:val="clear" w:color="auto" w:fill="FFE600"/>
              <w:ind w:hanging="691"/>
              <w:jc w:val="left"/>
            </w:pPr>
            <w:r w:rsidRPr="009260BA">
              <w:rPr>
                <w:b/>
              </w:rPr>
              <w:t>Opening up more possibilities</w:t>
            </w:r>
            <w:r>
              <w:t>… will be possible by increasing access and support for people who need it.</w:t>
            </w:r>
          </w:p>
          <w:p w:rsidR="00AE69FB" w:rsidRDefault="00AE69FB" w:rsidP="00816051">
            <w:pPr>
              <w:shd w:val="clear" w:color="auto" w:fill="FFE600"/>
              <w:jc w:val="left"/>
            </w:pPr>
            <w:r>
              <w:br/>
            </w:r>
            <w:r w:rsidRPr="009260BA">
              <w:rPr>
                <w:i/>
              </w:rPr>
              <w:t>“A mark of a positive society is how they treat their most vulnerable … and people with disability are part of that group”</w:t>
            </w:r>
            <w:r>
              <w:t xml:space="preserve"> (Male, aged 25-30, spinal cord injury, VIC)</w:t>
            </w:r>
            <w:r w:rsidR="00DE3037">
              <w:t>.</w:t>
            </w:r>
          </w:p>
        </w:tc>
      </w:tr>
    </w:tbl>
    <w:p w:rsidR="00AF3692" w:rsidRDefault="00AF3692" w:rsidP="000F2B13"/>
    <w:p w:rsidR="00F40E06" w:rsidRPr="00145D1B" w:rsidRDefault="005640AD" w:rsidP="0089475A">
      <w:pPr>
        <w:pStyle w:val="Caption"/>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color w:val="auto"/>
          <w:szCs w:val="24"/>
        </w:rPr>
      </w:pPr>
      <w:r>
        <w:rPr>
          <w:rFonts w:cs="Arial"/>
          <w:color w:val="auto"/>
          <w:szCs w:val="24"/>
        </w:rPr>
        <w:t>Consultation q</w:t>
      </w:r>
      <w:r w:rsidR="000F2B13" w:rsidRPr="00145D1B">
        <w:rPr>
          <w:rFonts w:cs="Arial"/>
          <w:color w:val="auto"/>
          <w:szCs w:val="24"/>
        </w:rPr>
        <w:t>uestion</w:t>
      </w:r>
      <w:r w:rsidR="00611D26">
        <w:rPr>
          <w:rFonts w:cs="Arial"/>
          <w:color w:val="auto"/>
          <w:szCs w:val="24"/>
        </w:rPr>
        <w:t>s</w:t>
      </w:r>
    </w:p>
    <w:p w:rsidR="00E7752B" w:rsidRDefault="00E7752B" w:rsidP="00A15416">
      <w:pPr>
        <w:pStyle w:val="Caption"/>
        <w:numPr>
          <w:ilvl w:val="0"/>
          <w:numId w:val="41"/>
        </w:numPr>
        <w:pBdr>
          <w:top w:val="single" w:sz="4" w:space="1" w:color="auto"/>
          <w:left w:val="single" w:sz="4" w:space="4" w:color="auto"/>
          <w:bottom w:val="single" w:sz="4" w:space="1" w:color="auto"/>
          <w:right w:val="single" w:sz="4" w:space="4" w:color="auto"/>
        </w:pBdr>
        <w:shd w:val="clear" w:color="auto" w:fill="D9D9D9" w:themeFill="background1" w:themeFillShade="D9"/>
        <w:ind w:hanging="720"/>
      </w:pPr>
      <w:bookmarkStart w:id="437" w:name="_Ref506883460"/>
      <w:r w:rsidRPr="004B0ACC">
        <w:rPr>
          <w:b w:val="0"/>
        </w:rPr>
        <w:t xml:space="preserve">As a person with a disability </w:t>
      </w:r>
      <w:r w:rsidR="006E712D">
        <w:rPr>
          <w:b w:val="0"/>
        </w:rPr>
        <w:t xml:space="preserve">or </w:t>
      </w:r>
      <w:r w:rsidRPr="004B0ACC">
        <w:rPr>
          <w:b w:val="0"/>
        </w:rPr>
        <w:t>carer, how do you think you will benefit from the introduction of AACFs?</w:t>
      </w:r>
    </w:p>
    <w:p w:rsidR="00E7752B" w:rsidRDefault="008A4863" w:rsidP="00A15416">
      <w:pPr>
        <w:pStyle w:val="Caption"/>
        <w:numPr>
          <w:ilvl w:val="0"/>
          <w:numId w:val="4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ind w:hanging="720"/>
        <w:rPr>
          <w:b w:val="0"/>
        </w:rPr>
      </w:pPr>
      <w:bookmarkStart w:id="438" w:name="_Ref506883468"/>
      <w:bookmarkEnd w:id="437"/>
      <w:r w:rsidRPr="004B0ACC">
        <w:rPr>
          <w:b w:val="0"/>
        </w:rPr>
        <w:t>How will the introduction of AACFs in Class 6 shopping centres and Class 9b assembly buildings impact on your level of community engagement and sense of inclusion in daily life and community activities?</w:t>
      </w:r>
      <w:bookmarkStart w:id="439" w:name="_Ref506883475"/>
      <w:bookmarkStart w:id="440" w:name="_Ref507679973"/>
      <w:bookmarkStart w:id="441" w:name="_Ref507680236"/>
    </w:p>
    <w:p w:rsidR="00E7752B" w:rsidRPr="00E81AB8" w:rsidRDefault="00E7752B" w:rsidP="00A15416">
      <w:pPr>
        <w:pStyle w:val="Caption"/>
        <w:numPr>
          <w:ilvl w:val="0"/>
          <w:numId w:val="4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ind w:hanging="720"/>
      </w:pPr>
      <w:r w:rsidRPr="00E81AB8">
        <w:rPr>
          <w:b w:val="0"/>
        </w:rPr>
        <w:t>How will the introduction of AACFs in Class 6 shopping centres and Class 9b assembly buildings impact on your overall quality of life? Please indicate if this would differ under</w:t>
      </w:r>
      <w:bookmarkEnd w:id="439"/>
      <w:bookmarkEnd w:id="440"/>
      <w:bookmarkEnd w:id="441"/>
      <w:r w:rsidR="00BF079B">
        <w:rPr>
          <w:b w:val="0"/>
        </w:rPr>
        <w:t xml:space="preserve"> the different options?</w:t>
      </w:r>
    </w:p>
    <w:p w:rsidR="008A4863" w:rsidRPr="00E7752B" w:rsidRDefault="00E7752B" w:rsidP="00A15416">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ind w:hanging="720"/>
        <w:jc w:val="left"/>
      </w:pPr>
      <w:r>
        <w:t>Are there other types of qualitative benefit that should be considered?</w:t>
      </w:r>
    </w:p>
    <w:p w:rsidR="00E7752B" w:rsidRPr="00E7752B" w:rsidRDefault="00E7752B" w:rsidP="00E7752B"/>
    <w:p w:rsidR="001952B6" w:rsidRPr="00005FF3" w:rsidRDefault="008A4863" w:rsidP="006340F9">
      <w:pPr>
        <w:pStyle w:val="Caption"/>
        <w:keepNext/>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09"/>
        </w:tabs>
        <w:rPr>
          <w:rFonts w:ascii="Verdana" w:hAnsi="Verdana"/>
        </w:rPr>
      </w:pPr>
      <w:r w:rsidRPr="00005FF3">
        <w:lastRenderedPageBreak/>
        <w:t>S</w:t>
      </w:r>
      <w:bookmarkEnd w:id="438"/>
      <w:r w:rsidR="008728FE" w:rsidRPr="00005FF3">
        <w:t>takeholder feedback</w:t>
      </w:r>
    </w:p>
    <w:p w:rsidR="00C94580" w:rsidRPr="00005FF3" w:rsidRDefault="00E7752B" w:rsidP="006340F9">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005FF3">
        <w:rPr>
          <w:b w:val="0"/>
        </w:rPr>
        <w:t xml:space="preserve">Of the responses who </w:t>
      </w:r>
      <w:r w:rsidR="002662EF" w:rsidRPr="00005FF3">
        <w:rPr>
          <w:b w:val="0"/>
        </w:rPr>
        <w:t>identif</w:t>
      </w:r>
      <w:r w:rsidR="002662EF">
        <w:rPr>
          <w:b w:val="0"/>
        </w:rPr>
        <w:t>ied</w:t>
      </w:r>
      <w:r w:rsidRPr="00005FF3">
        <w:rPr>
          <w:b w:val="0"/>
        </w:rPr>
        <w:t xml:space="preserve"> as having a </w:t>
      </w:r>
      <w:r w:rsidR="00DE3037">
        <w:rPr>
          <w:b w:val="0"/>
        </w:rPr>
        <w:t xml:space="preserve">complex </w:t>
      </w:r>
      <w:r w:rsidRPr="00005FF3">
        <w:rPr>
          <w:b w:val="0"/>
        </w:rPr>
        <w:t xml:space="preserve">disability or being the carer of a person with a </w:t>
      </w:r>
      <w:r w:rsidR="00DE3037">
        <w:rPr>
          <w:b w:val="0"/>
        </w:rPr>
        <w:t xml:space="preserve">complex </w:t>
      </w:r>
      <w:r w:rsidRPr="00005FF3">
        <w:rPr>
          <w:b w:val="0"/>
        </w:rPr>
        <w:t xml:space="preserve">disability, the benefit of the proposed reform was frequently described in terms of personal freedoms, social justice, discrimination reduction and equity. While </w:t>
      </w:r>
      <w:r w:rsidR="00EE780B" w:rsidRPr="00005FF3">
        <w:rPr>
          <w:b w:val="0"/>
        </w:rPr>
        <w:t xml:space="preserve">quantifiable </w:t>
      </w:r>
      <w:r w:rsidRPr="00005FF3">
        <w:rPr>
          <w:b w:val="0"/>
        </w:rPr>
        <w:t>economic benefits were acknowledged, the societal</w:t>
      </w:r>
      <w:r w:rsidR="00CA3BF0" w:rsidRPr="00005FF3">
        <w:rPr>
          <w:b w:val="0"/>
        </w:rPr>
        <w:t>,</w:t>
      </w:r>
      <w:r w:rsidRPr="00005FF3">
        <w:rPr>
          <w:b w:val="0"/>
        </w:rPr>
        <w:t xml:space="preserve"> moral and ethical arguments were often noted as superseding any reasoning that could be substantiated with an analysis of economic costs and benefits.</w:t>
      </w:r>
      <w:r w:rsidR="00C94580" w:rsidRPr="00005FF3">
        <w:rPr>
          <w:b w:val="0"/>
        </w:rPr>
        <w:t xml:space="preserve"> </w:t>
      </w:r>
      <w:r w:rsidR="009A242D" w:rsidRPr="00005FF3">
        <w:rPr>
          <w:b w:val="0"/>
        </w:rPr>
        <w:t xml:space="preserve">The response from stakeholders relating to the broad array of intangible benefits was consistent both with the end </w:t>
      </w:r>
      <w:r w:rsidR="008D725F" w:rsidRPr="00005FF3">
        <w:rPr>
          <w:b w:val="0"/>
        </w:rPr>
        <w:t xml:space="preserve">user </w:t>
      </w:r>
      <w:r w:rsidR="009A242D" w:rsidRPr="00005FF3">
        <w:rPr>
          <w:b w:val="0"/>
        </w:rPr>
        <w:t>consultation</w:t>
      </w:r>
      <w:r w:rsidR="008D725F" w:rsidRPr="00005FF3">
        <w:rPr>
          <w:b w:val="0"/>
        </w:rPr>
        <w:t>s</w:t>
      </w:r>
      <w:r w:rsidR="009A242D" w:rsidRPr="00005FF3">
        <w:rPr>
          <w:b w:val="0"/>
        </w:rPr>
        <w:t xml:space="preserve"> and the extensive literature review analysis carried out during preparation of the Consultation RIS.</w:t>
      </w:r>
    </w:p>
    <w:p w:rsidR="00E7752B" w:rsidRPr="00005FF3" w:rsidRDefault="00E7752B" w:rsidP="006340F9">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005FF3">
        <w:rPr>
          <w:b w:val="0"/>
        </w:rPr>
        <w:t>A number of government bodies</w:t>
      </w:r>
      <w:r w:rsidR="00EC2FEE" w:rsidRPr="00005FF3">
        <w:rPr>
          <w:b w:val="0"/>
        </w:rPr>
        <w:t xml:space="preserve"> including the Australian Human Rights Commission and the Victori</w:t>
      </w:r>
      <w:r w:rsidR="000324F9">
        <w:rPr>
          <w:b w:val="0"/>
        </w:rPr>
        <w:t xml:space="preserve">an </w:t>
      </w:r>
      <w:r w:rsidR="005A7F77">
        <w:rPr>
          <w:b w:val="0"/>
        </w:rPr>
        <w:t>HHS</w:t>
      </w:r>
      <w:r w:rsidR="000324F9">
        <w:rPr>
          <w:b w:val="0"/>
        </w:rPr>
        <w:t>BA</w:t>
      </w:r>
      <w:r w:rsidRPr="00005FF3">
        <w:rPr>
          <w:b w:val="0"/>
        </w:rPr>
        <w:t xml:space="preserve"> noted adherence to various government strategies and published benefits from Changing Places materials.</w:t>
      </w:r>
    </w:p>
    <w:p w:rsidR="00123070" w:rsidRPr="00005FF3" w:rsidRDefault="00620A5E" w:rsidP="006340F9">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09"/>
        </w:tabs>
        <w:rPr>
          <w:b w:val="0"/>
        </w:rPr>
      </w:pPr>
      <w:r w:rsidRPr="00005FF3">
        <w:rPr>
          <w:b w:val="0"/>
        </w:rPr>
        <w:t xml:space="preserve">There was strong agreement across responses with regard to the enabling </w:t>
      </w:r>
      <w:r w:rsidR="000F08DA" w:rsidRPr="00005FF3">
        <w:rPr>
          <w:b w:val="0"/>
        </w:rPr>
        <w:t>role of AACFs in</w:t>
      </w:r>
      <w:r w:rsidRPr="00005FF3">
        <w:rPr>
          <w:b w:val="0"/>
        </w:rPr>
        <w:t xml:space="preserve"> community engagement and </w:t>
      </w:r>
      <w:r w:rsidR="000F08DA" w:rsidRPr="00005FF3">
        <w:rPr>
          <w:b w:val="0"/>
        </w:rPr>
        <w:t>inclusion. In terms of impact,</w:t>
      </w:r>
      <w:r w:rsidR="00FE3093" w:rsidRPr="00005FF3">
        <w:rPr>
          <w:b w:val="0"/>
        </w:rPr>
        <w:t xml:space="preserve"> given the ever-present barrier toileting presents to those with a disability, the significantly improved equity and access AACFs provide was extolled by </w:t>
      </w:r>
      <w:r w:rsidR="00841A3A" w:rsidRPr="00005FF3">
        <w:rPr>
          <w:b w:val="0"/>
        </w:rPr>
        <w:t xml:space="preserve">most </w:t>
      </w:r>
      <w:r w:rsidR="009A009C" w:rsidRPr="00005FF3">
        <w:rPr>
          <w:b w:val="0"/>
        </w:rPr>
        <w:t>responses.</w:t>
      </w:r>
      <w:r w:rsidR="00841A3A" w:rsidRPr="00005FF3">
        <w:rPr>
          <w:b w:val="0"/>
        </w:rPr>
        <w:t xml:space="preserve"> </w:t>
      </w:r>
    </w:p>
    <w:p w:rsidR="008340EB" w:rsidRPr="00005FF3" w:rsidRDefault="00841A3A" w:rsidP="006340F9">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09"/>
        </w:tabs>
      </w:pPr>
      <w:r w:rsidRPr="00005FF3">
        <w:rPr>
          <w:b w:val="0"/>
        </w:rPr>
        <w:t>This commentary was tempered by mention of the importance of the fit-out of the facilities</w:t>
      </w:r>
      <w:r w:rsidR="00360CA7" w:rsidRPr="00005FF3">
        <w:rPr>
          <w:b w:val="0"/>
        </w:rPr>
        <w:t xml:space="preserve"> by Shoalhaven </w:t>
      </w:r>
      <w:r w:rsidR="00895ECB" w:rsidRPr="00005FF3">
        <w:rPr>
          <w:b w:val="0"/>
        </w:rPr>
        <w:t>City Council and some</w:t>
      </w:r>
      <w:r w:rsidR="00360CA7" w:rsidRPr="00005FF3">
        <w:rPr>
          <w:b w:val="0"/>
        </w:rPr>
        <w:t xml:space="preserve"> disability advocate</w:t>
      </w:r>
      <w:r w:rsidR="00895ECB" w:rsidRPr="00005FF3">
        <w:rPr>
          <w:b w:val="0"/>
        </w:rPr>
        <w:t>s</w:t>
      </w:r>
      <w:r w:rsidRPr="00005FF3">
        <w:rPr>
          <w:b w:val="0"/>
        </w:rPr>
        <w:t xml:space="preserve">, particularly the </w:t>
      </w:r>
      <w:r w:rsidR="009815D5" w:rsidRPr="00005FF3">
        <w:rPr>
          <w:b w:val="0"/>
        </w:rPr>
        <w:t xml:space="preserve">limitations of a </w:t>
      </w:r>
      <w:r w:rsidRPr="00005FF3">
        <w:rPr>
          <w:b w:val="0"/>
        </w:rPr>
        <w:t>peninsula toilet</w:t>
      </w:r>
      <w:r w:rsidR="00BC614A" w:rsidRPr="00005FF3">
        <w:rPr>
          <w:b w:val="0"/>
        </w:rPr>
        <w:t xml:space="preserve"> and the proportion of those with a disability</w:t>
      </w:r>
      <w:r w:rsidRPr="00005FF3">
        <w:rPr>
          <w:b w:val="0"/>
        </w:rPr>
        <w:t xml:space="preserve"> who cannot use it.  </w:t>
      </w:r>
      <w:bookmarkStart w:id="442" w:name="CQ12"/>
      <w:bookmarkStart w:id="443" w:name="_Ref506883491"/>
    </w:p>
    <w:p w:rsidR="004B5CE4" w:rsidRPr="00005FF3" w:rsidRDefault="004B5CE4" w:rsidP="006340F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left"/>
      </w:pPr>
      <w:bookmarkStart w:id="444" w:name="_Ref507680287"/>
      <w:bookmarkEnd w:id="442"/>
      <w:r w:rsidRPr="00005FF3">
        <w:t>The stakeholder feedback regarding</w:t>
      </w:r>
      <w:r w:rsidRPr="00005FF3">
        <w:rPr>
          <w:b/>
        </w:rPr>
        <w:t xml:space="preserve"> </w:t>
      </w:r>
      <w:r w:rsidRPr="00005FF3">
        <w:t>impact on level of community engagement and sense of inclusion in daily life and community activities has been captured. The issue of some people with a disability being unable to use a peninsula toilet has been recognised through the revised minimum necessary spec</w:t>
      </w:r>
      <w:r w:rsidR="00E53287">
        <w:t>ification as a central case</w:t>
      </w:r>
      <w:r w:rsidRPr="00005FF3">
        <w:t>.</w:t>
      </w:r>
    </w:p>
    <w:p w:rsidR="002B1414" w:rsidRPr="0036126D" w:rsidRDefault="007F4E49" w:rsidP="006340F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left"/>
      </w:pPr>
      <w:r w:rsidRPr="0036126D">
        <w:t xml:space="preserve">No </w:t>
      </w:r>
      <w:r w:rsidR="00E7752B" w:rsidRPr="0036126D">
        <w:t xml:space="preserve">responses </w:t>
      </w:r>
      <w:r w:rsidRPr="0036126D">
        <w:t xml:space="preserve">differentiated between </w:t>
      </w:r>
      <w:r w:rsidR="00D8598B">
        <w:t>the effectiveness of each regulatory option</w:t>
      </w:r>
      <w:r w:rsidRPr="0036126D">
        <w:t xml:space="preserve"> with regard to overall quality of life impact. </w:t>
      </w:r>
    </w:p>
    <w:p w:rsidR="002B1414" w:rsidRPr="00005FF3" w:rsidRDefault="002B1414" w:rsidP="006340F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left"/>
        <w:rPr>
          <w:rFonts w:cs="Arial"/>
          <w:i/>
          <w:szCs w:val="24"/>
        </w:rPr>
      </w:pPr>
      <w:r w:rsidRPr="0036126D">
        <w:t xml:space="preserve">One participant of the end user consultation carried out during preparation of the Consultation RIS commented that </w:t>
      </w:r>
      <w:r w:rsidRPr="0036126D">
        <w:rPr>
          <w:rFonts w:cs="Arial"/>
          <w:i/>
          <w:szCs w:val="24"/>
        </w:rPr>
        <w:t>“The most important thing is building as many facilities as possible.  You don’t need to stay at a five star hotel when a backpackers will do.” (Mother, NSW)</w:t>
      </w:r>
      <w:r w:rsidR="00E3574F">
        <w:rPr>
          <w:rFonts w:cs="Arial"/>
          <w:i/>
          <w:szCs w:val="24"/>
        </w:rPr>
        <w:t>.</w:t>
      </w:r>
    </w:p>
    <w:p w:rsidR="00503BD2" w:rsidRDefault="00DB77F7" w:rsidP="006340F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left"/>
      </w:pPr>
      <w:r w:rsidRPr="0036126D">
        <w:t>Responses demonstrated a consensus that any of the options will have a significant positive impact on overall quality of life</w:t>
      </w:r>
      <w:r w:rsidR="00EE780B" w:rsidRPr="0036126D">
        <w:t xml:space="preserve"> for the core and non-core cohorts</w:t>
      </w:r>
      <w:r w:rsidRPr="0036126D">
        <w:t>.</w:t>
      </w:r>
      <w:r w:rsidR="004B5CE4" w:rsidRPr="0036126D">
        <w:t xml:space="preserve"> Though stakeholders did not identify differences in the quality of life benefits under alternative regulatory options, it is reasonable to conclude that the distribution and quality of life benefits in </w:t>
      </w:r>
      <w:r w:rsidR="00136DE7" w:rsidRPr="0036126D">
        <w:t>an</w:t>
      </w:r>
      <w:r w:rsidR="004B5CE4" w:rsidRPr="0036126D">
        <w:t xml:space="preserve"> aggregate sense would be lower under a non-regulatory option due to fewer AACFs installed</w:t>
      </w:r>
      <w:r w:rsidR="002D7DAA" w:rsidRPr="0036126D">
        <w:t xml:space="preserve"> under this scenario.</w:t>
      </w:r>
    </w:p>
    <w:p w:rsidR="00503BD2" w:rsidRDefault="00503BD2">
      <w:pPr>
        <w:jc w:val="left"/>
      </w:pPr>
      <w:r>
        <w:br w:type="page"/>
      </w:r>
    </w:p>
    <w:p w:rsidR="002B1414" w:rsidRPr="0036126D" w:rsidRDefault="009A7BFA" w:rsidP="006340F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left"/>
        <w:rPr>
          <w:bCs/>
          <w:color w:val="000000" w:themeColor="text1"/>
          <w:szCs w:val="18"/>
        </w:rPr>
      </w:pPr>
      <w:r w:rsidRPr="0036126D">
        <w:rPr>
          <w:bCs/>
          <w:color w:val="000000" w:themeColor="text1"/>
          <w:szCs w:val="18"/>
        </w:rPr>
        <w:lastRenderedPageBreak/>
        <w:t xml:space="preserve">Responses commonly reiterated the </w:t>
      </w:r>
      <w:r w:rsidR="00C66EF5" w:rsidRPr="0036126D">
        <w:rPr>
          <w:bCs/>
          <w:color w:val="000000" w:themeColor="text1"/>
          <w:szCs w:val="18"/>
        </w:rPr>
        <w:t xml:space="preserve">significance </w:t>
      </w:r>
      <w:r w:rsidRPr="0036126D">
        <w:rPr>
          <w:bCs/>
          <w:color w:val="000000" w:themeColor="text1"/>
          <w:szCs w:val="18"/>
        </w:rPr>
        <w:t xml:space="preserve">of the short </w:t>
      </w:r>
      <w:r w:rsidR="007E025F" w:rsidRPr="0036126D">
        <w:rPr>
          <w:bCs/>
          <w:color w:val="000000" w:themeColor="text1"/>
          <w:szCs w:val="18"/>
        </w:rPr>
        <w:t xml:space="preserve">and long </w:t>
      </w:r>
      <w:r w:rsidRPr="0036126D">
        <w:rPr>
          <w:bCs/>
          <w:color w:val="000000" w:themeColor="text1"/>
          <w:szCs w:val="18"/>
        </w:rPr>
        <w:t xml:space="preserve">term qualitative benefits of reduced stress and anxiety, </w:t>
      </w:r>
      <w:r w:rsidR="007E025F" w:rsidRPr="0036126D">
        <w:rPr>
          <w:bCs/>
          <w:color w:val="000000" w:themeColor="text1"/>
          <w:szCs w:val="18"/>
        </w:rPr>
        <w:t xml:space="preserve">and improved mental health and wellbeing for those with a disability and carers. </w:t>
      </w:r>
      <w:r w:rsidR="000324F9">
        <w:rPr>
          <w:bCs/>
          <w:color w:val="000000" w:themeColor="text1"/>
          <w:szCs w:val="18"/>
        </w:rPr>
        <w:t xml:space="preserve">The Victorian </w:t>
      </w:r>
      <w:r w:rsidR="005A7F77">
        <w:rPr>
          <w:bCs/>
          <w:color w:val="000000" w:themeColor="text1"/>
          <w:szCs w:val="18"/>
        </w:rPr>
        <w:t>HHS</w:t>
      </w:r>
      <w:r w:rsidR="000324F9">
        <w:rPr>
          <w:bCs/>
          <w:color w:val="000000" w:themeColor="text1"/>
          <w:szCs w:val="18"/>
        </w:rPr>
        <w:t>BA</w:t>
      </w:r>
      <w:r w:rsidR="0039557C" w:rsidRPr="0036126D">
        <w:rPr>
          <w:bCs/>
          <w:color w:val="000000" w:themeColor="text1"/>
          <w:szCs w:val="18"/>
        </w:rPr>
        <w:t xml:space="preserve"> </w:t>
      </w:r>
      <w:r w:rsidR="002B1414" w:rsidRPr="0036126D">
        <w:rPr>
          <w:bCs/>
          <w:color w:val="000000" w:themeColor="text1"/>
          <w:szCs w:val="18"/>
        </w:rPr>
        <w:t xml:space="preserve">suggested that </w:t>
      </w:r>
      <w:r w:rsidR="0039557C" w:rsidRPr="0036126D">
        <w:rPr>
          <w:bCs/>
          <w:color w:val="000000" w:themeColor="text1"/>
          <w:szCs w:val="18"/>
        </w:rPr>
        <w:t>i</w:t>
      </w:r>
      <w:r w:rsidR="007E025F" w:rsidRPr="0036126D">
        <w:rPr>
          <w:bCs/>
          <w:color w:val="000000" w:themeColor="text1"/>
          <w:szCs w:val="18"/>
        </w:rPr>
        <w:t xml:space="preserve">ncreased revenue and patronage for venue owners </w:t>
      </w:r>
      <w:r w:rsidR="002B1414" w:rsidRPr="0036126D">
        <w:rPr>
          <w:bCs/>
          <w:color w:val="000000" w:themeColor="text1"/>
          <w:szCs w:val="18"/>
        </w:rPr>
        <w:t>could be substantial</w:t>
      </w:r>
      <w:r w:rsidR="007E025F" w:rsidRPr="0036126D">
        <w:rPr>
          <w:bCs/>
          <w:color w:val="000000" w:themeColor="text1"/>
          <w:szCs w:val="18"/>
        </w:rPr>
        <w:t xml:space="preserve">, with a </w:t>
      </w:r>
      <w:r w:rsidR="00EE780B" w:rsidRPr="0036126D">
        <w:rPr>
          <w:bCs/>
          <w:color w:val="000000" w:themeColor="text1"/>
          <w:szCs w:val="18"/>
        </w:rPr>
        <w:t>range</w:t>
      </w:r>
      <w:r w:rsidR="007E025F" w:rsidRPr="0036126D">
        <w:rPr>
          <w:bCs/>
          <w:color w:val="000000" w:themeColor="text1"/>
          <w:szCs w:val="18"/>
        </w:rPr>
        <w:t xml:space="preserve"> of 20-25% increase</w:t>
      </w:r>
      <w:r w:rsidR="00C66EF5" w:rsidRPr="0036126D">
        <w:rPr>
          <w:bCs/>
          <w:color w:val="000000" w:themeColor="text1"/>
          <w:szCs w:val="18"/>
        </w:rPr>
        <w:t>d</w:t>
      </w:r>
      <w:r w:rsidR="007E025F" w:rsidRPr="0036126D">
        <w:rPr>
          <w:bCs/>
          <w:color w:val="000000" w:themeColor="text1"/>
          <w:szCs w:val="18"/>
        </w:rPr>
        <w:t xml:space="preserve"> turnover for universally accessible retail environments compared to non-accessible </w:t>
      </w:r>
      <w:r w:rsidR="00C66EF5" w:rsidRPr="0036126D">
        <w:rPr>
          <w:bCs/>
          <w:color w:val="000000" w:themeColor="text1"/>
          <w:szCs w:val="18"/>
        </w:rPr>
        <w:t xml:space="preserve">retail </w:t>
      </w:r>
      <w:r w:rsidR="007E025F" w:rsidRPr="0036126D">
        <w:rPr>
          <w:bCs/>
          <w:color w:val="000000" w:themeColor="text1"/>
          <w:szCs w:val="18"/>
        </w:rPr>
        <w:t>environments.</w:t>
      </w:r>
      <w:r w:rsidR="00923893" w:rsidRPr="0036126D">
        <w:rPr>
          <w:bCs/>
          <w:color w:val="000000" w:themeColor="text1"/>
          <w:szCs w:val="18"/>
        </w:rPr>
        <w:t xml:space="preserve"> </w:t>
      </w:r>
    </w:p>
    <w:p w:rsidR="000F2B13" w:rsidRPr="00145D1B" w:rsidRDefault="002B1414" w:rsidP="00CF05D1">
      <w:pPr>
        <w:pStyle w:val="EYBodytextwithparaspace"/>
      </w:pPr>
      <w:r w:rsidRPr="0036126D">
        <w:t>Discussion of the potentially greater significance of qualitative benefits has been added to the discussion of quantitative benefits throughout this Final RIS.</w:t>
      </w:r>
      <w:r w:rsidR="00833B37" w:rsidRPr="0036126D">
        <w:t xml:space="preserve"> While it is acknowledged that potential spending and revenue benefits could be considerable, these have been deliberately excluded from the analysis owing to uncertainty over the extent to which such spending is truly ‘additional’. In other words, not only is it difficult to establish the amount of spending benefits</w:t>
      </w:r>
      <w:r w:rsidR="008D725F" w:rsidRPr="0036126D">
        <w:t>, but</w:t>
      </w:r>
      <w:r w:rsidR="00833B37" w:rsidRPr="0036126D">
        <w:t xml:space="preserve"> it is also difficult to establish the amount of spending that would not have occurred in the absence of installing an AACF.</w:t>
      </w:r>
      <w:bookmarkEnd w:id="443"/>
      <w:bookmarkEnd w:id="444"/>
    </w:p>
    <w:p w:rsidR="00F025F0" w:rsidRDefault="002B1414" w:rsidP="00FB05B9">
      <w:pPr>
        <w:pStyle w:val="Heading1"/>
      </w:pPr>
      <w:bookmarkStart w:id="445" w:name="_Toc504057615"/>
      <w:bookmarkStart w:id="446" w:name="_Toc504058722"/>
      <w:bookmarkStart w:id="447" w:name="_Toc504059140"/>
      <w:bookmarkStart w:id="448" w:name="_Toc504060774"/>
      <w:bookmarkStart w:id="449" w:name="_Toc504060822"/>
      <w:bookmarkStart w:id="450" w:name="_Toc504060946"/>
      <w:bookmarkStart w:id="451" w:name="_Toc504063236"/>
      <w:bookmarkStart w:id="452" w:name="_Toc504057620"/>
      <w:bookmarkStart w:id="453" w:name="_Toc504058727"/>
      <w:bookmarkStart w:id="454" w:name="_Toc504059145"/>
      <w:bookmarkStart w:id="455" w:name="_Toc504060779"/>
      <w:bookmarkStart w:id="456" w:name="_Toc504060827"/>
      <w:bookmarkStart w:id="457" w:name="_Toc504060951"/>
      <w:bookmarkStart w:id="458" w:name="_Toc504063241"/>
      <w:bookmarkStart w:id="459" w:name="_Toc504057621"/>
      <w:bookmarkStart w:id="460" w:name="_Toc504058728"/>
      <w:bookmarkStart w:id="461" w:name="_Toc504059146"/>
      <w:bookmarkStart w:id="462" w:name="_Toc504060780"/>
      <w:bookmarkStart w:id="463" w:name="_Toc504060828"/>
      <w:bookmarkStart w:id="464" w:name="_Toc504060952"/>
      <w:bookmarkStart w:id="465" w:name="_Toc504063242"/>
      <w:bookmarkStart w:id="466" w:name="_Toc504063179"/>
      <w:bookmarkStart w:id="467" w:name="_Toc504388869"/>
      <w:bookmarkStart w:id="468" w:name="_Ref504400577"/>
      <w:bookmarkStart w:id="469" w:name="_Toc504401720"/>
      <w:bookmarkStart w:id="470" w:name="_Toc504649926"/>
      <w:bookmarkStart w:id="471" w:name="_Ref507578488"/>
      <w:bookmarkStart w:id="472" w:name="_Toc384886099"/>
      <w:bookmarkStart w:id="473" w:name="_Toc408237942"/>
      <w:bookmarkStart w:id="474" w:name="_Toc408314135"/>
      <w:bookmarkStart w:id="475" w:name="_Toc414620357"/>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br w:type="page"/>
      </w:r>
      <w:bookmarkStart w:id="476" w:name="_Ref520723656"/>
      <w:bookmarkStart w:id="477" w:name="_Toc525897798"/>
      <w:r w:rsidR="002303DB">
        <w:lastRenderedPageBreak/>
        <w:t>Impact analysis</w:t>
      </w:r>
      <w:bookmarkEnd w:id="466"/>
      <w:bookmarkEnd w:id="467"/>
      <w:bookmarkEnd w:id="468"/>
      <w:bookmarkEnd w:id="469"/>
      <w:bookmarkEnd w:id="470"/>
      <w:bookmarkEnd w:id="471"/>
      <w:bookmarkEnd w:id="476"/>
      <w:bookmarkEnd w:id="477"/>
    </w:p>
    <w:p w:rsidR="00A83EF8" w:rsidRDefault="00A83EF8" w:rsidP="00681E1A">
      <w:pPr>
        <w:pStyle w:val="EYBodytextwithparaspace"/>
        <w:spacing w:after="200"/>
      </w:pPr>
      <w:bookmarkStart w:id="478" w:name="_Toc504063180"/>
      <w:bookmarkStart w:id="479" w:name="_Toc504388870"/>
      <w:bookmarkStart w:id="480" w:name="_Ref504401307"/>
      <w:bookmarkStart w:id="481" w:name="_Toc504401721"/>
      <w:bookmarkStart w:id="482" w:name="_Toc504649927"/>
      <w:r>
        <w:t>This Chapter presents modelling results t</w:t>
      </w:r>
      <w:r w:rsidR="00BE1DFA">
        <w:t xml:space="preserve">o </w:t>
      </w:r>
      <w:r>
        <w:t xml:space="preserve">give an indication of the scale of benefits that might accrue as a result of additional trips being made to </w:t>
      </w:r>
      <w:r w:rsidR="002D118B">
        <w:t xml:space="preserve">Class </w:t>
      </w:r>
      <w:r>
        <w:t xml:space="preserve">6 shopping centres or </w:t>
      </w:r>
      <w:r w:rsidR="006B28B8">
        <w:t>Class 9b</w:t>
      </w:r>
      <w:r>
        <w:t xml:space="preserve"> assembly buildings following the introduction of an AACF.</w:t>
      </w:r>
      <w:r w:rsidR="00AF3692">
        <w:t xml:space="preserve"> T</w:t>
      </w:r>
      <w:r>
        <w:t xml:space="preserve">he </w:t>
      </w:r>
      <w:r w:rsidR="00CE10DD">
        <w:t xml:space="preserve">Chapter </w:t>
      </w:r>
      <w:r w:rsidR="00953741">
        <w:t>is</w:t>
      </w:r>
      <w:r>
        <w:t xml:space="preserve"> presented in three sections:</w:t>
      </w:r>
    </w:p>
    <w:p w:rsidR="00A83EF8" w:rsidRPr="0036126D" w:rsidRDefault="00A83EF8" w:rsidP="009260BA">
      <w:pPr>
        <w:pStyle w:val="EYBulletedText1"/>
      </w:pPr>
      <w:r w:rsidRPr="0036126D">
        <w:t xml:space="preserve">Section </w:t>
      </w:r>
      <w:r w:rsidRPr="0036126D">
        <w:fldChar w:fldCharType="begin"/>
      </w:r>
      <w:r w:rsidRPr="0036126D">
        <w:instrText xml:space="preserve"> REF _Ref505945913 \r \h </w:instrText>
      </w:r>
      <w:r w:rsidR="0036126D">
        <w:instrText xml:space="preserve"> \* MERGEFORMAT </w:instrText>
      </w:r>
      <w:r w:rsidRPr="0036126D">
        <w:fldChar w:fldCharType="separate"/>
      </w:r>
      <w:r w:rsidR="00910A73">
        <w:t>7.1</w:t>
      </w:r>
      <w:r w:rsidRPr="0036126D">
        <w:fldChar w:fldCharType="end"/>
      </w:r>
      <w:r w:rsidRPr="0036126D">
        <w:t xml:space="preserve"> presents the results of the </w:t>
      </w:r>
      <w:r w:rsidR="00EF28D0" w:rsidRPr="0036126D">
        <w:t>six</w:t>
      </w:r>
      <w:r w:rsidRPr="0036126D">
        <w:t xml:space="preserve"> </w:t>
      </w:r>
      <w:r w:rsidR="00D924E3" w:rsidRPr="0036126D">
        <w:t xml:space="preserve">quantitative </w:t>
      </w:r>
      <w:r w:rsidRPr="0036126D">
        <w:t xml:space="preserve">case studies </w:t>
      </w:r>
      <w:r w:rsidR="00F30E36" w:rsidRPr="0036126D">
        <w:t>a</w:t>
      </w:r>
      <w:r w:rsidR="00C175BD" w:rsidRPr="0036126D">
        <w:t>s well as provides a discussion of those case studies considered qualitatively.</w:t>
      </w:r>
    </w:p>
    <w:p w:rsidR="00A83EF8" w:rsidRDefault="00A83EF8" w:rsidP="009260BA">
      <w:pPr>
        <w:pStyle w:val="EYBulletedText1"/>
      </w:pPr>
      <w:r>
        <w:t xml:space="preserve">Section </w:t>
      </w:r>
      <w:r>
        <w:fldChar w:fldCharType="begin"/>
      </w:r>
      <w:r>
        <w:instrText xml:space="preserve"> REF _Ref505945984 \r \h </w:instrText>
      </w:r>
      <w:r>
        <w:fldChar w:fldCharType="separate"/>
      </w:r>
      <w:r w:rsidR="00910A73">
        <w:t>7.2</w:t>
      </w:r>
      <w:r>
        <w:fldChar w:fldCharType="end"/>
      </w:r>
      <w:r w:rsidR="001E61F3">
        <w:t xml:space="preserve"> presents </w:t>
      </w:r>
      <w:r w:rsidR="00CC6F6D">
        <w:t>whole-of-</w:t>
      </w:r>
      <w:r w:rsidR="00796ECA">
        <w:t>economy estimates</w:t>
      </w:r>
      <w:r w:rsidR="00775E41">
        <w:t>, including thresholds,</w:t>
      </w:r>
      <w:r w:rsidR="00796ECA">
        <w:t xml:space="preserve"> based on a range of assumed construction profiles for each of the regulatory options and the </w:t>
      </w:r>
      <w:r w:rsidR="006F0013">
        <w:t>non-regulatory</w:t>
      </w:r>
      <w:r w:rsidR="00796ECA">
        <w:t xml:space="preserve"> option</w:t>
      </w:r>
      <w:r w:rsidR="00A55F43">
        <w:t>.</w:t>
      </w:r>
    </w:p>
    <w:p w:rsidR="00A83EF8" w:rsidRDefault="00796ECA" w:rsidP="00013CD3">
      <w:pPr>
        <w:pStyle w:val="EYBulletedText1"/>
      </w:pPr>
      <w:r>
        <w:t xml:space="preserve">Section </w:t>
      </w:r>
      <w:r w:rsidR="00BE2C2A">
        <w:fldChar w:fldCharType="begin"/>
      </w:r>
      <w:r w:rsidR="00BE2C2A">
        <w:instrText xml:space="preserve"> REF _Ref521493662 \r \h </w:instrText>
      </w:r>
      <w:r w:rsidR="00BE2C2A">
        <w:fldChar w:fldCharType="separate"/>
      </w:r>
      <w:r w:rsidR="00910A73">
        <w:t>7.3</w:t>
      </w:r>
      <w:r w:rsidR="00BE2C2A">
        <w:fldChar w:fldCharType="end"/>
      </w:r>
      <w:r w:rsidR="00A46B44">
        <w:t xml:space="preserve"> considers the regulatory burden of the proposed change</w:t>
      </w:r>
      <w:r w:rsidR="00A55F43">
        <w:t>.</w:t>
      </w:r>
    </w:p>
    <w:p w:rsidR="002303DB" w:rsidRDefault="002303DB" w:rsidP="00FD0417">
      <w:pPr>
        <w:pStyle w:val="Heading2"/>
      </w:pPr>
      <w:bookmarkStart w:id="483" w:name="_Ref505945913"/>
      <w:bookmarkStart w:id="484" w:name="_Toc525897799"/>
      <w:r>
        <w:t>Case study analysis</w:t>
      </w:r>
      <w:bookmarkEnd w:id="478"/>
      <w:bookmarkEnd w:id="479"/>
      <w:bookmarkEnd w:id="480"/>
      <w:bookmarkEnd w:id="481"/>
      <w:bookmarkEnd w:id="482"/>
      <w:bookmarkEnd w:id="483"/>
      <w:bookmarkEnd w:id="484"/>
    </w:p>
    <w:p w:rsidR="00B64C98" w:rsidRDefault="002303DB" w:rsidP="00303FA3">
      <w:pPr>
        <w:pStyle w:val="EYBodytextwithparaspace"/>
      </w:pPr>
      <w:r>
        <w:t>The estimated benefits and costs of the proposed policy change for each of the quantified case studies are provided in</w:t>
      </w:r>
      <w:r w:rsidR="008C5CDE">
        <w:t xml:space="preserve"> </w:t>
      </w:r>
      <w:r w:rsidR="00492F47">
        <w:fldChar w:fldCharType="begin"/>
      </w:r>
      <w:r w:rsidR="00492F47">
        <w:instrText xml:space="preserve"> REF _Ref521493751 \h </w:instrText>
      </w:r>
      <w:r w:rsidR="00492F47">
        <w:fldChar w:fldCharType="separate"/>
      </w:r>
      <w:r w:rsidR="00910A73" w:rsidRPr="0036126D">
        <w:t xml:space="preserve">Table </w:t>
      </w:r>
      <w:r w:rsidR="00910A73">
        <w:rPr>
          <w:noProof/>
        </w:rPr>
        <w:t>7</w:t>
      </w:r>
      <w:r w:rsidR="00910A73">
        <w:noBreakHyphen/>
      </w:r>
      <w:r w:rsidR="00910A73">
        <w:rPr>
          <w:noProof/>
        </w:rPr>
        <w:t>1</w:t>
      </w:r>
      <w:r w:rsidR="00492F47">
        <w:fldChar w:fldCharType="end"/>
      </w:r>
      <w:r>
        <w:t>. These results are driven by a range of assumptions regarding the distance and time involved to travel to each facility, population and visitation, and spending.</w:t>
      </w:r>
      <w:r w:rsidRPr="0006653B">
        <w:t xml:space="preserve"> </w:t>
      </w:r>
      <w:r>
        <w:t xml:space="preserve">A detailed </w:t>
      </w:r>
      <w:r w:rsidR="00D5643A">
        <w:t>overview of the assumptions</w:t>
      </w:r>
      <w:r>
        <w:t xml:space="preserve"> is provided in </w:t>
      </w:r>
      <w:r w:rsidR="00F200F5">
        <w:t>Appendix A</w:t>
      </w:r>
      <w:r>
        <w:t xml:space="preserve">. </w:t>
      </w:r>
    </w:p>
    <w:p w:rsidR="00A15A9E" w:rsidRPr="0036126D" w:rsidRDefault="00984733" w:rsidP="00303FA3">
      <w:pPr>
        <w:pStyle w:val="EYBodytextwithparaspace"/>
      </w:pPr>
      <w:r w:rsidRPr="0036126D">
        <w:t xml:space="preserve">These case studies </w:t>
      </w:r>
      <w:r w:rsidR="009E720E" w:rsidRPr="0036126D">
        <w:t>are presented</w:t>
      </w:r>
      <w:r w:rsidRPr="0036126D">
        <w:t xml:space="preserve"> </w:t>
      </w:r>
      <w:r w:rsidR="009E720E" w:rsidRPr="0036126D">
        <w:t xml:space="preserve">using </w:t>
      </w:r>
      <w:r w:rsidR="004B5A8D" w:rsidRPr="0036126D">
        <w:t>co-l</w:t>
      </w:r>
      <w:r w:rsidR="00877B74" w:rsidRPr="0036126D">
        <w:t>ocated</w:t>
      </w:r>
      <w:r w:rsidR="009E720E" w:rsidRPr="0036126D">
        <w:t xml:space="preserve"> Option A as a central case for analysis</w:t>
      </w:r>
      <w:r w:rsidR="0052242C" w:rsidRPr="0036126D">
        <w:t xml:space="preserve">. </w:t>
      </w:r>
      <w:r w:rsidR="009E720E" w:rsidRPr="0036126D">
        <w:t xml:space="preserve">This is </w:t>
      </w:r>
      <w:r w:rsidR="0052242C" w:rsidRPr="0036126D">
        <w:t>b</w:t>
      </w:r>
      <w:r w:rsidR="00877B74" w:rsidRPr="0036126D">
        <w:t>ased on stakeholder feedback</w:t>
      </w:r>
      <w:r w:rsidR="009E720E" w:rsidRPr="0036126D">
        <w:t xml:space="preserve"> on</w:t>
      </w:r>
      <w:r w:rsidR="00877B74" w:rsidRPr="0036126D">
        <w:t xml:space="preserve"> </w:t>
      </w:r>
      <w:r w:rsidR="00F200F5" w:rsidRPr="0036126D">
        <w:t xml:space="preserve">the </w:t>
      </w:r>
      <w:r w:rsidR="00877B74" w:rsidRPr="0036126D">
        <w:t xml:space="preserve">design requirements </w:t>
      </w:r>
      <w:r w:rsidR="009E720E" w:rsidRPr="0036126D">
        <w:t>from the</w:t>
      </w:r>
      <w:r w:rsidR="00F200F5" w:rsidRPr="0036126D">
        <w:t xml:space="preserve"> Consultation RIS </w:t>
      </w:r>
      <w:r w:rsidR="009E720E" w:rsidRPr="0036126D">
        <w:t xml:space="preserve">that </w:t>
      </w:r>
      <w:r w:rsidR="00877B74" w:rsidRPr="0036126D">
        <w:t xml:space="preserve">have been revised </w:t>
      </w:r>
      <w:r w:rsidR="00F200F5" w:rsidRPr="0036126D">
        <w:t xml:space="preserve">for the Final RIS </w:t>
      </w:r>
      <w:r w:rsidR="009E720E" w:rsidRPr="0036126D">
        <w:t xml:space="preserve">to recognise </w:t>
      </w:r>
      <w:r w:rsidR="00877B74" w:rsidRPr="0036126D">
        <w:t>reduced costs</w:t>
      </w:r>
      <w:r w:rsidR="009E720E" w:rsidRPr="0036126D">
        <w:t>, without a corresponding loss in benefits</w:t>
      </w:r>
      <w:r w:rsidRPr="0036126D">
        <w:t>.</w:t>
      </w:r>
      <w:r w:rsidR="0052242C" w:rsidRPr="0036126D">
        <w:t xml:space="preserve"> </w:t>
      </w:r>
      <w:r w:rsidRPr="0036126D">
        <w:t xml:space="preserve"> </w:t>
      </w:r>
    </w:p>
    <w:p w:rsidR="008F4079" w:rsidRPr="0036126D" w:rsidRDefault="0084507A" w:rsidP="007E1FF5">
      <w:pPr>
        <w:pStyle w:val="EYSubheading"/>
      </w:pPr>
      <w:r w:rsidRPr="007E1FF5">
        <w:rPr>
          <w:sz w:val="24"/>
        </w:rPr>
        <w:t>Shopping centres, museums and stadiums</w:t>
      </w:r>
    </w:p>
    <w:p w:rsidR="008F4079" w:rsidRPr="0036126D" w:rsidRDefault="008F4079" w:rsidP="008F4079">
      <w:pPr>
        <w:pStyle w:val="EYBodytextwithparaspace"/>
      </w:pPr>
      <w:r w:rsidRPr="0036126D">
        <w:t xml:space="preserve">The case study analysis for shopping centres, museums and stadiums measured the ‘use value’ of each additional trip that could be considered representative of a </w:t>
      </w:r>
      <w:r w:rsidR="002D118B" w:rsidRPr="0036126D">
        <w:t xml:space="preserve">Class </w:t>
      </w:r>
      <w:r w:rsidRPr="0036126D">
        <w:t>6 or Class 9b assembly building. The basis of our modelling approach for these case studies can be found in the environmental economics literature – specifically, the value of a particular site is often estimated by using the cost of travel to and from that site. Although sufficient data were not available to use the Travel Cost Method in its entirety, the underlying rationale remains the same.</w:t>
      </w:r>
    </w:p>
    <w:p w:rsidR="008F4079" w:rsidRPr="0036126D" w:rsidRDefault="008F4079" w:rsidP="00681E1A">
      <w:pPr>
        <w:pStyle w:val="EYBodytextwithparaspace"/>
        <w:spacing w:after="200"/>
      </w:pPr>
      <w:r w:rsidRPr="0036126D">
        <w:t>Our analysis for shopping centres, museums and stadiums consists of estimating the level of benefit that would be g</w:t>
      </w:r>
      <w:r w:rsidR="00681E1A">
        <w:t>enerated under three scenarios:</w:t>
      </w:r>
    </w:p>
    <w:p w:rsidR="008F4079" w:rsidRPr="0036126D" w:rsidRDefault="008F4079" w:rsidP="008F4079">
      <w:pPr>
        <w:pStyle w:val="EYBulletedText1"/>
      </w:pPr>
      <w:r w:rsidRPr="0036126D">
        <w:t>Break</w:t>
      </w:r>
      <w:r w:rsidR="001440BA">
        <w:t>-</w:t>
      </w:r>
      <w:r w:rsidRPr="0036126D">
        <w:t xml:space="preserve">Even Scenario </w:t>
      </w:r>
      <w:r w:rsidR="00E05810" w:rsidRPr="0036126D">
        <w:t>–</w:t>
      </w:r>
      <w:r w:rsidRPr="0036126D">
        <w:t xml:space="preserve"> This can be considered as the minimum value willingness to pay (WTP) that would be required in order for use values to exceed capital and ongoing costs. In other words it can roughly be thought of as the ‘break</w:t>
      </w:r>
      <w:r w:rsidR="001440BA">
        <w:t>-</w:t>
      </w:r>
      <w:r w:rsidRPr="0036126D">
        <w:t>even’ point, at which the total benefits equal total costs.</w:t>
      </w:r>
    </w:p>
    <w:p w:rsidR="008F4079" w:rsidRPr="0036126D" w:rsidRDefault="008F4079" w:rsidP="008F4079">
      <w:pPr>
        <w:pStyle w:val="EYBulletedText1"/>
      </w:pPr>
      <w:r w:rsidRPr="0036126D">
        <w:t xml:space="preserve">Estimated travel cost per visit </w:t>
      </w:r>
      <w:r w:rsidR="00E05810" w:rsidRPr="0036126D">
        <w:t>–</w:t>
      </w:r>
      <w:r w:rsidRPr="0036126D">
        <w:t xml:space="preserve"> The assumption here is that in order for people to make a trip to a shopping centre, museum or stadium, their consumer surplus (‘utility’ or ‘enjoyment’) would have to be at least as much as what it costs them to get there.  </w:t>
      </w:r>
      <w:r w:rsidRPr="0036126D">
        <w:lastRenderedPageBreak/>
        <w:t xml:space="preserve">In other words, if a person is going to spend $50 (including travel cost and entry fee) to go to a football match, they would want to get at least $50 worth of additional enjoyment, over and above the $50 cost.  We have assumed that this is the upper bound value for WTP. </w:t>
      </w:r>
    </w:p>
    <w:p w:rsidR="008F4079" w:rsidRPr="0036126D" w:rsidRDefault="008F4079" w:rsidP="001D32FD">
      <w:pPr>
        <w:pStyle w:val="EYBulletedText1"/>
      </w:pPr>
      <w:r w:rsidRPr="0036126D">
        <w:t>Mid-Point – The mid-point between the Break</w:t>
      </w:r>
      <w:r w:rsidR="001440BA">
        <w:t>-</w:t>
      </w:r>
      <w:r w:rsidRPr="0036126D">
        <w:t xml:space="preserve">Even scenario and the estimated travel cost </w:t>
      </w:r>
      <w:r w:rsidR="009E720E" w:rsidRPr="0036126D">
        <w:t xml:space="preserve">is provided in recognition of the </w:t>
      </w:r>
      <w:r w:rsidRPr="0036126D">
        <w:t>range of different benefit levels</w:t>
      </w:r>
      <w:r w:rsidR="009E720E" w:rsidRPr="0036126D">
        <w:t xml:space="preserve"> produced</w:t>
      </w:r>
      <w:r w:rsidRPr="0036126D">
        <w:t>.</w:t>
      </w:r>
    </w:p>
    <w:p w:rsidR="00A43281" w:rsidRPr="0036126D" w:rsidRDefault="00A43281" w:rsidP="00E30DB1">
      <w:pPr>
        <w:pStyle w:val="EYSubheading"/>
        <w:rPr>
          <w:sz w:val="24"/>
        </w:rPr>
      </w:pPr>
      <w:r w:rsidRPr="0036126D">
        <w:rPr>
          <w:sz w:val="24"/>
        </w:rPr>
        <w:t>Airports</w:t>
      </w:r>
    </w:p>
    <w:p w:rsidR="00030FA3" w:rsidRPr="0036126D" w:rsidRDefault="009E720E" w:rsidP="00303FA3">
      <w:pPr>
        <w:pStyle w:val="EYBodytextwithparaspace"/>
      </w:pPr>
      <w:r w:rsidRPr="0036126D">
        <w:t>A</w:t>
      </w:r>
      <w:r w:rsidR="00030FA3" w:rsidRPr="0036126D">
        <w:t>ccessibility to transport networks was noted by many stakeholders as a policy imperative</w:t>
      </w:r>
      <w:r w:rsidRPr="0036126D">
        <w:t>. However, unlike public transport</w:t>
      </w:r>
      <w:r w:rsidR="00030FA3" w:rsidRPr="0036126D">
        <w:t xml:space="preserve"> it was considered that air travel </w:t>
      </w:r>
      <w:r w:rsidRPr="0036126D">
        <w:t>is less likely to be substituted for other forms of transport. T</w:t>
      </w:r>
      <w:r w:rsidR="00030FA3" w:rsidRPr="0036126D">
        <w:t xml:space="preserve">he provision of AACFs at airports would </w:t>
      </w:r>
      <w:r w:rsidRPr="0036126D">
        <w:t xml:space="preserve">therefore </w:t>
      </w:r>
      <w:r w:rsidR="00030FA3" w:rsidRPr="0036126D">
        <w:t xml:space="preserve">have a </w:t>
      </w:r>
      <w:r w:rsidRPr="0036126D">
        <w:t xml:space="preserve">more </w:t>
      </w:r>
      <w:r w:rsidR="00030FA3" w:rsidRPr="0036126D">
        <w:t xml:space="preserve">profound impact on the core and non-core cohorts. </w:t>
      </w:r>
      <w:r w:rsidR="00B067D8" w:rsidRPr="0036126D">
        <w:t xml:space="preserve">This assumption is supported by the views of stakeholders who described the differing characteristics of journeys that involve air travel compared to journeys that use other modes of transport. </w:t>
      </w:r>
    </w:p>
    <w:p w:rsidR="00A5340D" w:rsidRPr="0036126D" w:rsidRDefault="00A5340D" w:rsidP="00CF05D1">
      <w:pPr>
        <w:pStyle w:val="EYBodytextwithparaspace"/>
      </w:pPr>
      <w:r w:rsidRPr="0036126D">
        <w:t>A disability advocate highlighted the challenges of air travel in particular by describing the following journey:</w:t>
      </w:r>
    </w:p>
    <w:p w:rsidR="00A5340D" w:rsidRPr="00CF05D1" w:rsidRDefault="00A5340D" w:rsidP="00CF05D1">
      <w:pPr>
        <w:pStyle w:val="EYBodytextwithparaspace"/>
        <w:ind w:left="720"/>
        <w:rPr>
          <w:i/>
        </w:rPr>
      </w:pPr>
      <w:r w:rsidRPr="00CF05D1">
        <w:rPr>
          <w:i/>
        </w:rPr>
        <w:t>“Imagine taking a plane trip from Sydney to Melbourne. As we live on the South Coast of NSW that's a three hour journey to the airport. We check in one hour prior to departure, have one hour travel time to Melbourne and minimum of another hour to reach a CBD hotel. For our Adult child that's a minimum of 6 hours until he can be changed from his soiled nappy.”</w:t>
      </w:r>
    </w:p>
    <w:p w:rsidR="00A5340D" w:rsidRPr="0036126D" w:rsidRDefault="00A5340D" w:rsidP="00303FA3">
      <w:pPr>
        <w:pStyle w:val="EYBodytextwithparaspace"/>
      </w:pPr>
      <w:r w:rsidRPr="0036126D">
        <w:t xml:space="preserve">This </w:t>
      </w:r>
      <w:r w:rsidR="009E720E" w:rsidRPr="0036126D">
        <w:t>analysis</w:t>
      </w:r>
      <w:r w:rsidRPr="0036126D">
        <w:t xml:space="preserve"> aims to consider the merit</w:t>
      </w:r>
      <w:r w:rsidR="009E720E" w:rsidRPr="0036126D">
        <w:t>s</w:t>
      </w:r>
      <w:r w:rsidRPr="0036126D">
        <w:t xml:space="preserve"> of mandating AACFs for airport terminals with passenger services.</w:t>
      </w:r>
    </w:p>
    <w:p w:rsidR="00BC78C6" w:rsidRDefault="00770382" w:rsidP="00303FA3">
      <w:pPr>
        <w:pStyle w:val="EYBodytextwithparaspace"/>
      </w:pPr>
      <w:r w:rsidRPr="0036126D">
        <w:t>A practical difficulty in assessing the case of an airport is the uncertainty with regard to the individual trip benefits. Noting that the value</w:t>
      </w:r>
      <w:r w:rsidR="009B3540">
        <w:t xml:space="preserve"> in this instance</w:t>
      </w:r>
      <w:r w:rsidRPr="0036126D">
        <w:t xml:space="preserve"> is derived from the value of the end destination rather than the value of a trip to the airport itself</w:t>
      </w:r>
      <w:r w:rsidR="009B3540">
        <w:t>,</w:t>
      </w:r>
      <w:r w:rsidRPr="0036126D">
        <w:t xml:space="preserve"> </w:t>
      </w:r>
      <w:r w:rsidR="009B3540">
        <w:t>the ‘total</w:t>
      </w:r>
      <w:r w:rsidR="00BC78C6">
        <w:t>’ trip</w:t>
      </w:r>
      <w:r w:rsidR="009B3540">
        <w:t xml:space="preserve"> value </w:t>
      </w:r>
      <w:r w:rsidR="00BC78C6">
        <w:t>actually</w:t>
      </w:r>
      <w:r w:rsidR="009B3540">
        <w:t xml:space="preserve"> </w:t>
      </w:r>
      <w:r w:rsidR="00BC78C6">
        <w:t>encompasses</w:t>
      </w:r>
      <w:r w:rsidR="009B3540">
        <w:t xml:space="preserve"> a number of </w:t>
      </w:r>
      <w:r w:rsidR="00BC78C6">
        <w:t>unique trips, the amalgam of which make up the ‘total’ trip value</w:t>
      </w:r>
      <w:r w:rsidRPr="0036126D">
        <w:t>.</w:t>
      </w:r>
      <w:r w:rsidR="00BF62D7">
        <w:t xml:space="preserve"> </w:t>
      </w:r>
      <w:r w:rsidR="00BC78C6">
        <w:t xml:space="preserve">From a modelling perspective, it is impossible to accurately disentangle the value of individual components of the ‘total’ trip from the overall value, and thus the value of a trip to an </w:t>
      </w:r>
      <w:r w:rsidR="00F3710E">
        <w:t>a</w:t>
      </w:r>
      <w:r w:rsidR="00BC78C6">
        <w:t xml:space="preserve">irport is not able to be estimated </w:t>
      </w:r>
      <w:r w:rsidR="001A35C9">
        <w:t>using</w:t>
      </w:r>
      <w:r w:rsidR="00BC78C6">
        <w:t xml:space="preserve"> </w:t>
      </w:r>
      <w:r w:rsidR="00BC78C6" w:rsidRPr="0036126D">
        <w:t xml:space="preserve">the same </w:t>
      </w:r>
      <w:r w:rsidR="001A35C9">
        <w:t>method</w:t>
      </w:r>
      <w:r w:rsidR="00BC78C6" w:rsidRPr="0036126D">
        <w:t xml:space="preserve"> </w:t>
      </w:r>
      <w:r w:rsidR="001A35C9">
        <w:t>that was used</w:t>
      </w:r>
      <w:r w:rsidR="00BC78C6" w:rsidRPr="0036126D">
        <w:t xml:space="preserve"> for the other case studies</w:t>
      </w:r>
      <w:r w:rsidR="006C52C0">
        <w:t>.</w:t>
      </w:r>
    </w:p>
    <w:p w:rsidR="00770382" w:rsidRPr="0036126D" w:rsidRDefault="00833B37" w:rsidP="00303FA3">
      <w:pPr>
        <w:pStyle w:val="EYBodytextwithparaspace"/>
      </w:pPr>
      <w:r w:rsidRPr="0036126D">
        <w:t>As a result, in lieu of</w:t>
      </w:r>
      <w:r w:rsidR="007D7D29" w:rsidRPr="0036126D">
        <w:t xml:space="preserve"> estimating individual trip benefits, this analysis has focussed on the value a benefit would </w:t>
      </w:r>
      <w:r w:rsidR="007D7D29" w:rsidRPr="0036126D">
        <w:rPr>
          <w:i/>
        </w:rPr>
        <w:t>need to be</w:t>
      </w:r>
      <w:r w:rsidR="007D7D29" w:rsidRPr="0036126D">
        <w:t xml:space="preserve"> </w:t>
      </w:r>
      <w:r w:rsidR="00F3710E">
        <w:t>i</w:t>
      </w:r>
      <w:r w:rsidR="007D7D29" w:rsidRPr="0036126D">
        <w:t>n order for the costs of installing an AACF to be covered by the benefits.</w:t>
      </w:r>
    </w:p>
    <w:p w:rsidR="007D7D29" w:rsidRPr="0036126D" w:rsidRDefault="007D7D29" w:rsidP="00681E1A">
      <w:pPr>
        <w:pStyle w:val="EYBodytextwithparaspace"/>
        <w:keepNext/>
        <w:spacing w:after="200"/>
      </w:pPr>
      <w:r w:rsidRPr="0036126D">
        <w:t>Key methodological points include:</w:t>
      </w:r>
    </w:p>
    <w:p w:rsidR="000C35A6" w:rsidRPr="0036126D" w:rsidRDefault="000061CD" w:rsidP="006117C6">
      <w:pPr>
        <w:pStyle w:val="EYBulletedText1"/>
      </w:pPr>
      <w:r w:rsidRPr="0036126D">
        <w:t>P</w:t>
      </w:r>
      <w:r w:rsidR="007D7D29" w:rsidRPr="0036126D">
        <w:t xml:space="preserve">atronage data </w:t>
      </w:r>
      <w:r w:rsidRPr="0036126D">
        <w:t>for a range of small, medium and large Australian airports have been sourced from the B</w:t>
      </w:r>
      <w:r w:rsidR="007D7D29" w:rsidRPr="0036126D">
        <w:t>ureau of Infrastructure, Transport and Regional Economics</w:t>
      </w:r>
      <w:r w:rsidR="00F262A8" w:rsidRPr="0036126D">
        <w:t xml:space="preserve"> (within the Department of Infrastructure, Regional Development and Cities)</w:t>
      </w:r>
      <w:r w:rsidR="008C0BFE">
        <w:t>.</w:t>
      </w:r>
    </w:p>
    <w:p w:rsidR="00D14EDB" w:rsidRDefault="000061CD" w:rsidP="00D14EDB">
      <w:pPr>
        <w:pStyle w:val="EYBulletedText1"/>
      </w:pPr>
      <w:r w:rsidRPr="0036126D">
        <w:t xml:space="preserve">From overall patronage, the number of people with a complex disability expected to travel has been estimated by applying the share of the overall population in the ‘core </w:t>
      </w:r>
      <w:r w:rsidRPr="0036126D">
        <w:lastRenderedPageBreak/>
        <w:t>cohort’ (which is 1.5%), and further applying an estimated propensity for people with a disability to travel, which has bee</w:t>
      </w:r>
      <w:r w:rsidR="00877F8E" w:rsidRPr="0036126D">
        <w:t>n</w:t>
      </w:r>
      <w:r w:rsidRPr="0036126D">
        <w:t xml:space="preserve"> sourced from the literature</w:t>
      </w:r>
      <w:r w:rsidR="000F6016">
        <w:t>.</w:t>
      </w:r>
      <w:r w:rsidRPr="002C36F5">
        <w:rPr>
          <w:rStyle w:val="FootnoteReference"/>
          <w:sz w:val="24"/>
          <w:szCs w:val="24"/>
        </w:rPr>
        <w:footnoteReference w:id="65"/>
      </w:r>
    </w:p>
    <w:p w:rsidR="00A43281" w:rsidRPr="0036126D" w:rsidRDefault="00A43281" w:rsidP="00A43281">
      <w:pPr>
        <w:pStyle w:val="EYSubheading"/>
        <w:rPr>
          <w:sz w:val="24"/>
        </w:rPr>
      </w:pPr>
      <w:r w:rsidRPr="0036126D">
        <w:rPr>
          <w:sz w:val="24"/>
        </w:rPr>
        <w:t>Public aquatic facilities</w:t>
      </w:r>
    </w:p>
    <w:p w:rsidR="003B0460" w:rsidRPr="0036126D" w:rsidRDefault="003B0460" w:rsidP="0084507A">
      <w:pPr>
        <w:pStyle w:val="EYBodytextwithparaspace"/>
      </w:pPr>
      <w:r w:rsidRPr="0036126D">
        <w:t xml:space="preserve">As outlined in the Premises Standards </w:t>
      </w:r>
      <w:r w:rsidR="00F3710E">
        <w:t>r</w:t>
      </w:r>
      <w:r w:rsidRPr="0036126D">
        <w:t>eview</w:t>
      </w:r>
      <w:r w:rsidR="00C125BA">
        <w:t>,</w:t>
      </w:r>
      <w:r w:rsidRPr="00DD6CB8">
        <w:rPr>
          <w:rStyle w:val="FootnoteReference"/>
          <w:sz w:val="24"/>
          <w:szCs w:val="24"/>
        </w:rPr>
        <w:footnoteReference w:id="66"/>
      </w:r>
      <w:r w:rsidRPr="0036126D">
        <w:t xml:space="preserve"> a number of submissions called for AACFs to be included </w:t>
      </w:r>
      <w:r w:rsidR="00F3710E">
        <w:t>at</w:t>
      </w:r>
      <w:r w:rsidR="00F3710E" w:rsidRPr="0036126D">
        <w:t xml:space="preserve"> </w:t>
      </w:r>
      <w:r w:rsidRPr="0036126D">
        <w:t xml:space="preserve">swimming pools, commenting that “if accessible entry and exits are required, then appropriate changing and sanitary facilities also need to be provided.” </w:t>
      </w:r>
      <w:r w:rsidR="00FC1005" w:rsidRPr="0036126D">
        <w:t>This case study aims to consider</w:t>
      </w:r>
      <w:r w:rsidR="008D730B" w:rsidRPr="0036126D">
        <w:t xml:space="preserve"> the merit of mandating AACFs for indoor swimming pools.</w:t>
      </w:r>
    </w:p>
    <w:p w:rsidR="000061CD" w:rsidRPr="0036126D" w:rsidRDefault="001F060D" w:rsidP="00681E1A">
      <w:pPr>
        <w:pStyle w:val="EYBodytextwithparaspace"/>
        <w:spacing w:after="200"/>
      </w:pPr>
      <w:r w:rsidRPr="0036126D">
        <w:t>The Royal Lifesaving Society estimated the total health benefits of a trip to a swimming pool to be $26 per trip</w:t>
      </w:r>
      <w:r w:rsidR="00C125BA">
        <w:t>.</w:t>
      </w:r>
      <w:r w:rsidR="000061CD" w:rsidRPr="00DD6CB8">
        <w:rPr>
          <w:rStyle w:val="FootnoteReference"/>
          <w:sz w:val="24"/>
          <w:szCs w:val="24"/>
        </w:rPr>
        <w:footnoteReference w:id="67"/>
      </w:r>
      <w:r w:rsidRPr="0036126D">
        <w:t xml:space="preserve"> This estimate has been used as a benchmark assumption in the generation of </w:t>
      </w:r>
      <w:r w:rsidR="00CC6F6D" w:rsidRPr="0036126D">
        <w:t>whole</w:t>
      </w:r>
      <w:r w:rsidR="00CC6F6D">
        <w:t>-</w:t>
      </w:r>
      <w:r w:rsidR="00CC6F6D" w:rsidRPr="0036126D">
        <w:t>of</w:t>
      </w:r>
      <w:r w:rsidR="00CC6F6D">
        <w:t>-</w:t>
      </w:r>
      <w:r w:rsidRPr="0036126D">
        <w:t>economy benefits for swimming pools.</w:t>
      </w:r>
      <w:r w:rsidR="000061CD" w:rsidRPr="0036126D">
        <w:t xml:space="preserve"> </w:t>
      </w:r>
      <w:r w:rsidR="00081103" w:rsidRPr="0036126D">
        <w:t>Two</w:t>
      </w:r>
      <w:r w:rsidR="00540A5D" w:rsidRPr="0036126D">
        <w:t xml:space="preserve"> points are </w:t>
      </w:r>
      <w:r w:rsidR="000061CD" w:rsidRPr="0036126D">
        <w:t xml:space="preserve">worth </w:t>
      </w:r>
      <w:r w:rsidR="00E03AA3" w:rsidRPr="0036126D">
        <w:t xml:space="preserve">noting in applying </w:t>
      </w:r>
      <w:r w:rsidR="000061CD" w:rsidRPr="0036126D">
        <w:t>this estimate</w:t>
      </w:r>
      <w:r w:rsidR="00C125BA">
        <w:t>:</w:t>
      </w:r>
      <w:r w:rsidR="000069EF" w:rsidRPr="00DD6CB8">
        <w:rPr>
          <w:rStyle w:val="FootnoteReference"/>
          <w:sz w:val="24"/>
          <w:szCs w:val="24"/>
        </w:rPr>
        <w:footnoteReference w:id="68"/>
      </w:r>
    </w:p>
    <w:p w:rsidR="000061CD" w:rsidRPr="0036126D" w:rsidRDefault="000061CD" w:rsidP="006117C6">
      <w:pPr>
        <w:pStyle w:val="EYBulletedText1"/>
      </w:pPr>
      <w:r w:rsidRPr="0036126D">
        <w:t xml:space="preserve">First, the estimate </w:t>
      </w:r>
      <w:r w:rsidR="003E4825">
        <w:t xml:space="preserve">of $26 per trip </w:t>
      </w:r>
      <w:r w:rsidRPr="0036126D">
        <w:t xml:space="preserve">was for people with </w:t>
      </w:r>
      <w:r w:rsidR="00E03AA3" w:rsidRPr="0036126D">
        <w:t>‘</w:t>
      </w:r>
      <w:r w:rsidRPr="0036126D">
        <w:t>minor</w:t>
      </w:r>
      <w:r w:rsidR="00E03AA3" w:rsidRPr="0036126D">
        <w:t>’</w:t>
      </w:r>
      <w:r w:rsidRPr="0036126D">
        <w:t xml:space="preserve"> disabilities, not complex disabilities</w:t>
      </w:r>
      <w:r w:rsidR="003E4825">
        <w:t>. However,</w:t>
      </w:r>
      <w:r w:rsidRPr="0036126D">
        <w:t xml:space="preserve"> the higher disease burden for people with </w:t>
      </w:r>
      <w:r w:rsidR="001E6890" w:rsidRPr="0036126D">
        <w:t>c</w:t>
      </w:r>
      <w:r w:rsidRPr="0036126D">
        <w:t>omplex</w:t>
      </w:r>
      <w:r w:rsidR="00E03AA3" w:rsidRPr="0036126D">
        <w:t xml:space="preserve"> disability</w:t>
      </w:r>
      <w:r w:rsidR="003E4825">
        <w:t xml:space="preserve"> relative to minor disabilities</w:t>
      </w:r>
      <w:r w:rsidR="002662EF" w:rsidRPr="0036126D">
        <w:t xml:space="preserve"> </w:t>
      </w:r>
      <w:r w:rsidR="003E4825">
        <w:t>means</w:t>
      </w:r>
      <w:r w:rsidR="00E03AA3" w:rsidRPr="0036126D">
        <w:t xml:space="preserve"> </w:t>
      </w:r>
      <w:r w:rsidR="003E4825">
        <w:t>the</w:t>
      </w:r>
      <w:r w:rsidR="003E4825" w:rsidRPr="0036126D">
        <w:t xml:space="preserve"> </w:t>
      </w:r>
      <w:r w:rsidRPr="0036126D">
        <w:t>therapeutic benefits of hydrotherapy would be</w:t>
      </w:r>
      <w:r w:rsidR="003E4825">
        <w:t xml:space="preserve"> expected to be</w:t>
      </w:r>
      <w:r w:rsidRPr="0036126D">
        <w:t xml:space="preserve"> higher</w:t>
      </w:r>
      <w:r w:rsidR="003E4825">
        <w:t>, meaning the estimate of $26 is</w:t>
      </w:r>
      <w:r w:rsidRPr="0036126D">
        <w:t xml:space="preserve"> </w:t>
      </w:r>
      <w:r w:rsidR="00E03AA3" w:rsidRPr="0036126D">
        <w:t>conservative</w:t>
      </w:r>
      <w:r w:rsidR="003E4825">
        <w:t xml:space="preserve"> for our purposes</w:t>
      </w:r>
      <w:r w:rsidRPr="0036126D">
        <w:t>.</w:t>
      </w:r>
      <w:r w:rsidRPr="00D73A41">
        <w:rPr>
          <w:vertAlign w:val="superscript"/>
        </w:rPr>
        <w:footnoteReference w:id="69"/>
      </w:r>
      <w:r w:rsidRPr="00D73A41">
        <w:rPr>
          <w:vertAlign w:val="superscript"/>
        </w:rPr>
        <w:t xml:space="preserve"> </w:t>
      </w:r>
      <w:r w:rsidRPr="0036126D">
        <w:t>In addition to the treatment of conditions, hydrotherapy’s ability to prevent different conditions</w:t>
      </w:r>
      <w:r w:rsidRPr="00D174E6">
        <w:rPr>
          <w:vertAlign w:val="superscript"/>
        </w:rPr>
        <w:footnoteReference w:id="70"/>
      </w:r>
      <w:r w:rsidRPr="00D174E6">
        <w:rPr>
          <w:vertAlign w:val="superscript"/>
        </w:rPr>
        <w:t xml:space="preserve"> </w:t>
      </w:r>
      <w:r w:rsidRPr="0036126D">
        <w:t>and the positive relationship between disease burden and susceptibility to the development of secondary conditions</w:t>
      </w:r>
      <w:r w:rsidRPr="00D73A41">
        <w:rPr>
          <w:vertAlign w:val="superscript"/>
        </w:rPr>
        <w:footnoteReference w:id="71"/>
      </w:r>
      <w:r w:rsidRPr="0036126D">
        <w:t xml:space="preserve"> </w:t>
      </w:r>
      <w:r w:rsidR="00B80266" w:rsidRPr="0036126D">
        <w:t>lends</w:t>
      </w:r>
      <w:r w:rsidRPr="0036126D">
        <w:t xml:space="preserve"> further credence to the ass</w:t>
      </w:r>
      <w:r w:rsidR="00B80266" w:rsidRPr="0036126D">
        <w:t>umpt</w:t>
      </w:r>
      <w:r w:rsidRPr="0036126D">
        <w:t xml:space="preserve">ion that those with </w:t>
      </w:r>
      <w:r w:rsidR="00B80266" w:rsidRPr="0036126D">
        <w:t xml:space="preserve">a </w:t>
      </w:r>
      <w:r w:rsidRPr="0036126D">
        <w:t xml:space="preserve">complex disability would benefit more from hydrotherapy than those with minor disabilities. </w:t>
      </w:r>
    </w:p>
    <w:p w:rsidR="000061CD" w:rsidRPr="0036126D" w:rsidRDefault="000061CD" w:rsidP="006117C6">
      <w:pPr>
        <w:pStyle w:val="EYBulletedText1"/>
      </w:pPr>
      <w:r w:rsidRPr="0036126D">
        <w:t xml:space="preserve">Second, the estimate was made on the basis of hydrotherapy in cold water. It is noted that hydrotherapy is primarily conducted in warm water, and this is where the majority of </w:t>
      </w:r>
      <w:r w:rsidR="003E4825">
        <w:t xml:space="preserve">the health </w:t>
      </w:r>
      <w:r w:rsidR="0012111B">
        <w:t>and</w:t>
      </w:r>
      <w:r w:rsidR="003E4825">
        <w:t xml:space="preserve"> therapeutic </w:t>
      </w:r>
      <w:r w:rsidRPr="0036126D">
        <w:t xml:space="preserve">benefits lie. That said, </w:t>
      </w:r>
      <w:r w:rsidR="00B80266" w:rsidRPr="0036126D">
        <w:t>immersion</w:t>
      </w:r>
      <w:r w:rsidRPr="0036126D">
        <w:t xml:space="preserve"> in cold water is also likely to be effective</w:t>
      </w:r>
      <w:r w:rsidR="00B80266" w:rsidRPr="0036126D">
        <w:t xml:space="preserve"> in alleviating the symptoms of those with a complex disability</w:t>
      </w:r>
      <w:r w:rsidRPr="0036126D">
        <w:t xml:space="preserve"> (albeit to a lesser extent).</w:t>
      </w:r>
    </w:p>
    <w:p w:rsidR="0084507A" w:rsidRPr="0036126D" w:rsidRDefault="0084507A" w:rsidP="00456DE3">
      <w:pPr>
        <w:pStyle w:val="Heading3"/>
      </w:pPr>
      <w:r w:rsidRPr="0036126D">
        <w:t>Case study results</w:t>
      </w:r>
    </w:p>
    <w:p w:rsidR="00F262A8" w:rsidRPr="0036126D" w:rsidRDefault="00F262A8" w:rsidP="00456DE3">
      <w:pPr>
        <w:pStyle w:val="EYBodytextwithparaspace"/>
        <w:keepNext/>
      </w:pPr>
      <w:r w:rsidRPr="0036126D">
        <w:t xml:space="preserve">The results of the case studies, expressed in terms of the benefit per </w:t>
      </w:r>
      <w:r w:rsidR="007C627A" w:rsidRPr="0036126D">
        <w:t>trip</w:t>
      </w:r>
      <w:r w:rsidRPr="0036126D">
        <w:t xml:space="preserve"> that would be required for </w:t>
      </w:r>
      <w:r w:rsidR="007C627A" w:rsidRPr="0036126D">
        <w:t>the</w:t>
      </w:r>
      <w:r w:rsidRPr="0036126D">
        <w:t xml:space="preserve"> </w:t>
      </w:r>
      <w:r w:rsidR="007C627A" w:rsidRPr="0036126D">
        <w:t>benefits</w:t>
      </w:r>
      <w:r w:rsidRPr="0036126D">
        <w:t xml:space="preserve"> to offset the costs, are provided in the tables below. </w:t>
      </w:r>
      <w:r w:rsidR="007C627A" w:rsidRPr="0036126D">
        <w:t>In</w:t>
      </w:r>
      <w:r w:rsidRPr="0036126D">
        <w:t xml:space="preserve"> the case of </w:t>
      </w:r>
      <w:r w:rsidRPr="0036126D">
        <w:lastRenderedPageBreak/>
        <w:t>shopping centres</w:t>
      </w:r>
      <w:r w:rsidR="007C627A" w:rsidRPr="0036126D">
        <w:t>,</w:t>
      </w:r>
      <w:r w:rsidRPr="0036126D">
        <w:t xml:space="preserve"> museums and stadiums, the estimated benefits from an individual facility over a ten year period are also presented.</w:t>
      </w:r>
    </w:p>
    <w:p w:rsidR="007C627A" w:rsidRPr="0036126D" w:rsidRDefault="007C627A" w:rsidP="00681E1A">
      <w:pPr>
        <w:pStyle w:val="EYBodytextwithparaspace"/>
        <w:keepNext/>
        <w:spacing w:after="200"/>
      </w:pPr>
      <w:r w:rsidRPr="0036126D">
        <w:t>Given that the costs are assumed to remain unchanged, the differences in the results for shopping centres, museums and stadiums are due to differences in two variables:</w:t>
      </w:r>
    </w:p>
    <w:p w:rsidR="007C627A" w:rsidRPr="0036126D" w:rsidRDefault="007C627A" w:rsidP="00842982">
      <w:pPr>
        <w:pStyle w:val="EYBulletedText1"/>
      </w:pPr>
      <w:r w:rsidRPr="0036126D">
        <w:t>The assumed number of unique visitors within the core cohort of people with a complex disability</w:t>
      </w:r>
      <w:r w:rsidR="008C0BFE">
        <w:t>.</w:t>
      </w:r>
    </w:p>
    <w:p w:rsidR="00984733" w:rsidRPr="0036126D" w:rsidRDefault="007C627A" w:rsidP="00842982">
      <w:pPr>
        <w:pStyle w:val="EYBulletedText1"/>
      </w:pPr>
      <w:r w:rsidRPr="0036126D">
        <w:t xml:space="preserve">The estimated travel costs, incorporating assumed mileage costs as well as entrance fees, as described in </w:t>
      </w:r>
      <w:r w:rsidRPr="0036126D">
        <w:fldChar w:fldCharType="begin"/>
      </w:r>
      <w:r w:rsidRPr="0036126D">
        <w:instrText xml:space="preserve"> REF _Ref506811113 \r \h  \* MERGEFORMAT </w:instrText>
      </w:r>
      <w:r w:rsidRPr="0036126D">
        <w:fldChar w:fldCharType="separate"/>
      </w:r>
      <w:r w:rsidR="00910A73">
        <w:t>Appendix A</w:t>
      </w:r>
      <w:r w:rsidRPr="0036126D">
        <w:fldChar w:fldCharType="end"/>
      </w:r>
      <w:r w:rsidRPr="0036126D">
        <w:t>.</w:t>
      </w:r>
    </w:p>
    <w:p w:rsidR="002303DB" w:rsidRPr="0036126D" w:rsidRDefault="002303DB" w:rsidP="009260BA">
      <w:pPr>
        <w:pStyle w:val="Caption"/>
        <w:keepNext/>
      </w:pPr>
      <w:bookmarkStart w:id="485" w:name="_Ref521493751"/>
      <w:bookmarkStart w:id="486" w:name="_Ref504380746"/>
      <w:bookmarkStart w:id="487" w:name="_Toc504063149"/>
      <w:bookmarkStart w:id="488" w:name="_Toc504401749"/>
      <w:bookmarkStart w:id="489" w:name="_Toc525897815"/>
      <w:r w:rsidRPr="0036126D">
        <w:t xml:space="preserve">Table </w:t>
      </w:r>
      <w:r w:rsidR="00D128AA">
        <w:rPr>
          <w:noProof/>
        </w:rPr>
        <w:fldChar w:fldCharType="begin"/>
      </w:r>
      <w:r w:rsidR="00D128AA">
        <w:rPr>
          <w:noProof/>
        </w:rPr>
        <w:instrText xml:space="preserve"> STYLEREF 1 \s </w:instrText>
      </w:r>
      <w:r w:rsidR="00D128AA">
        <w:rPr>
          <w:noProof/>
        </w:rPr>
        <w:fldChar w:fldCharType="separate"/>
      </w:r>
      <w:r w:rsidR="00910A73">
        <w:rPr>
          <w:noProof/>
        </w:rPr>
        <w:t>7</w:t>
      </w:r>
      <w:r w:rsidR="00D128AA">
        <w:rPr>
          <w:noProof/>
        </w:rPr>
        <w:fldChar w:fldCharType="end"/>
      </w:r>
      <w:r w:rsidR="00325A73">
        <w:noBreakHyphen/>
      </w:r>
      <w:r w:rsidR="00D128AA">
        <w:rPr>
          <w:noProof/>
        </w:rPr>
        <w:fldChar w:fldCharType="begin"/>
      </w:r>
      <w:r w:rsidR="00D128AA">
        <w:rPr>
          <w:noProof/>
        </w:rPr>
        <w:instrText xml:space="preserve"> SEQ Table \* ARABIC \s 1 </w:instrText>
      </w:r>
      <w:r w:rsidR="00D128AA">
        <w:rPr>
          <w:noProof/>
        </w:rPr>
        <w:fldChar w:fldCharType="separate"/>
      </w:r>
      <w:r w:rsidR="00910A73">
        <w:rPr>
          <w:noProof/>
        </w:rPr>
        <w:t>1</w:t>
      </w:r>
      <w:r w:rsidR="00D128AA">
        <w:rPr>
          <w:noProof/>
        </w:rPr>
        <w:fldChar w:fldCharType="end"/>
      </w:r>
      <w:bookmarkEnd w:id="485"/>
      <w:bookmarkEnd w:id="486"/>
      <w:r w:rsidRPr="0036126D">
        <w:t>: Modelling results for case studies</w:t>
      </w:r>
      <w:bookmarkEnd w:id="487"/>
      <w:bookmarkEnd w:id="488"/>
      <w:bookmarkEnd w:id="489"/>
      <w:r w:rsidR="00CC1FC3" w:rsidRPr="0036126D">
        <w:t xml:space="preserve"> </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Caption w:val="Table 7 1: Modelling results for case studies"/>
        <w:tblDescription w:val="The modelling results for case studies."/>
      </w:tblPr>
      <w:tblGrid>
        <w:gridCol w:w="3690"/>
        <w:gridCol w:w="1907"/>
        <w:gridCol w:w="1483"/>
        <w:gridCol w:w="1410"/>
        <w:gridCol w:w="1137"/>
      </w:tblGrid>
      <w:tr w:rsidR="001F060D" w:rsidRPr="007C627A" w:rsidTr="00DD6CB8">
        <w:trPr>
          <w:trHeight w:val="290"/>
        </w:trPr>
        <w:tc>
          <w:tcPr>
            <w:tcW w:w="3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1F060D" w:rsidRPr="00C83556" w:rsidRDefault="001F060D" w:rsidP="00DD6CB8">
            <w:pPr>
              <w:keepNext/>
              <w:spacing w:before="60" w:after="60"/>
              <w:jc w:val="left"/>
              <w:rPr>
                <w:rFonts w:eastAsia="Times New Roman" w:cs="Arial"/>
                <w:color w:val="FFFFFF" w:themeColor="background1"/>
                <w:sz w:val="20"/>
                <w:szCs w:val="20"/>
                <w:lang w:eastAsia="en-AU"/>
              </w:rPr>
            </w:pPr>
          </w:p>
        </w:tc>
        <w:tc>
          <w:tcPr>
            <w:tcW w:w="1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1F060D" w:rsidRPr="00C83556" w:rsidRDefault="001F060D" w:rsidP="00DD6CB8">
            <w:pPr>
              <w:keepNext/>
              <w:spacing w:before="60" w:after="60"/>
              <w:jc w:val="left"/>
              <w:rPr>
                <w:rFonts w:eastAsia="Times New Roman" w:cs="Arial"/>
                <w:color w:val="FFFFFF" w:themeColor="background1"/>
                <w:sz w:val="20"/>
                <w:szCs w:val="20"/>
                <w:lang w:eastAsia="en-AU"/>
              </w:rPr>
            </w:pPr>
            <w:r w:rsidRPr="00C83556">
              <w:rPr>
                <w:rFonts w:eastAsia="Times New Roman" w:cs="Arial"/>
                <w:color w:val="FFFFFF" w:themeColor="background1"/>
                <w:sz w:val="20"/>
                <w:szCs w:val="20"/>
                <w:lang w:eastAsia="en-AU"/>
              </w:rPr>
              <w:t>Major shopping centre</w:t>
            </w:r>
          </w:p>
        </w:tc>
        <w:tc>
          <w:tcPr>
            <w:tcW w:w="14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1F060D" w:rsidRPr="00C83556" w:rsidRDefault="001F060D" w:rsidP="00DD6CB8">
            <w:pPr>
              <w:keepNext/>
              <w:spacing w:before="60" w:after="60"/>
              <w:jc w:val="left"/>
              <w:rPr>
                <w:rFonts w:eastAsia="Times New Roman" w:cs="Arial"/>
                <w:color w:val="FFFFFF" w:themeColor="background1"/>
                <w:sz w:val="20"/>
                <w:szCs w:val="20"/>
                <w:lang w:eastAsia="en-AU"/>
              </w:rPr>
            </w:pPr>
            <w:r w:rsidRPr="00C83556">
              <w:rPr>
                <w:rFonts w:eastAsia="Times New Roman" w:cs="Arial"/>
                <w:color w:val="FFFFFF" w:themeColor="background1"/>
                <w:sz w:val="20"/>
                <w:szCs w:val="20"/>
                <w:lang w:eastAsia="en-AU"/>
              </w:rPr>
              <w:t>Smaller shopping centre</w:t>
            </w:r>
          </w:p>
        </w:tc>
        <w:tc>
          <w:tcPr>
            <w:tcW w:w="1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1F060D" w:rsidRPr="00602F49" w:rsidRDefault="001F060D" w:rsidP="00DD6CB8">
            <w:pPr>
              <w:keepNext/>
              <w:spacing w:before="60" w:after="60"/>
              <w:jc w:val="left"/>
              <w:rPr>
                <w:rFonts w:eastAsia="Times New Roman" w:cs="Arial"/>
                <w:color w:val="FFFFFF" w:themeColor="background1"/>
                <w:sz w:val="20"/>
                <w:szCs w:val="20"/>
                <w:lang w:eastAsia="en-AU"/>
              </w:rPr>
            </w:pPr>
            <w:r w:rsidRPr="00602F49">
              <w:rPr>
                <w:rFonts w:eastAsia="Times New Roman" w:cs="Arial"/>
                <w:color w:val="FFFFFF" w:themeColor="background1"/>
                <w:sz w:val="20"/>
                <w:szCs w:val="20"/>
                <w:lang w:eastAsia="en-AU"/>
              </w:rPr>
              <w:t>Museum</w:t>
            </w:r>
          </w:p>
        </w:tc>
        <w:tc>
          <w:tcPr>
            <w:tcW w:w="1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1F060D" w:rsidRPr="00602F49" w:rsidRDefault="001F060D" w:rsidP="00DD6CB8">
            <w:pPr>
              <w:keepNext/>
              <w:spacing w:before="60" w:after="60"/>
              <w:jc w:val="left"/>
              <w:rPr>
                <w:rFonts w:eastAsia="Times New Roman" w:cs="Arial"/>
                <w:color w:val="FFFFFF" w:themeColor="background1"/>
                <w:sz w:val="20"/>
                <w:szCs w:val="20"/>
                <w:lang w:eastAsia="en-AU"/>
              </w:rPr>
            </w:pPr>
            <w:r w:rsidRPr="00602F49">
              <w:rPr>
                <w:rFonts w:eastAsia="Times New Roman" w:cs="Arial"/>
                <w:color w:val="FFFFFF" w:themeColor="background1"/>
                <w:sz w:val="20"/>
                <w:szCs w:val="20"/>
                <w:lang w:eastAsia="en-AU"/>
              </w:rPr>
              <w:t>Stadium</w:t>
            </w:r>
          </w:p>
        </w:tc>
      </w:tr>
      <w:tr w:rsidR="00E14718" w:rsidRPr="007C627A" w:rsidTr="00DD6CB8">
        <w:trPr>
          <w:trHeight w:val="290"/>
        </w:trPr>
        <w:tc>
          <w:tcPr>
            <w:tcW w:w="3690" w:type="dxa"/>
            <w:tcBorders>
              <w:top w:val="single" w:sz="4" w:space="0" w:color="FFFFFF" w:themeColor="background1"/>
            </w:tcBorders>
            <w:noWrap/>
            <w:hideMark/>
          </w:tcPr>
          <w:p w:rsidR="00E14718" w:rsidRPr="00C83556" w:rsidRDefault="00E14718" w:rsidP="00E14718">
            <w:pPr>
              <w:keepNext/>
              <w:jc w:val="left"/>
              <w:rPr>
                <w:rFonts w:eastAsia="Times New Roman" w:cs="Arial"/>
                <w:color w:val="000000"/>
                <w:sz w:val="20"/>
                <w:szCs w:val="20"/>
                <w:lang w:eastAsia="en-AU"/>
              </w:rPr>
            </w:pPr>
            <w:r w:rsidRPr="00C83556">
              <w:rPr>
                <w:rFonts w:eastAsia="Times New Roman" w:cs="Arial"/>
                <w:color w:val="000000"/>
                <w:sz w:val="20"/>
                <w:szCs w:val="20"/>
                <w:lang w:eastAsia="en-AU"/>
              </w:rPr>
              <w:t>Present Value (PV) of Costs</w:t>
            </w:r>
          </w:p>
        </w:tc>
        <w:tc>
          <w:tcPr>
            <w:tcW w:w="1907" w:type="dxa"/>
            <w:tcBorders>
              <w:top w:val="single" w:sz="4" w:space="0" w:color="FFFFFF" w:themeColor="background1"/>
            </w:tcBorders>
            <w:noWrap/>
            <w:hideMark/>
          </w:tcPr>
          <w:p w:rsidR="00E14718" w:rsidRPr="00C83556" w:rsidRDefault="00E14718" w:rsidP="007E113B">
            <w:pPr>
              <w:pStyle w:val="EYTableText"/>
              <w:keepNext/>
              <w:jc w:val="right"/>
              <w:rPr>
                <w:sz w:val="20"/>
                <w:szCs w:val="20"/>
              </w:rPr>
            </w:pPr>
            <w:r w:rsidRPr="00C83556">
              <w:rPr>
                <w:color w:val="000000"/>
                <w:sz w:val="20"/>
                <w:szCs w:val="20"/>
              </w:rPr>
              <w:t>$32,704</w:t>
            </w:r>
          </w:p>
        </w:tc>
        <w:tc>
          <w:tcPr>
            <w:tcW w:w="1483" w:type="dxa"/>
            <w:tcBorders>
              <w:top w:val="single" w:sz="4" w:space="0" w:color="FFFFFF" w:themeColor="background1"/>
            </w:tcBorders>
            <w:noWrap/>
            <w:hideMark/>
          </w:tcPr>
          <w:p w:rsidR="00E14718" w:rsidRPr="00602F49" w:rsidRDefault="00E14718" w:rsidP="007E113B">
            <w:pPr>
              <w:pStyle w:val="EYTableText"/>
              <w:keepNext/>
              <w:jc w:val="right"/>
              <w:rPr>
                <w:sz w:val="20"/>
                <w:szCs w:val="20"/>
              </w:rPr>
            </w:pPr>
            <w:r w:rsidRPr="00602F49">
              <w:rPr>
                <w:color w:val="000000"/>
                <w:sz w:val="20"/>
                <w:szCs w:val="20"/>
              </w:rPr>
              <w:t>$32,704</w:t>
            </w:r>
          </w:p>
        </w:tc>
        <w:tc>
          <w:tcPr>
            <w:tcW w:w="1410" w:type="dxa"/>
            <w:tcBorders>
              <w:top w:val="single" w:sz="4" w:space="0" w:color="FFFFFF" w:themeColor="background1"/>
            </w:tcBorders>
            <w:noWrap/>
            <w:hideMark/>
          </w:tcPr>
          <w:p w:rsidR="00E14718" w:rsidRPr="00DD6CB8" w:rsidRDefault="00E14718" w:rsidP="007E113B">
            <w:pPr>
              <w:pStyle w:val="EYTableText"/>
              <w:keepNext/>
              <w:jc w:val="right"/>
              <w:rPr>
                <w:sz w:val="20"/>
                <w:szCs w:val="20"/>
              </w:rPr>
            </w:pPr>
            <w:r w:rsidRPr="00602F49">
              <w:rPr>
                <w:color w:val="000000"/>
                <w:sz w:val="20"/>
                <w:szCs w:val="20"/>
              </w:rPr>
              <w:t>$32,704</w:t>
            </w:r>
          </w:p>
        </w:tc>
        <w:tc>
          <w:tcPr>
            <w:tcW w:w="1137" w:type="dxa"/>
            <w:tcBorders>
              <w:top w:val="single" w:sz="4" w:space="0" w:color="FFFFFF" w:themeColor="background1"/>
            </w:tcBorders>
            <w:noWrap/>
            <w:hideMark/>
          </w:tcPr>
          <w:p w:rsidR="00E14718" w:rsidRPr="00DD6CB8" w:rsidRDefault="00E14718" w:rsidP="007E113B">
            <w:pPr>
              <w:pStyle w:val="EYTableText"/>
              <w:keepNext/>
              <w:jc w:val="right"/>
              <w:rPr>
                <w:sz w:val="20"/>
                <w:szCs w:val="20"/>
              </w:rPr>
            </w:pPr>
            <w:r w:rsidRPr="00DD6CB8">
              <w:rPr>
                <w:color w:val="000000"/>
                <w:sz w:val="20"/>
                <w:szCs w:val="20"/>
              </w:rPr>
              <w:t>$32,704</w:t>
            </w:r>
          </w:p>
        </w:tc>
      </w:tr>
      <w:tr w:rsidR="0022711B" w:rsidRPr="007C627A" w:rsidTr="00652602">
        <w:trPr>
          <w:trHeight w:val="290"/>
        </w:trPr>
        <w:tc>
          <w:tcPr>
            <w:tcW w:w="9627" w:type="dxa"/>
            <w:gridSpan w:val="5"/>
            <w:shd w:val="clear" w:color="auto" w:fill="D9D9D9" w:themeFill="background1" w:themeFillShade="D9"/>
            <w:noWrap/>
            <w:hideMark/>
          </w:tcPr>
          <w:p w:rsidR="0022711B" w:rsidRPr="0022711B" w:rsidRDefault="0022711B" w:rsidP="0022711B">
            <w:pPr>
              <w:keepNext/>
              <w:jc w:val="left"/>
              <w:rPr>
                <w:rFonts w:eastAsia="Times New Roman" w:cs="Arial"/>
                <w:b/>
                <w:color w:val="000000"/>
                <w:sz w:val="20"/>
                <w:szCs w:val="20"/>
                <w:lang w:eastAsia="en-AU"/>
              </w:rPr>
            </w:pPr>
            <w:r w:rsidRPr="00C83556">
              <w:rPr>
                <w:rFonts w:eastAsia="Times New Roman" w:cs="Arial"/>
                <w:b/>
                <w:color w:val="000000"/>
                <w:sz w:val="20"/>
                <w:szCs w:val="20"/>
                <w:lang w:eastAsia="en-AU"/>
              </w:rPr>
              <w:t>Scenario</w:t>
            </w:r>
          </w:p>
        </w:tc>
      </w:tr>
      <w:tr w:rsidR="00E14718" w:rsidRPr="007C627A" w:rsidTr="00DD6CB8">
        <w:trPr>
          <w:trHeight w:val="520"/>
        </w:trPr>
        <w:tc>
          <w:tcPr>
            <w:tcW w:w="3690" w:type="dxa"/>
            <w:hideMark/>
          </w:tcPr>
          <w:p w:rsidR="00E14718" w:rsidRPr="00C83556" w:rsidRDefault="00E14718" w:rsidP="00E14718">
            <w:pPr>
              <w:keepNext/>
              <w:jc w:val="left"/>
              <w:rPr>
                <w:rFonts w:eastAsia="Times New Roman" w:cs="Arial"/>
                <w:color w:val="000000"/>
                <w:sz w:val="20"/>
                <w:szCs w:val="20"/>
                <w:lang w:eastAsia="en-AU"/>
              </w:rPr>
            </w:pPr>
            <w:r w:rsidRPr="00C83556">
              <w:rPr>
                <w:rFonts w:eastAsia="Times New Roman" w:cs="Arial"/>
                <w:color w:val="000000"/>
                <w:sz w:val="20"/>
                <w:szCs w:val="20"/>
                <w:lang w:eastAsia="en-AU"/>
              </w:rPr>
              <w:t>Break</w:t>
            </w:r>
            <w:r w:rsidR="001440BA">
              <w:rPr>
                <w:rFonts w:eastAsia="Times New Roman" w:cs="Arial"/>
                <w:color w:val="000000"/>
                <w:sz w:val="20"/>
                <w:szCs w:val="20"/>
                <w:lang w:eastAsia="en-AU"/>
              </w:rPr>
              <w:t>-</w:t>
            </w:r>
            <w:r w:rsidRPr="00C83556">
              <w:rPr>
                <w:rFonts w:eastAsia="Times New Roman" w:cs="Arial"/>
                <w:color w:val="000000"/>
                <w:sz w:val="20"/>
                <w:szCs w:val="20"/>
                <w:lang w:eastAsia="en-AU"/>
              </w:rPr>
              <w:t>Even Point (BE, Required benefit per person per trip to break even)</w:t>
            </w:r>
          </w:p>
        </w:tc>
        <w:tc>
          <w:tcPr>
            <w:tcW w:w="1907" w:type="dxa"/>
            <w:noWrap/>
            <w:hideMark/>
          </w:tcPr>
          <w:p w:rsidR="00E14718" w:rsidRPr="00602F49" w:rsidRDefault="00E14718" w:rsidP="007E113B">
            <w:pPr>
              <w:pStyle w:val="EYTableText"/>
              <w:keepNext/>
              <w:jc w:val="right"/>
              <w:rPr>
                <w:sz w:val="20"/>
                <w:szCs w:val="20"/>
              </w:rPr>
            </w:pPr>
            <w:r w:rsidRPr="00C83556">
              <w:rPr>
                <w:color w:val="000000"/>
                <w:sz w:val="20"/>
                <w:szCs w:val="20"/>
              </w:rPr>
              <w:t>$0.72</w:t>
            </w:r>
          </w:p>
        </w:tc>
        <w:tc>
          <w:tcPr>
            <w:tcW w:w="1483" w:type="dxa"/>
            <w:noWrap/>
            <w:hideMark/>
          </w:tcPr>
          <w:p w:rsidR="00E14718" w:rsidRPr="00602F49" w:rsidRDefault="00E14718" w:rsidP="007E113B">
            <w:pPr>
              <w:pStyle w:val="EYTableText"/>
              <w:keepNext/>
              <w:jc w:val="right"/>
              <w:rPr>
                <w:sz w:val="20"/>
                <w:szCs w:val="20"/>
              </w:rPr>
            </w:pPr>
            <w:r w:rsidRPr="00602F49">
              <w:rPr>
                <w:color w:val="000000"/>
                <w:sz w:val="20"/>
                <w:szCs w:val="20"/>
              </w:rPr>
              <w:t>$2.16</w:t>
            </w:r>
          </w:p>
        </w:tc>
        <w:tc>
          <w:tcPr>
            <w:tcW w:w="1410" w:type="dxa"/>
            <w:noWrap/>
            <w:hideMark/>
          </w:tcPr>
          <w:p w:rsidR="00E14718" w:rsidRPr="00DD6CB8" w:rsidRDefault="00E14718" w:rsidP="007E113B">
            <w:pPr>
              <w:pStyle w:val="EYTableText"/>
              <w:keepNext/>
              <w:jc w:val="right"/>
              <w:rPr>
                <w:sz w:val="20"/>
                <w:szCs w:val="20"/>
              </w:rPr>
            </w:pPr>
            <w:r w:rsidRPr="00DD6CB8">
              <w:rPr>
                <w:color w:val="000000"/>
                <w:sz w:val="20"/>
                <w:szCs w:val="20"/>
              </w:rPr>
              <w:t>$5.71</w:t>
            </w:r>
          </w:p>
        </w:tc>
        <w:tc>
          <w:tcPr>
            <w:tcW w:w="1137" w:type="dxa"/>
            <w:noWrap/>
            <w:hideMark/>
          </w:tcPr>
          <w:p w:rsidR="00E14718" w:rsidRPr="00DD6CB8" w:rsidRDefault="00E14718" w:rsidP="007E113B">
            <w:pPr>
              <w:pStyle w:val="EYTableText"/>
              <w:keepNext/>
              <w:jc w:val="right"/>
              <w:rPr>
                <w:sz w:val="20"/>
                <w:szCs w:val="20"/>
              </w:rPr>
            </w:pPr>
            <w:r w:rsidRPr="00DD6CB8">
              <w:rPr>
                <w:color w:val="000000"/>
                <w:sz w:val="20"/>
                <w:szCs w:val="20"/>
              </w:rPr>
              <w:t>$6.66</w:t>
            </w:r>
          </w:p>
        </w:tc>
      </w:tr>
      <w:tr w:rsidR="00E14718" w:rsidRPr="007C627A" w:rsidTr="00DD6CB8">
        <w:trPr>
          <w:trHeight w:val="290"/>
        </w:trPr>
        <w:tc>
          <w:tcPr>
            <w:tcW w:w="3690" w:type="dxa"/>
            <w:noWrap/>
            <w:hideMark/>
          </w:tcPr>
          <w:p w:rsidR="00E14718" w:rsidRPr="00C83556" w:rsidRDefault="00E14718" w:rsidP="00E14718">
            <w:pPr>
              <w:keepNext/>
              <w:jc w:val="left"/>
              <w:rPr>
                <w:rFonts w:eastAsia="Times New Roman" w:cs="Arial"/>
                <w:color w:val="000000"/>
                <w:sz w:val="20"/>
                <w:szCs w:val="20"/>
                <w:lang w:eastAsia="en-AU"/>
              </w:rPr>
            </w:pPr>
            <w:r w:rsidRPr="00C83556">
              <w:rPr>
                <w:rFonts w:eastAsia="Times New Roman" w:cs="Arial"/>
                <w:color w:val="000000"/>
                <w:sz w:val="20"/>
                <w:szCs w:val="20"/>
                <w:lang w:eastAsia="en-AU"/>
              </w:rPr>
              <w:t>Travel cost per visit (TC)</w:t>
            </w:r>
          </w:p>
        </w:tc>
        <w:tc>
          <w:tcPr>
            <w:tcW w:w="1907" w:type="dxa"/>
            <w:noWrap/>
            <w:hideMark/>
          </w:tcPr>
          <w:p w:rsidR="00E14718" w:rsidRPr="00C83556" w:rsidRDefault="00E14718" w:rsidP="007E113B">
            <w:pPr>
              <w:pStyle w:val="EYTableText"/>
              <w:keepNext/>
              <w:jc w:val="right"/>
              <w:rPr>
                <w:sz w:val="20"/>
                <w:szCs w:val="20"/>
              </w:rPr>
            </w:pPr>
            <w:r w:rsidRPr="00C83556">
              <w:rPr>
                <w:color w:val="000000"/>
                <w:sz w:val="20"/>
                <w:szCs w:val="20"/>
              </w:rPr>
              <w:t>$13.16</w:t>
            </w:r>
          </w:p>
        </w:tc>
        <w:tc>
          <w:tcPr>
            <w:tcW w:w="1483" w:type="dxa"/>
            <w:noWrap/>
            <w:hideMark/>
          </w:tcPr>
          <w:p w:rsidR="00E14718" w:rsidRPr="00602F49" w:rsidRDefault="00E14718" w:rsidP="007E113B">
            <w:pPr>
              <w:pStyle w:val="EYTableText"/>
              <w:keepNext/>
              <w:jc w:val="right"/>
              <w:rPr>
                <w:sz w:val="20"/>
                <w:szCs w:val="20"/>
              </w:rPr>
            </w:pPr>
            <w:r w:rsidRPr="00602F49">
              <w:rPr>
                <w:color w:val="000000"/>
                <w:sz w:val="20"/>
                <w:szCs w:val="20"/>
              </w:rPr>
              <w:t>$13.16</w:t>
            </w:r>
          </w:p>
        </w:tc>
        <w:tc>
          <w:tcPr>
            <w:tcW w:w="1410" w:type="dxa"/>
            <w:noWrap/>
            <w:hideMark/>
          </w:tcPr>
          <w:p w:rsidR="00E14718" w:rsidRPr="00DD6CB8" w:rsidRDefault="00E14718" w:rsidP="007E113B">
            <w:pPr>
              <w:pStyle w:val="EYTableText"/>
              <w:keepNext/>
              <w:jc w:val="right"/>
              <w:rPr>
                <w:sz w:val="20"/>
                <w:szCs w:val="20"/>
              </w:rPr>
            </w:pPr>
            <w:r w:rsidRPr="00602F49">
              <w:rPr>
                <w:color w:val="000000"/>
                <w:sz w:val="20"/>
                <w:szCs w:val="20"/>
              </w:rPr>
              <w:t>$23.16</w:t>
            </w:r>
          </w:p>
        </w:tc>
        <w:tc>
          <w:tcPr>
            <w:tcW w:w="1137" w:type="dxa"/>
            <w:noWrap/>
            <w:hideMark/>
          </w:tcPr>
          <w:p w:rsidR="00E14718" w:rsidRPr="00DD6CB8" w:rsidRDefault="00E14718" w:rsidP="007E113B">
            <w:pPr>
              <w:pStyle w:val="EYTableText"/>
              <w:keepNext/>
              <w:jc w:val="right"/>
              <w:rPr>
                <w:sz w:val="20"/>
                <w:szCs w:val="20"/>
              </w:rPr>
            </w:pPr>
            <w:r w:rsidRPr="00DD6CB8">
              <w:rPr>
                <w:color w:val="000000"/>
                <w:sz w:val="20"/>
                <w:szCs w:val="20"/>
              </w:rPr>
              <w:t>$37.16</w:t>
            </w:r>
          </w:p>
        </w:tc>
      </w:tr>
      <w:tr w:rsidR="00E14718" w:rsidRPr="007C627A" w:rsidTr="00DD6CB8">
        <w:trPr>
          <w:trHeight w:val="290"/>
        </w:trPr>
        <w:tc>
          <w:tcPr>
            <w:tcW w:w="3690" w:type="dxa"/>
            <w:noWrap/>
            <w:hideMark/>
          </w:tcPr>
          <w:p w:rsidR="00E14718" w:rsidRPr="00C83556" w:rsidRDefault="00E14718" w:rsidP="00E14718">
            <w:pPr>
              <w:keepNext/>
              <w:jc w:val="left"/>
              <w:rPr>
                <w:rFonts w:eastAsia="Times New Roman" w:cs="Arial"/>
                <w:color w:val="000000"/>
                <w:sz w:val="20"/>
                <w:szCs w:val="20"/>
                <w:lang w:eastAsia="en-AU"/>
              </w:rPr>
            </w:pPr>
            <w:r w:rsidRPr="00C83556">
              <w:rPr>
                <w:rFonts w:eastAsia="Times New Roman" w:cs="Arial"/>
                <w:color w:val="000000"/>
                <w:sz w:val="20"/>
                <w:szCs w:val="20"/>
                <w:lang w:eastAsia="en-AU"/>
              </w:rPr>
              <w:t>Mid-Point of TC and BE</w:t>
            </w:r>
          </w:p>
        </w:tc>
        <w:tc>
          <w:tcPr>
            <w:tcW w:w="1907" w:type="dxa"/>
            <w:noWrap/>
            <w:hideMark/>
          </w:tcPr>
          <w:p w:rsidR="00E14718" w:rsidRPr="00C83556" w:rsidRDefault="00E14718" w:rsidP="007E113B">
            <w:pPr>
              <w:pStyle w:val="EYTableText"/>
              <w:keepNext/>
              <w:jc w:val="right"/>
              <w:rPr>
                <w:sz w:val="20"/>
                <w:szCs w:val="20"/>
              </w:rPr>
            </w:pPr>
            <w:r w:rsidRPr="00C83556">
              <w:rPr>
                <w:color w:val="000000"/>
                <w:sz w:val="20"/>
                <w:szCs w:val="20"/>
              </w:rPr>
              <w:t>$6.94</w:t>
            </w:r>
          </w:p>
        </w:tc>
        <w:tc>
          <w:tcPr>
            <w:tcW w:w="1483" w:type="dxa"/>
            <w:noWrap/>
            <w:hideMark/>
          </w:tcPr>
          <w:p w:rsidR="00E14718" w:rsidRPr="00602F49" w:rsidRDefault="00E14718" w:rsidP="007E113B">
            <w:pPr>
              <w:pStyle w:val="EYTableText"/>
              <w:keepNext/>
              <w:jc w:val="right"/>
              <w:rPr>
                <w:sz w:val="20"/>
                <w:szCs w:val="20"/>
              </w:rPr>
            </w:pPr>
            <w:r w:rsidRPr="00602F49">
              <w:rPr>
                <w:color w:val="000000"/>
                <w:sz w:val="20"/>
                <w:szCs w:val="20"/>
              </w:rPr>
              <w:t>$7.66</w:t>
            </w:r>
          </w:p>
        </w:tc>
        <w:tc>
          <w:tcPr>
            <w:tcW w:w="1410" w:type="dxa"/>
            <w:noWrap/>
            <w:hideMark/>
          </w:tcPr>
          <w:p w:rsidR="00E14718" w:rsidRPr="00DD6CB8" w:rsidRDefault="00E14718" w:rsidP="007E113B">
            <w:pPr>
              <w:pStyle w:val="EYTableText"/>
              <w:keepNext/>
              <w:jc w:val="right"/>
              <w:rPr>
                <w:sz w:val="20"/>
                <w:szCs w:val="20"/>
              </w:rPr>
            </w:pPr>
            <w:r w:rsidRPr="00602F49">
              <w:rPr>
                <w:color w:val="000000"/>
                <w:sz w:val="20"/>
                <w:szCs w:val="20"/>
              </w:rPr>
              <w:t>$14.43</w:t>
            </w:r>
          </w:p>
        </w:tc>
        <w:tc>
          <w:tcPr>
            <w:tcW w:w="1137" w:type="dxa"/>
            <w:noWrap/>
            <w:hideMark/>
          </w:tcPr>
          <w:p w:rsidR="00E14718" w:rsidRPr="00DD6CB8" w:rsidRDefault="00E14718" w:rsidP="007E113B">
            <w:pPr>
              <w:pStyle w:val="EYTableText"/>
              <w:keepNext/>
              <w:jc w:val="right"/>
              <w:rPr>
                <w:sz w:val="20"/>
                <w:szCs w:val="20"/>
              </w:rPr>
            </w:pPr>
            <w:r w:rsidRPr="00DD6CB8">
              <w:rPr>
                <w:color w:val="000000"/>
                <w:sz w:val="20"/>
                <w:szCs w:val="20"/>
              </w:rPr>
              <w:t>$21.91</w:t>
            </w:r>
          </w:p>
        </w:tc>
      </w:tr>
      <w:tr w:rsidR="0022711B" w:rsidRPr="007C627A" w:rsidTr="00652602">
        <w:trPr>
          <w:trHeight w:val="290"/>
        </w:trPr>
        <w:tc>
          <w:tcPr>
            <w:tcW w:w="9627" w:type="dxa"/>
            <w:gridSpan w:val="5"/>
            <w:shd w:val="clear" w:color="auto" w:fill="D9D9D9" w:themeFill="background1" w:themeFillShade="D9"/>
            <w:noWrap/>
            <w:hideMark/>
          </w:tcPr>
          <w:p w:rsidR="0022711B" w:rsidRPr="0022711B" w:rsidRDefault="0022711B" w:rsidP="0022711B">
            <w:pPr>
              <w:keepNext/>
              <w:jc w:val="left"/>
              <w:rPr>
                <w:rFonts w:eastAsia="Times New Roman" w:cs="Arial"/>
                <w:b/>
                <w:color w:val="000000"/>
                <w:sz w:val="20"/>
                <w:szCs w:val="20"/>
                <w:lang w:eastAsia="en-AU"/>
              </w:rPr>
            </w:pPr>
            <w:r w:rsidRPr="00C83556">
              <w:rPr>
                <w:rFonts w:eastAsia="Times New Roman" w:cs="Arial"/>
                <w:b/>
                <w:color w:val="000000"/>
                <w:sz w:val="20"/>
                <w:szCs w:val="20"/>
                <w:lang w:eastAsia="en-AU"/>
              </w:rPr>
              <w:t>Results - TC</w:t>
            </w:r>
          </w:p>
        </w:tc>
      </w:tr>
      <w:tr w:rsidR="00E14718" w:rsidRPr="007C627A" w:rsidTr="00DD6CB8">
        <w:trPr>
          <w:trHeight w:val="290"/>
        </w:trPr>
        <w:tc>
          <w:tcPr>
            <w:tcW w:w="3690" w:type="dxa"/>
            <w:noWrap/>
            <w:hideMark/>
          </w:tcPr>
          <w:p w:rsidR="00E14718" w:rsidRPr="00C83556" w:rsidRDefault="00E14718" w:rsidP="00E14718">
            <w:pPr>
              <w:keepNext/>
              <w:jc w:val="left"/>
              <w:rPr>
                <w:rFonts w:eastAsia="Times New Roman" w:cs="Arial"/>
                <w:color w:val="000000"/>
                <w:sz w:val="20"/>
                <w:szCs w:val="20"/>
                <w:lang w:eastAsia="en-AU"/>
              </w:rPr>
            </w:pPr>
            <w:r w:rsidRPr="00C83556">
              <w:rPr>
                <w:rFonts w:eastAsia="Times New Roman" w:cs="Arial"/>
                <w:color w:val="000000"/>
                <w:sz w:val="20"/>
                <w:szCs w:val="20"/>
                <w:lang w:eastAsia="en-AU"/>
              </w:rPr>
              <w:t>Benefits (PV)</w:t>
            </w:r>
          </w:p>
        </w:tc>
        <w:tc>
          <w:tcPr>
            <w:tcW w:w="1907" w:type="dxa"/>
            <w:noWrap/>
            <w:hideMark/>
          </w:tcPr>
          <w:p w:rsidR="00E14718" w:rsidRPr="00C83556" w:rsidRDefault="00E14718" w:rsidP="007E113B">
            <w:pPr>
              <w:pStyle w:val="EYTableText"/>
              <w:keepNext/>
              <w:jc w:val="right"/>
              <w:rPr>
                <w:sz w:val="20"/>
                <w:szCs w:val="20"/>
              </w:rPr>
            </w:pPr>
            <w:r w:rsidRPr="00C83556">
              <w:rPr>
                <w:color w:val="000000"/>
                <w:sz w:val="20"/>
                <w:szCs w:val="20"/>
              </w:rPr>
              <w:t>$598,679</w:t>
            </w:r>
          </w:p>
        </w:tc>
        <w:tc>
          <w:tcPr>
            <w:tcW w:w="1483" w:type="dxa"/>
            <w:noWrap/>
            <w:hideMark/>
          </w:tcPr>
          <w:p w:rsidR="00E14718" w:rsidRPr="00602F49" w:rsidRDefault="00E14718" w:rsidP="007E113B">
            <w:pPr>
              <w:pStyle w:val="EYTableText"/>
              <w:keepNext/>
              <w:jc w:val="right"/>
              <w:rPr>
                <w:sz w:val="20"/>
                <w:szCs w:val="20"/>
              </w:rPr>
            </w:pPr>
            <w:r w:rsidRPr="00602F49">
              <w:rPr>
                <w:color w:val="000000"/>
                <w:sz w:val="20"/>
                <w:szCs w:val="20"/>
              </w:rPr>
              <w:t>$199,560</w:t>
            </w:r>
          </w:p>
        </w:tc>
        <w:tc>
          <w:tcPr>
            <w:tcW w:w="1410" w:type="dxa"/>
            <w:noWrap/>
            <w:hideMark/>
          </w:tcPr>
          <w:p w:rsidR="00E14718" w:rsidRPr="00DD6CB8" w:rsidRDefault="00E14718" w:rsidP="007E113B">
            <w:pPr>
              <w:pStyle w:val="EYTableText"/>
              <w:keepNext/>
              <w:jc w:val="right"/>
              <w:rPr>
                <w:sz w:val="20"/>
                <w:szCs w:val="20"/>
              </w:rPr>
            </w:pPr>
            <w:r w:rsidRPr="00602F49">
              <w:rPr>
                <w:color w:val="000000"/>
                <w:sz w:val="20"/>
                <w:szCs w:val="20"/>
              </w:rPr>
              <w:t>$132,704</w:t>
            </w:r>
          </w:p>
        </w:tc>
        <w:tc>
          <w:tcPr>
            <w:tcW w:w="1137" w:type="dxa"/>
            <w:noWrap/>
            <w:hideMark/>
          </w:tcPr>
          <w:p w:rsidR="00E14718" w:rsidRPr="00DD6CB8" w:rsidRDefault="00E14718" w:rsidP="007E113B">
            <w:pPr>
              <w:pStyle w:val="EYTableText"/>
              <w:keepNext/>
              <w:jc w:val="right"/>
              <w:rPr>
                <w:sz w:val="20"/>
                <w:szCs w:val="20"/>
              </w:rPr>
            </w:pPr>
            <w:r w:rsidRPr="00DD6CB8">
              <w:rPr>
                <w:color w:val="000000"/>
                <w:sz w:val="20"/>
                <w:szCs w:val="20"/>
              </w:rPr>
              <w:t>$182,458</w:t>
            </w:r>
          </w:p>
        </w:tc>
      </w:tr>
      <w:tr w:rsidR="00E14718" w:rsidRPr="007C627A" w:rsidTr="00DD6CB8">
        <w:trPr>
          <w:trHeight w:val="290"/>
        </w:trPr>
        <w:tc>
          <w:tcPr>
            <w:tcW w:w="3690" w:type="dxa"/>
            <w:noWrap/>
            <w:hideMark/>
          </w:tcPr>
          <w:p w:rsidR="00E14718" w:rsidRPr="00C83556" w:rsidRDefault="00E14718" w:rsidP="00E14718">
            <w:pPr>
              <w:keepNext/>
              <w:jc w:val="left"/>
              <w:rPr>
                <w:rFonts w:eastAsia="Times New Roman" w:cs="Arial"/>
                <w:color w:val="000000"/>
                <w:sz w:val="20"/>
                <w:szCs w:val="20"/>
                <w:lang w:eastAsia="en-AU"/>
              </w:rPr>
            </w:pPr>
            <w:r w:rsidRPr="00C83556">
              <w:rPr>
                <w:rFonts w:eastAsia="Times New Roman" w:cs="Arial"/>
                <w:color w:val="000000"/>
                <w:sz w:val="20"/>
                <w:szCs w:val="20"/>
                <w:lang w:eastAsia="en-AU"/>
              </w:rPr>
              <w:t>Net Benefits (PV)</w:t>
            </w:r>
          </w:p>
        </w:tc>
        <w:tc>
          <w:tcPr>
            <w:tcW w:w="1907" w:type="dxa"/>
            <w:noWrap/>
            <w:hideMark/>
          </w:tcPr>
          <w:p w:rsidR="00E14718" w:rsidRPr="00C83556" w:rsidRDefault="00E14718" w:rsidP="007E113B">
            <w:pPr>
              <w:pStyle w:val="EYTableText"/>
              <w:keepNext/>
              <w:jc w:val="right"/>
              <w:rPr>
                <w:sz w:val="20"/>
                <w:szCs w:val="20"/>
              </w:rPr>
            </w:pPr>
            <w:r w:rsidRPr="00C83556">
              <w:rPr>
                <w:color w:val="000000"/>
                <w:sz w:val="20"/>
                <w:szCs w:val="20"/>
              </w:rPr>
              <w:t>$565,975</w:t>
            </w:r>
          </w:p>
        </w:tc>
        <w:tc>
          <w:tcPr>
            <w:tcW w:w="1483" w:type="dxa"/>
            <w:noWrap/>
            <w:hideMark/>
          </w:tcPr>
          <w:p w:rsidR="00E14718" w:rsidRPr="00602F49" w:rsidRDefault="00E14718" w:rsidP="007E113B">
            <w:pPr>
              <w:pStyle w:val="EYTableText"/>
              <w:keepNext/>
              <w:jc w:val="right"/>
              <w:rPr>
                <w:sz w:val="20"/>
                <w:szCs w:val="20"/>
              </w:rPr>
            </w:pPr>
            <w:r w:rsidRPr="00602F49">
              <w:rPr>
                <w:color w:val="000000"/>
                <w:sz w:val="20"/>
                <w:szCs w:val="20"/>
              </w:rPr>
              <w:t>$166,856</w:t>
            </w:r>
          </w:p>
        </w:tc>
        <w:tc>
          <w:tcPr>
            <w:tcW w:w="1410" w:type="dxa"/>
            <w:noWrap/>
            <w:hideMark/>
          </w:tcPr>
          <w:p w:rsidR="00E14718" w:rsidRPr="00DD6CB8" w:rsidRDefault="00E14718" w:rsidP="007E113B">
            <w:pPr>
              <w:pStyle w:val="EYTableText"/>
              <w:keepNext/>
              <w:jc w:val="right"/>
              <w:rPr>
                <w:sz w:val="20"/>
                <w:szCs w:val="20"/>
              </w:rPr>
            </w:pPr>
            <w:r w:rsidRPr="00DD6CB8">
              <w:rPr>
                <w:color w:val="000000"/>
                <w:sz w:val="20"/>
                <w:szCs w:val="20"/>
              </w:rPr>
              <w:t>$100,001</w:t>
            </w:r>
          </w:p>
        </w:tc>
        <w:tc>
          <w:tcPr>
            <w:tcW w:w="1137" w:type="dxa"/>
            <w:noWrap/>
            <w:hideMark/>
          </w:tcPr>
          <w:p w:rsidR="00E14718" w:rsidRPr="00DD6CB8" w:rsidRDefault="00E14718" w:rsidP="007E113B">
            <w:pPr>
              <w:pStyle w:val="EYTableText"/>
              <w:keepNext/>
              <w:jc w:val="right"/>
              <w:rPr>
                <w:sz w:val="20"/>
                <w:szCs w:val="20"/>
              </w:rPr>
            </w:pPr>
            <w:r w:rsidRPr="00DD6CB8">
              <w:rPr>
                <w:color w:val="000000"/>
                <w:sz w:val="20"/>
                <w:szCs w:val="20"/>
              </w:rPr>
              <w:t>$149,754</w:t>
            </w:r>
          </w:p>
        </w:tc>
      </w:tr>
      <w:tr w:rsidR="0022711B" w:rsidRPr="007C627A" w:rsidTr="00652602">
        <w:trPr>
          <w:trHeight w:val="290"/>
        </w:trPr>
        <w:tc>
          <w:tcPr>
            <w:tcW w:w="9627" w:type="dxa"/>
            <w:gridSpan w:val="5"/>
            <w:shd w:val="clear" w:color="auto" w:fill="D9D9D9" w:themeFill="background1" w:themeFillShade="D9"/>
            <w:noWrap/>
            <w:hideMark/>
          </w:tcPr>
          <w:p w:rsidR="0022711B" w:rsidRPr="0022711B" w:rsidRDefault="0022711B" w:rsidP="0022711B">
            <w:pPr>
              <w:keepNext/>
              <w:jc w:val="left"/>
              <w:rPr>
                <w:rFonts w:eastAsia="Times New Roman" w:cs="Arial"/>
                <w:b/>
                <w:color w:val="000000"/>
                <w:sz w:val="20"/>
                <w:szCs w:val="20"/>
                <w:lang w:eastAsia="en-AU"/>
              </w:rPr>
            </w:pPr>
            <w:r w:rsidRPr="00C83556">
              <w:rPr>
                <w:rFonts w:eastAsia="Times New Roman" w:cs="Arial"/>
                <w:b/>
                <w:color w:val="000000"/>
                <w:sz w:val="20"/>
                <w:szCs w:val="20"/>
                <w:lang w:eastAsia="en-AU"/>
              </w:rPr>
              <w:t>Results - Mid Point</w:t>
            </w:r>
          </w:p>
        </w:tc>
      </w:tr>
      <w:tr w:rsidR="00E14718" w:rsidRPr="007C627A" w:rsidTr="00DD6CB8">
        <w:trPr>
          <w:trHeight w:val="290"/>
        </w:trPr>
        <w:tc>
          <w:tcPr>
            <w:tcW w:w="3690" w:type="dxa"/>
            <w:noWrap/>
            <w:hideMark/>
          </w:tcPr>
          <w:p w:rsidR="00E14718" w:rsidRPr="00C83556" w:rsidRDefault="00E14718" w:rsidP="00E14718">
            <w:pPr>
              <w:keepNext/>
              <w:jc w:val="left"/>
              <w:rPr>
                <w:rFonts w:eastAsia="Times New Roman" w:cs="Arial"/>
                <w:color w:val="000000"/>
                <w:sz w:val="20"/>
                <w:szCs w:val="20"/>
                <w:lang w:eastAsia="en-AU"/>
              </w:rPr>
            </w:pPr>
            <w:r w:rsidRPr="00C83556">
              <w:rPr>
                <w:rFonts w:eastAsia="Times New Roman" w:cs="Arial"/>
                <w:color w:val="000000"/>
                <w:sz w:val="20"/>
                <w:szCs w:val="20"/>
                <w:lang w:eastAsia="en-AU"/>
              </w:rPr>
              <w:t>Benefits (PV)</w:t>
            </w:r>
          </w:p>
        </w:tc>
        <w:tc>
          <w:tcPr>
            <w:tcW w:w="1907" w:type="dxa"/>
            <w:noWrap/>
            <w:hideMark/>
          </w:tcPr>
          <w:p w:rsidR="00E14718" w:rsidRPr="00C83556" w:rsidRDefault="00E14718" w:rsidP="007E113B">
            <w:pPr>
              <w:pStyle w:val="EYTableText"/>
              <w:keepNext/>
              <w:jc w:val="right"/>
              <w:rPr>
                <w:sz w:val="20"/>
                <w:szCs w:val="20"/>
              </w:rPr>
            </w:pPr>
            <w:r w:rsidRPr="00C83556">
              <w:rPr>
                <w:color w:val="000000"/>
                <w:sz w:val="20"/>
                <w:szCs w:val="20"/>
              </w:rPr>
              <w:t>$315,691</w:t>
            </w:r>
          </w:p>
        </w:tc>
        <w:tc>
          <w:tcPr>
            <w:tcW w:w="1483" w:type="dxa"/>
            <w:noWrap/>
            <w:hideMark/>
          </w:tcPr>
          <w:p w:rsidR="00E14718" w:rsidRPr="00602F49" w:rsidRDefault="00E14718" w:rsidP="007E113B">
            <w:pPr>
              <w:pStyle w:val="EYTableText"/>
              <w:keepNext/>
              <w:jc w:val="right"/>
              <w:rPr>
                <w:sz w:val="20"/>
                <w:szCs w:val="20"/>
              </w:rPr>
            </w:pPr>
            <w:r w:rsidRPr="00602F49">
              <w:rPr>
                <w:color w:val="000000"/>
                <w:sz w:val="20"/>
                <w:szCs w:val="20"/>
              </w:rPr>
              <w:t>$116,132</w:t>
            </w:r>
          </w:p>
        </w:tc>
        <w:tc>
          <w:tcPr>
            <w:tcW w:w="1410" w:type="dxa"/>
            <w:noWrap/>
            <w:hideMark/>
          </w:tcPr>
          <w:p w:rsidR="00E14718" w:rsidRPr="00DD6CB8" w:rsidRDefault="00E14718" w:rsidP="007E113B">
            <w:pPr>
              <w:pStyle w:val="EYTableText"/>
              <w:keepNext/>
              <w:jc w:val="right"/>
              <w:rPr>
                <w:sz w:val="20"/>
                <w:szCs w:val="20"/>
              </w:rPr>
            </w:pPr>
            <w:r w:rsidRPr="00602F49">
              <w:rPr>
                <w:color w:val="000000"/>
                <w:sz w:val="20"/>
                <w:szCs w:val="20"/>
              </w:rPr>
              <w:t>$82,704</w:t>
            </w:r>
          </w:p>
        </w:tc>
        <w:tc>
          <w:tcPr>
            <w:tcW w:w="1137" w:type="dxa"/>
            <w:noWrap/>
            <w:hideMark/>
          </w:tcPr>
          <w:p w:rsidR="00E14718" w:rsidRPr="00DD6CB8" w:rsidRDefault="00E14718" w:rsidP="007E113B">
            <w:pPr>
              <w:pStyle w:val="EYTableText"/>
              <w:keepNext/>
              <w:jc w:val="right"/>
              <w:rPr>
                <w:sz w:val="20"/>
                <w:szCs w:val="20"/>
              </w:rPr>
            </w:pPr>
            <w:r w:rsidRPr="00DD6CB8">
              <w:rPr>
                <w:color w:val="000000"/>
                <w:sz w:val="20"/>
                <w:szCs w:val="20"/>
              </w:rPr>
              <w:t>$107,581</w:t>
            </w:r>
          </w:p>
        </w:tc>
      </w:tr>
      <w:tr w:rsidR="00E14718" w:rsidRPr="0068071B" w:rsidTr="00DD6CB8">
        <w:trPr>
          <w:trHeight w:val="290"/>
        </w:trPr>
        <w:tc>
          <w:tcPr>
            <w:tcW w:w="3690" w:type="dxa"/>
            <w:noWrap/>
            <w:hideMark/>
          </w:tcPr>
          <w:p w:rsidR="00E14718" w:rsidRPr="00C83556" w:rsidRDefault="00E14718" w:rsidP="00E14718">
            <w:pPr>
              <w:keepNext/>
              <w:jc w:val="left"/>
              <w:rPr>
                <w:rFonts w:eastAsia="Times New Roman" w:cs="Arial"/>
                <w:color w:val="000000"/>
                <w:sz w:val="20"/>
                <w:szCs w:val="20"/>
                <w:lang w:eastAsia="en-AU"/>
              </w:rPr>
            </w:pPr>
            <w:r w:rsidRPr="00C83556">
              <w:rPr>
                <w:rFonts w:eastAsia="Times New Roman" w:cs="Arial"/>
                <w:color w:val="000000"/>
                <w:sz w:val="20"/>
                <w:szCs w:val="20"/>
                <w:lang w:eastAsia="en-AU"/>
              </w:rPr>
              <w:t>Net Benefits (PV)</w:t>
            </w:r>
          </w:p>
        </w:tc>
        <w:tc>
          <w:tcPr>
            <w:tcW w:w="1907" w:type="dxa"/>
            <w:noWrap/>
            <w:hideMark/>
          </w:tcPr>
          <w:p w:rsidR="00E14718" w:rsidRPr="00C83556" w:rsidRDefault="00E14718" w:rsidP="007E113B">
            <w:pPr>
              <w:pStyle w:val="EYTableText"/>
              <w:keepNext/>
              <w:jc w:val="right"/>
              <w:rPr>
                <w:sz w:val="20"/>
                <w:szCs w:val="20"/>
              </w:rPr>
            </w:pPr>
            <w:r w:rsidRPr="00C83556">
              <w:rPr>
                <w:color w:val="000000"/>
                <w:sz w:val="20"/>
                <w:szCs w:val="20"/>
              </w:rPr>
              <w:t>$282,987</w:t>
            </w:r>
          </w:p>
        </w:tc>
        <w:tc>
          <w:tcPr>
            <w:tcW w:w="1483" w:type="dxa"/>
            <w:noWrap/>
            <w:hideMark/>
          </w:tcPr>
          <w:p w:rsidR="00E14718" w:rsidRPr="00602F49" w:rsidRDefault="00E14718" w:rsidP="007E113B">
            <w:pPr>
              <w:pStyle w:val="EYTableText"/>
              <w:keepNext/>
              <w:jc w:val="right"/>
              <w:rPr>
                <w:sz w:val="20"/>
                <w:szCs w:val="20"/>
              </w:rPr>
            </w:pPr>
            <w:r w:rsidRPr="00602F49">
              <w:rPr>
                <w:color w:val="000000"/>
                <w:sz w:val="20"/>
                <w:szCs w:val="20"/>
              </w:rPr>
              <w:t>$83,428</w:t>
            </w:r>
          </w:p>
        </w:tc>
        <w:tc>
          <w:tcPr>
            <w:tcW w:w="1410" w:type="dxa"/>
            <w:noWrap/>
            <w:hideMark/>
          </w:tcPr>
          <w:p w:rsidR="00E14718" w:rsidRPr="00DD6CB8" w:rsidRDefault="00E14718" w:rsidP="007E113B">
            <w:pPr>
              <w:pStyle w:val="EYTableText"/>
              <w:keepNext/>
              <w:jc w:val="right"/>
              <w:rPr>
                <w:sz w:val="20"/>
                <w:szCs w:val="20"/>
              </w:rPr>
            </w:pPr>
            <w:r w:rsidRPr="00602F49">
              <w:rPr>
                <w:color w:val="000000"/>
                <w:sz w:val="20"/>
                <w:szCs w:val="20"/>
              </w:rPr>
              <w:t>$50,000</w:t>
            </w:r>
          </w:p>
        </w:tc>
        <w:tc>
          <w:tcPr>
            <w:tcW w:w="1137" w:type="dxa"/>
            <w:noWrap/>
            <w:hideMark/>
          </w:tcPr>
          <w:p w:rsidR="00E14718" w:rsidRPr="00C83556" w:rsidRDefault="00E14718" w:rsidP="007E113B">
            <w:pPr>
              <w:pStyle w:val="EYTableText"/>
              <w:keepNext/>
              <w:jc w:val="right"/>
              <w:rPr>
                <w:sz w:val="20"/>
                <w:szCs w:val="20"/>
              </w:rPr>
            </w:pPr>
            <w:r w:rsidRPr="00DD6CB8">
              <w:rPr>
                <w:color w:val="000000"/>
                <w:sz w:val="20"/>
                <w:szCs w:val="20"/>
              </w:rPr>
              <w:t>$74,877</w:t>
            </w:r>
          </w:p>
        </w:tc>
      </w:tr>
    </w:tbl>
    <w:p w:rsidR="000069EF" w:rsidRPr="0036126D" w:rsidRDefault="0099075D" w:rsidP="000069EF">
      <w:pPr>
        <w:spacing w:after="0"/>
        <w:jc w:val="left"/>
        <w:rPr>
          <w:sz w:val="20"/>
          <w:szCs w:val="20"/>
        </w:rPr>
      </w:pPr>
      <w:r>
        <w:rPr>
          <w:sz w:val="20"/>
          <w:szCs w:val="20"/>
        </w:rPr>
        <w:br/>
      </w:r>
      <w:r w:rsidR="000069EF" w:rsidRPr="0036126D">
        <w:rPr>
          <w:sz w:val="20"/>
          <w:szCs w:val="20"/>
        </w:rPr>
        <w:t xml:space="preserve">Notes: </w:t>
      </w:r>
    </w:p>
    <w:p w:rsidR="000069EF" w:rsidRPr="007E1FF5" w:rsidRDefault="000069EF" w:rsidP="00A15416">
      <w:pPr>
        <w:pStyle w:val="ListParagraph"/>
        <w:numPr>
          <w:ilvl w:val="0"/>
          <w:numId w:val="34"/>
        </w:numPr>
        <w:spacing w:after="0"/>
        <w:jc w:val="left"/>
        <w:rPr>
          <w:sz w:val="20"/>
          <w:szCs w:val="20"/>
        </w:rPr>
      </w:pPr>
      <w:r w:rsidRPr="007E1FF5">
        <w:rPr>
          <w:sz w:val="20"/>
          <w:szCs w:val="20"/>
        </w:rPr>
        <w:t xml:space="preserve">Construction costs are incurred at the time of construction (one-off cost). </w:t>
      </w:r>
    </w:p>
    <w:p w:rsidR="000069EF" w:rsidRPr="0036126D" w:rsidRDefault="000069EF" w:rsidP="00A15416">
      <w:pPr>
        <w:pStyle w:val="ListParagraph"/>
        <w:numPr>
          <w:ilvl w:val="0"/>
          <w:numId w:val="34"/>
        </w:numPr>
        <w:spacing w:after="0"/>
        <w:jc w:val="left"/>
        <w:rPr>
          <w:sz w:val="20"/>
          <w:szCs w:val="20"/>
        </w:rPr>
      </w:pPr>
      <w:r w:rsidRPr="0036126D">
        <w:rPr>
          <w:sz w:val="20"/>
          <w:szCs w:val="20"/>
        </w:rPr>
        <w:t xml:space="preserve">Present Values have been calculated over a ten year </w:t>
      </w:r>
      <w:r w:rsidR="001440BA">
        <w:rPr>
          <w:sz w:val="20"/>
          <w:szCs w:val="20"/>
        </w:rPr>
        <w:t xml:space="preserve">period </w:t>
      </w:r>
      <w:r w:rsidRPr="0036126D">
        <w:rPr>
          <w:sz w:val="20"/>
          <w:szCs w:val="20"/>
        </w:rPr>
        <w:t xml:space="preserve">for benefits and operational costs using a real </w:t>
      </w:r>
      <w:r w:rsidRPr="007E1FF5">
        <w:rPr>
          <w:sz w:val="20"/>
          <w:szCs w:val="20"/>
        </w:rPr>
        <w:t>discount</w:t>
      </w:r>
      <w:r w:rsidRPr="0036126D">
        <w:rPr>
          <w:sz w:val="20"/>
          <w:szCs w:val="20"/>
        </w:rPr>
        <w:t xml:space="preserve"> rate of 7%.</w:t>
      </w:r>
    </w:p>
    <w:p w:rsidR="00BC78C6" w:rsidRPr="007E1FF5" w:rsidRDefault="000069EF" w:rsidP="00A15416">
      <w:pPr>
        <w:pStyle w:val="ListParagraph"/>
        <w:numPr>
          <w:ilvl w:val="0"/>
          <w:numId w:val="34"/>
        </w:numPr>
        <w:spacing w:after="0"/>
        <w:jc w:val="left"/>
      </w:pPr>
      <w:r w:rsidRPr="007E1FF5">
        <w:rPr>
          <w:sz w:val="20"/>
          <w:szCs w:val="20"/>
        </w:rPr>
        <w:t xml:space="preserve">The break-even point calculates the discounted per person, per trip benefit needed to equal the costs over a 10 year period. For example, a person with disability would require $0.69 worth of utility per visit to a major shopping centre for the benefits to offset the costs over a 10 year period.  See Section 6.1.1 for more information. </w:t>
      </w:r>
    </w:p>
    <w:p w:rsidR="007E1FF5" w:rsidRDefault="007E1FF5" w:rsidP="007E1FF5">
      <w:pPr>
        <w:pStyle w:val="ListParagraph"/>
        <w:spacing w:after="0"/>
        <w:jc w:val="left"/>
      </w:pPr>
    </w:p>
    <w:p w:rsidR="00BC78C6" w:rsidRDefault="00971A03" w:rsidP="0099075D">
      <w:pPr>
        <w:pStyle w:val="EYBodytextwithparaspace"/>
      </w:pPr>
      <w:r w:rsidRPr="0036126D">
        <w:t xml:space="preserve">Modelling results for the </w:t>
      </w:r>
      <w:r w:rsidR="002662EF">
        <w:t>a</w:t>
      </w:r>
      <w:r w:rsidRPr="0036126D">
        <w:t>irport case study are provided in</w:t>
      </w:r>
      <w:r w:rsidR="00035000">
        <w:t xml:space="preserve"> </w:t>
      </w:r>
      <w:r w:rsidR="001C32D2">
        <w:fldChar w:fldCharType="begin"/>
      </w:r>
      <w:r w:rsidR="001C32D2">
        <w:instrText xml:space="preserve"> REF _Ref521487970 \h </w:instrText>
      </w:r>
      <w:r w:rsidR="001C32D2">
        <w:fldChar w:fldCharType="separate"/>
      </w:r>
      <w:r w:rsidR="00910A73" w:rsidRPr="0036126D">
        <w:t xml:space="preserve">Table </w:t>
      </w:r>
      <w:r w:rsidR="00910A73">
        <w:rPr>
          <w:noProof/>
        </w:rPr>
        <w:t>7</w:t>
      </w:r>
      <w:r w:rsidR="00910A73">
        <w:noBreakHyphen/>
      </w:r>
      <w:r w:rsidR="00910A73">
        <w:rPr>
          <w:noProof/>
        </w:rPr>
        <w:t>2</w:t>
      </w:r>
      <w:r w:rsidR="001C32D2">
        <w:fldChar w:fldCharType="end"/>
      </w:r>
      <w:r w:rsidRPr="0036126D">
        <w:t xml:space="preserve">. The table presents total </w:t>
      </w:r>
      <w:r w:rsidR="00DF53BF" w:rsidRPr="0036126D">
        <w:t>annual</w:t>
      </w:r>
      <w:r w:rsidRPr="0036126D">
        <w:t xml:space="preserve"> patronage for a </w:t>
      </w:r>
      <w:r w:rsidR="00DF53BF" w:rsidRPr="0036126D">
        <w:t>range</w:t>
      </w:r>
      <w:r w:rsidRPr="0036126D">
        <w:t xml:space="preserve"> of small, medium and large airports </w:t>
      </w:r>
      <w:r w:rsidR="00F45C77" w:rsidRPr="0036126D">
        <w:t>across</w:t>
      </w:r>
      <w:r w:rsidRPr="0036126D">
        <w:t xml:space="preserve"> Australia, as well as the </w:t>
      </w:r>
      <w:r w:rsidR="00DF53BF" w:rsidRPr="0036126D">
        <w:t>estimated</w:t>
      </w:r>
      <w:r w:rsidRPr="0036126D">
        <w:t xml:space="preserve"> patronage from </w:t>
      </w:r>
      <w:r w:rsidR="00DF53BF" w:rsidRPr="0036126D">
        <w:t>within</w:t>
      </w:r>
      <w:r w:rsidRPr="0036126D">
        <w:t xml:space="preserve"> the core cohort, </w:t>
      </w:r>
      <w:r w:rsidR="00DF53BF" w:rsidRPr="0036126D">
        <w:t>based on</w:t>
      </w:r>
      <w:r w:rsidR="00F21F7E" w:rsidRPr="0036126D">
        <w:t xml:space="preserve"> two estimated travel </w:t>
      </w:r>
      <w:r w:rsidR="000F4CE0" w:rsidRPr="0036126D">
        <w:t>propensities of people with a disability – one being 22%, which is the mid-point of the estimated propensities in Dwyer and Darcy’s study on accessible tourism</w:t>
      </w:r>
      <w:r w:rsidR="000F4CE0" w:rsidRPr="00C133AC">
        <w:rPr>
          <w:rStyle w:val="FootnoteReference"/>
          <w:sz w:val="24"/>
          <w:szCs w:val="24"/>
        </w:rPr>
        <w:footnoteReference w:id="72"/>
      </w:r>
      <w:r w:rsidR="000F4CE0" w:rsidRPr="0036126D">
        <w:t xml:space="preserve"> and one at 11%, to demonstrate what the break-even point would be if travel propensities were half </w:t>
      </w:r>
      <w:r w:rsidR="000F4CE0" w:rsidRPr="0036126D">
        <w:lastRenderedPageBreak/>
        <w:t>the midpoint. In both cases</w:t>
      </w:r>
      <w:r w:rsidR="006220C9">
        <w:t xml:space="preserve"> </w:t>
      </w:r>
      <w:r w:rsidR="000F4CE0" w:rsidRPr="0036126D">
        <w:t>it can be seen that the estimated break-even is very low – with the highest being just $12</w:t>
      </w:r>
      <w:r w:rsidR="0036126D">
        <w:t>.</w:t>
      </w:r>
      <w:r w:rsidRPr="0036126D">
        <w:t xml:space="preserve"> </w:t>
      </w:r>
    </w:p>
    <w:p w:rsidR="007C627A" w:rsidRPr="0036126D" w:rsidRDefault="001A35C9" w:rsidP="00E30DB1">
      <w:pPr>
        <w:pStyle w:val="EYBodytextwithparaspace"/>
      </w:pPr>
      <w:r>
        <w:t xml:space="preserve">To give some context for these results, consider the average cost of a flight ticket. </w:t>
      </w:r>
      <w:r w:rsidR="00BC78C6">
        <w:t xml:space="preserve">On the assumption that people would not </w:t>
      </w:r>
      <w:r>
        <w:t>take</w:t>
      </w:r>
      <w:r w:rsidR="00BC78C6">
        <w:t xml:space="preserve"> a flight if they did not expect to receive value at least the same as the cost of a flight, and given that the cost of a flight in Australia is generally in excess of $100, it is considered that the requirements to install an AACF should be extended to all prospective airports or airport redevelopments.</w:t>
      </w:r>
      <w:r>
        <w:t xml:space="preserve"> Even for the smallest regional airports, these results indicate that the break-even value per trip is considerably less than the cost of a flight.</w:t>
      </w:r>
    </w:p>
    <w:p w:rsidR="007F6FFA" w:rsidRPr="0036126D" w:rsidRDefault="007F6FFA" w:rsidP="007F6FFA">
      <w:pPr>
        <w:pStyle w:val="Caption"/>
        <w:keepNext/>
      </w:pPr>
      <w:bookmarkStart w:id="490" w:name="_Ref521487970"/>
      <w:bookmarkStart w:id="491" w:name="_Ref518549584"/>
      <w:bookmarkStart w:id="492" w:name="_Toc525897816"/>
      <w:r w:rsidRPr="0036126D">
        <w:t xml:space="preserve">Table </w:t>
      </w:r>
      <w:r w:rsidR="00D128AA">
        <w:rPr>
          <w:noProof/>
        </w:rPr>
        <w:fldChar w:fldCharType="begin"/>
      </w:r>
      <w:r w:rsidR="00D128AA">
        <w:rPr>
          <w:noProof/>
        </w:rPr>
        <w:instrText xml:space="preserve"> STYLEREF 1 \s </w:instrText>
      </w:r>
      <w:r w:rsidR="00D128AA">
        <w:rPr>
          <w:noProof/>
        </w:rPr>
        <w:fldChar w:fldCharType="separate"/>
      </w:r>
      <w:r w:rsidR="00910A73">
        <w:rPr>
          <w:noProof/>
        </w:rPr>
        <w:t>7</w:t>
      </w:r>
      <w:r w:rsidR="00D128AA">
        <w:rPr>
          <w:noProof/>
        </w:rPr>
        <w:fldChar w:fldCharType="end"/>
      </w:r>
      <w:r w:rsidR="00325A73">
        <w:noBreakHyphen/>
      </w:r>
      <w:r w:rsidR="00D128AA">
        <w:rPr>
          <w:noProof/>
        </w:rPr>
        <w:fldChar w:fldCharType="begin"/>
      </w:r>
      <w:r w:rsidR="00D128AA">
        <w:rPr>
          <w:noProof/>
        </w:rPr>
        <w:instrText xml:space="preserve"> SEQ Table \* ARABIC \s 1 </w:instrText>
      </w:r>
      <w:r w:rsidR="00D128AA">
        <w:rPr>
          <w:noProof/>
        </w:rPr>
        <w:fldChar w:fldCharType="separate"/>
      </w:r>
      <w:r w:rsidR="00910A73">
        <w:rPr>
          <w:noProof/>
        </w:rPr>
        <w:t>2</w:t>
      </w:r>
      <w:r w:rsidR="00D128AA">
        <w:rPr>
          <w:noProof/>
        </w:rPr>
        <w:fldChar w:fldCharType="end"/>
      </w:r>
      <w:bookmarkEnd w:id="490"/>
      <w:bookmarkEnd w:id="491"/>
      <w:r w:rsidRPr="0036126D">
        <w:t>: Modelling results for airport case study</w:t>
      </w:r>
      <w:bookmarkEnd w:id="492"/>
      <w:r w:rsidRPr="0036126D">
        <w:t xml:space="preserve"> </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Caption w:val="Table 7 2: Modelling results for airport case study"/>
        <w:tblDescription w:val="The modelling results for the airport case study."/>
      </w:tblPr>
      <w:tblGrid>
        <w:gridCol w:w="3689"/>
        <w:gridCol w:w="1832"/>
        <w:gridCol w:w="1983"/>
        <w:gridCol w:w="2123"/>
      </w:tblGrid>
      <w:tr w:rsidR="00E54D94" w:rsidRPr="007C627A" w:rsidTr="00DD6CB8">
        <w:trPr>
          <w:trHeight w:val="289"/>
        </w:trPr>
        <w:tc>
          <w:tcPr>
            <w:tcW w:w="3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vAlign w:val="center"/>
            <w:hideMark/>
          </w:tcPr>
          <w:p w:rsidR="00E54D94" w:rsidRPr="00C83556" w:rsidRDefault="00E54D94" w:rsidP="00DD6CB8">
            <w:pPr>
              <w:keepNext/>
              <w:spacing w:before="60" w:after="60"/>
              <w:jc w:val="left"/>
              <w:rPr>
                <w:rFonts w:eastAsia="Times New Roman" w:cs="Arial"/>
                <w:color w:val="FFFFFF" w:themeColor="background1"/>
                <w:sz w:val="20"/>
                <w:szCs w:val="20"/>
                <w:lang w:eastAsia="en-AU"/>
              </w:rPr>
            </w:pPr>
            <w:r w:rsidRPr="00C83556">
              <w:rPr>
                <w:color w:val="FFFFFF" w:themeColor="background1"/>
                <w:sz w:val="20"/>
                <w:szCs w:val="20"/>
                <w:lang w:eastAsia="en-AU"/>
              </w:rPr>
              <w:t>Airport</w:t>
            </w:r>
          </w:p>
        </w:tc>
        <w:tc>
          <w:tcPr>
            <w:tcW w:w="1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vAlign w:val="center"/>
            <w:hideMark/>
          </w:tcPr>
          <w:p w:rsidR="00E54D94" w:rsidRPr="00602F49" w:rsidRDefault="00E54D94" w:rsidP="00DD6CB8">
            <w:pPr>
              <w:keepNext/>
              <w:spacing w:before="60" w:after="60"/>
              <w:jc w:val="left"/>
              <w:rPr>
                <w:rFonts w:eastAsia="Times New Roman" w:cs="Arial"/>
                <w:color w:val="FFFFFF" w:themeColor="background1"/>
                <w:sz w:val="20"/>
                <w:szCs w:val="20"/>
                <w:lang w:eastAsia="en-AU"/>
              </w:rPr>
            </w:pPr>
            <w:r w:rsidRPr="00C83556">
              <w:rPr>
                <w:color w:val="FFFFFF" w:themeColor="background1"/>
                <w:sz w:val="20"/>
                <w:szCs w:val="20"/>
                <w:lang w:eastAsia="en-AU"/>
              </w:rPr>
              <w:t>Total Yearly Patronage</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vAlign w:val="center"/>
            <w:hideMark/>
          </w:tcPr>
          <w:p w:rsidR="00E54D94" w:rsidRPr="00602F49" w:rsidRDefault="00E54D94" w:rsidP="00DD6CB8">
            <w:pPr>
              <w:keepNext/>
              <w:spacing w:before="60" w:after="60"/>
              <w:jc w:val="left"/>
              <w:rPr>
                <w:rFonts w:eastAsia="Times New Roman" w:cs="Arial"/>
                <w:color w:val="FFFFFF" w:themeColor="background1"/>
                <w:sz w:val="20"/>
                <w:szCs w:val="20"/>
                <w:lang w:eastAsia="en-AU"/>
              </w:rPr>
            </w:pPr>
            <w:r w:rsidRPr="00602F49">
              <w:rPr>
                <w:color w:val="FFFFFF" w:themeColor="background1"/>
                <w:sz w:val="20"/>
                <w:szCs w:val="20"/>
                <w:lang w:eastAsia="en-AU"/>
              </w:rPr>
              <w:t>Estimated Core Cohort Patronage</w:t>
            </w:r>
          </w:p>
        </w:tc>
        <w:tc>
          <w:tcPr>
            <w:tcW w:w="2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vAlign w:val="center"/>
            <w:hideMark/>
          </w:tcPr>
          <w:p w:rsidR="00E54D94" w:rsidRPr="00DD6CB8" w:rsidRDefault="00E54D94" w:rsidP="001440BA">
            <w:pPr>
              <w:keepNext/>
              <w:spacing w:before="60" w:after="60"/>
              <w:jc w:val="left"/>
              <w:rPr>
                <w:rFonts w:eastAsia="Times New Roman" w:cs="Arial"/>
                <w:color w:val="FFFFFF" w:themeColor="background1"/>
                <w:sz w:val="20"/>
                <w:szCs w:val="20"/>
                <w:lang w:eastAsia="en-AU"/>
              </w:rPr>
            </w:pPr>
            <w:r w:rsidRPr="00DD6CB8">
              <w:rPr>
                <w:color w:val="FFFFFF" w:themeColor="background1"/>
                <w:sz w:val="20"/>
                <w:szCs w:val="20"/>
                <w:lang w:eastAsia="en-AU"/>
              </w:rPr>
              <w:t>Break-</w:t>
            </w:r>
            <w:r w:rsidR="001440BA">
              <w:rPr>
                <w:color w:val="FFFFFF" w:themeColor="background1"/>
                <w:sz w:val="20"/>
                <w:szCs w:val="20"/>
                <w:lang w:eastAsia="en-AU"/>
              </w:rPr>
              <w:t>E</w:t>
            </w:r>
            <w:r w:rsidR="001440BA" w:rsidRPr="00DD6CB8">
              <w:rPr>
                <w:color w:val="FFFFFF" w:themeColor="background1"/>
                <w:sz w:val="20"/>
                <w:szCs w:val="20"/>
                <w:lang w:eastAsia="en-AU"/>
              </w:rPr>
              <w:t xml:space="preserve">ven </w:t>
            </w:r>
            <w:r w:rsidRPr="00DD6CB8">
              <w:rPr>
                <w:color w:val="FFFFFF" w:themeColor="background1"/>
                <w:sz w:val="20"/>
                <w:szCs w:val="20"/>
                <w:lang w:eastAsia="en-AU"/>
              </w:rPr>
              <w:t>(required benefit per trip)</w:t>
            </w:r>
          </w:p>
        </w:tc>
      </w:tr>
      <w:tr w:rsidR="00F21F7E" w:rsidRPr="007C627A" w:rsidTr="00DD6CB8">
        <w:trPr>
          <w:trHeight w:val="290"/>
        </w:trPr>
        <w:tc>
          <w:tcPr>
            <w:tcW w:w="3692" w:type="dxa"/>
            <w:tcBorders>
              <w:top w:val="single" w:sz="4" w:space="0" w:color="FFFFFF" w:themeColor="background1"/>
            </w:tcBorders>
            <w:shd w:val="clear" w:color="auto" w:fill="808080" w:themeFill="background1" w:themeFillShade="80"/>
            <w:noWrap/>
            <w:vAlign w:val="center"/>
          </w:tcPr>
          <w:p w:rsidR="00F21F7E" w:rsidRPr="00C83556" w:rsidRDefault="00F21F7E" w:rsidP="00DD6CB8">
            <w:pPr>
              <w:keepNext/>
              <w:spacing w:before="60" w:after="60"/>
              <w:jc w:val="left"/>
              <w:rPr>
                <w:color w:val="FFFFFF" w:themeColor="background1"/>
                <w:sz w:val="20"/>
                <w:szCs w:val="20"/>
                <w:lang w:eastAsia="en-AU"/>
              </w:rPr>
            </w:pPr>
            <w:r w:rsidRPr="00C83556">
              <w:rPr>
                <w:color w:val="FFFFFF" w:themeColor="background1"/>
                <w:sz w:val="20"/>
                <w:szCs w:val="20"/>
                <w:lang w:eastAsia="en-AU"/>
              </w:rPr>
              <w:t>22% of people with a disability travel</w:t>
            </w:r>
          </w:p>
        </w:tc>
        <w:tc>
          <w:tcPr>
            <w:tcW w:w="1833" w:type="dxa"/>
            <w:tcBorders>
              <w:top w:val="single" w:sz="4" w:space="0" w:color="FFFFFF" w:themeColor="background1"/>
            </w:tcBorders>
            <w:shd w:val="clear" w:color="auto" w:fill="808080" w:themeFill="background1" w:themeFillShade="80"/>
            <w:noWrap/>
            <w:vAlign w:val="center"/>
          </w:tcPr>
          <w:p w:rsidR="00F21F7E" w:rsidRPr="00602F49" w:rsidRDefault="00F21F7E" w:rsidP="00DD6CB8">
            <w:pPr>
              <w:keepNext/>
              <w:spacing w:before="60" w:after="60"/>
              <w:jc w:val="left"/>
              <w:rPr>
                <w:color w:val="FFFFFF" w:themeColor="background1"/>
                <w:sz w:val="20"/>
                <w:szCs w:val="20"/>
                <w:lang w:eastAsia="en-AU"/>
              </w:rPr>
            </w:pPr>
          </w:p>
        </w:tc>
        <w:tc>
          <w:tcPr>
            <w:tcW w:w="1984" w:type="dxa"/>
            <w:tcBorders>
              <w:top w:val="single" w:sz="4" w:space="0" w:color="FFFFFF" w:themeColor="background1"/>
            </w:tcBorders>
            <w:shd w:val="clear" w:color="auto" w:fill="808080" w:themeFill="background1" w:themeFillShade="80"/>
            <w:noWrap/>
            <w:vAlign w:val="center"/>
          </w:tcPr>
          <w:p w:rsidR="00F21F7E" w:rsidRPr="00602F49" w:rsidRDefault="00F21F7E" w:rsidP="00DD6CB8">
            <w:pPr>
              <w:keepNext/>
              <w:spacing w:before="60" w:after="60"/>
              <w:jc w:val="left"/>
              <w:rPr>
                <w:color w:val="FFFFFF" w:themeColor="background1"/>
                <w:sz w:val="20"/>
                <w:szCs w:val="20"/>
                <w:lang w:eastAsia="en-AU"/>
              </w:rPr>
            </w:pPr>
          </w:p>
        </w:tc>
        <w:tc>
          <w:tcPr>
            <w:tcW w:w="2125" w:type="dxa"/>
            <w:tcBorders>
              <w:top w:val="single" w:sz="4" w:space="0" w:color="FFFFFF" w:themeColor="background1"/>
            </w:tcBorders>
            <w:shd w:val="clear" w:color="auto" w:fill="808080" w:themeFill="background1" w:themeFillShade="80"/>
            <w:noWrap/>
            <w:vAlign w:val="center"/>
          </w:tcPr>
          <w:p w:rsidR="00F21F7E" w:rsidRPr="00602F49" w:rsidRDefault="00F21F7E" w:rsidP="00DD6CB8">
            <w:pPr>
              <w:keepNext/>
              <w:spacing w:before="60" w:after="60"/>
              <w:jc w:val="left"/>
              <w:rPr>
                <w:color w:val="FFFFFF" w:themeColor="background1"/>
                <w:sz w:val="20"/>
                <w:szCs w:val="20"/>
                <w:lang w:eastAsia="en-AU"/>
              </w:rPr>
            </w:pPr>
          </w:p>
        </w:tc>
      </w:tr>
      <w:tr w:rsidR="00E14718" w:rsidRPr="007C627A" w:rsidTr="00DD6CB8">
        <w:trPr>
          <w:trHeight w:val="290"/>
        </w:trPr>
        <w:tc>
          <w:tcPr>
            <w:tcW w:w="3692" w:type="dxa"/>
            <w:noWrap/>
            <w:hideMark/>
          </w:tcPr>
          <w:p w:rsidR="00E14718" w:rsidRPr="00C83556" w:rsidRDefault="00E14718" w:rsidP="00E14718">
            <w:pPr>
              <w:keepNext/>
              <w:jc w:val="left"/>
              <w:rPr>
                <w:rFonts w:eastAsia="Times New Roman" w:cs="Arial"/>
                <w:color w:val="000000"/>
                <w:sz w:val="20"/>
                <w:szCs w:val="20"/>
                <w:lang w:eastAsia="en-AU"/>
              </w:rPr>
            </w:pPr>
            <w:r w:rsidRPr="00DD6CB8">
              <w:rPr>
                <w:sz w:val="20"/>
                <w:szCs w:val="20"/>
              </w:rPr>
              <w:t xml:space="preserve">Wagga Wagga </w:t>
            </w:r>
          </w:p>
        </w:tc>
        <w:tc>
          <w:tcPr>
            <w:tcW w:w="1833" w:type="dxa"/>
            <w:noWrap/>
            <w:hideMark/>
          </w:tcPr>
          <w:p w:rsidR="00E14718" w:rsidRPr="00C83556" w:rsidRDefault="00E14718" w:rsidP="007E113B">
            <w:pPr>
              <w:pStyle w:val="EYTableText"/>
              <w:keepNext/>
              <w:jc w:val="right"/>
              <w:rPr>
                <w:sz w:val="20"/>
                <w:szCs w:val="20"/>
              </w:rPr>
            </w:pPr>
            <w:r w:rsidRPr="00DD6CB8">
              <w:rPr>
                <w:sz w:val="20"/>
                <w:szCs w:val="20"/>
              </w:rPr>
              <w:t>224,336</w:t>
            </w:r>
          </w:p>
        </w:tc>
        <w:tc>
          <w:tcPr>
            <w:tcW w:w="1984" w:type="dxa"/>
            <w:noWrap/>
            <w:hideMark/>
          </w:tcPr>
          <w:p w:rsidR="00E14718" w:rsidRPr="00C83556" w:rsidRDefault="00E14718" w:rsidP="007E113B">
            <w:pPr>
              <w:pStyle w:val="EYTableText"/>
              <w:keepNext/>
              <w:jc w:val="right"/>
              <w:rPr>
                <w:sz w:val="20"/>
                <w:szCs w:val="20"/>
              </w:rPr>
            </w:pPr>
            <w:r w:rsidRPr="00DD6CB8">
              <w:rPr>
                <w:sz w:val="20"/>
                <w:szCs w:val="20"/>
              </w:rPr>
              <w:t>739</w:t>
            </w:r>
          </w:p>
        </w:tc>
        <w:tc>
          <w:tcPr>
            <w:tcW w:w="2125" w:type="dxa"/>
            <w:noWrap/>
            <w:vAlign w:val="bottom"/>
            <w:hideMark/>
          </w:tcPr>
          <w:p w:rsidR="00E14718" w:rsidRPr="00DD6CB8" w:rsidRDefault="00E14718" w:rsidP="007E113B">
            <w:pPr>
              <w:pStyle w:val="EYTableText"/>
              <w:keepNext/>
              <w:jc w:val="right"/>
              <w:rPr>
                <w:sz w:val="20"/>
                <w:szCs w:val="20"/>
              </w:rPr>
            </w:pPr>
            <w:r w:rsidRPr="00DD6CB8">
              <w:rPr>
                <w:sz w:val="20"/>
                <w:szCs w:val="20"/>
              </w:rPr>
              <w:t>$6.30</w:t>
            </w:r>
          </w:p>
        </w:tc>
      </w:tr>
      <w:tr w:rsidR="00E14718" w:rsidRPr="007C627A" w:rsidTr="00DD6CB8">
        <w:trPr>
          <w:trHeight w:val="290"/>
        </w:trPr>
        <w:tc>
          <w:tcPr>
            <w:tcW w:w="3692" w:type="dxa"/>
            <w:shd w:val="clear" w:color="auto" w:fill="auto"/>
            <w:noWrap/>
            <w:hideMark/>
          </w:tcPr>
          <w:p w:rsidR="00E14718" w:rsidRPr="00C83556" w:rsidRDefault="00E14718" w:rsidP="00E14718">
            <w:pPr>
              <w:keepNext/>
              <w:jc w:val="left"/>
              <w:rPr>
                <w:rFonts w:eastAsia="Times New Roman" w:cs="Arial"/>
                <w:b/>
                <w:color w:val="000000"/>
                <w:sz w:val="20"/>
                <w:szCs w:val="20"/>
                <w:lang w:eastAsia="en-AU"/>
              </w:rPr>
            </w:pPr>
            <w:r w:rsidRPr="00DD6CB8">
              <w:rPr>
                <w:sz w:val="20"/>
                <w:szCs w:val="20"/>
              </w:rPr>
              <w:t xml:space="preserve">Coffs Harbour </w:t>
            </w:r>
          </w:p>
        </w:tc>
        <w:tc>
          <w:tcPr>
            <w:tcW w:w="1833" w:type="dxa"/>
            <w:shd w:val="clear" w:color="auto" w:fill="auto"/>
            <w:noWrap/>
            <w:hideMark/>
          </w:tcPr>
          <w:p w:rsidR="00E14718" w:rsidRPr="00C83556" w:rsidRDefault="00E14718" w:rsidP="007E113B">
            <w:pPr>
              <w:pStyle w:val="EYTableText"/>
              <w:keepNext/>
              <w:jc w:val="right"/>
              <w:rPr>
                <w:sz w:val="20"/>
                <w:szCs w:val="20"/>
              </w:rPr>
            </w:pPr>
            <w:r w:rsidRPr="00DD6CB8">
              <w:rPr>
                <w:sz w:val="20"/>
                <w:szCs w:val="20"/>
              </w:rPr>
              <w:t>415,768</w:t>
            </w:r>
          </w:p>
        </w:tc>
        <w:tc>
          <w:tcPr>
            <w:tcW w:w="1984" w:type="dxa"/>
            <w:shd w:val="clear" w:color="auto" w:fill="auto"/>
            <w:noWrap/>
          </w:tcPr>
          <w:p w:rsidR="00E14718" w:rsidRPr="00C83556" w:rsidRDefault="00E14718" w:rsidP="007E113B">
            <w:pPr>
              <w:pStyle w:val="EYTableText"/>
              <w:keepNext/>
              <w:jc w:val="right"/>
              <w:rPr>
                <w:sz w:val="20"/>
                <w:szCs w:val="20"/>
              </w:rPr>
            </w:pPr>
            <w:r w:rsidRPr="00DD6CB8">
              <w:rPr>
                <w:sz w:val="20"/>
                <w:szCs w:val="20"/>
              </w:rPr>
              <w:t>1,370</w:t>
            </w:r>
          </w:p>
        </w:tc>
        <w:tc>
          <w:tcPr>
            <w:tcW w:w="2125" w:type="dxa"/>
            <w:shd w:val="clear" w:color="auto" w:fill="auto"/>
            <w:noWrap/>
            <w:vAlign w:val="bottom"/>
          </w:tcPr>
          <w:p w:rsidR="00E14718" w:rsidRPr="00DD6CB8" w:rsidRDefault="00E14718" w:rsidP="007E113B">
            <w:pPr>
              <w:pStyle w:val="EYTableText"/>
              <w:keepNext/>
              <w:jc w:val="right"/>
              <w:rPr>
                <w:sz w:val="20"/>
                <w:szCs w:val="20"/>
              </w:rPr>
            </w:pPr>
            <w:r w:rsidRPr="00DD6CB8">
              <w:rPr>
                <w:sz w:val="20"/>
                <w:szCs w:val="20"/>
              </w:rPr>
              <w:t>$3.40</w:t>
            </w:r>
          </w:p>
        </w:tc>
      </w:tr>
      <w:tr w:rsidR="00E14718" w:rsidRPr="007C627A" w:rsidTr="00DD6CB8">
        <w:trPr>
          <w:trHeight w:val="345"/>
        </w:trPr>
        <w:tc>
          <w:tcPr>
            <w:tcW w:w="3692" w:type="dxa"/>
            <w:shd w:val="clear" w:color="auto" w:fill="auto"/>
            <w:hideMark/>
          </w:tcPr>
          <w:p w:rsidR="00E14718" w:rsidRPr="00C83556" w:rsidRDefault="00E14718" w:rsidP="00E14718">
            <w:pPr>
              <w:keepNext/>
              <w:jc w:val="left"/>
              <w:rPr>
                <w:rFonts w:eastAsia="Times New Roman" w:cs="Arial"/>
                <w:color w:val="000000"/>
                <w:sz w:val="20"/>
                <w:szCs w:val="20"/>
                <w:lang w:eastAsia="en-AU"/>
              </w:rPr>
            </w:pPr>
            <w:r w:rsidRPr="00DD6CB8">
              <w:rPr>
                <w:sz w:val="20"/>
                <w:szCs w:val="20"/>
              </w:rPr>
              <w:t xml:space="preserve">Townsville </w:t>
            </w:r>
          </w:p>
        </w:tc>
        <w:tc>
          <w:tcPr>
            <w:tcW w:w="1833" w:type="dxa"/>
            <w:shd w:val="clear" w:color="auto" w:fill="auto"/>
            <w:noWrap/>
            <w:hideMark/>
          </w:tcPr>
          <w:p w:rsidR="00E14718" w:rsidRPr="00C83556" w:rsidRDefault="00E14718" w:rsidP="007E113B">
            <w:pPr>
              <w:pStyle w:val="EYTableText"/>
              <w:keepNext/>
              <w:jc w:val="right"/>
              <w:rPr>
                <w:sz w:val="20"/>
                <w:szCs w:val="20"/>
              </w:rPr>
            </w:pPr>
            <w:r w:rsidRPr="00DD6CB8">
              <w:rPr>
                <w:sz w:val="20"/>
                <w:szCs w:val="20"/>
              </w:rPr>
              <w:t>1,590,025</w:t>
            </w:r>
          </w:p>
        </w:tc>
        <w:tc>
          <w:tcPr>
            <w:tcW w:w="1984" w:type="dxa"/>
            <w:shd w:val="clear" w:color="auto" w:fill="auto"/>
            <w:noWrap/>
            <w:hideMark/>
          </w:tcPr>
          <w:p w:rsidR="00E14718" w:rsidRPr="00C83556" w:rsidRDefault="00E14718" w:rsidP="007E113B">
            <w:pPr>
              <w:pStyle w:val="EYTableText"/>
              <w:keepNext/>
              <w:jc w:val="right"/>
              <w:rPr>
                <w:sz w:val="20"/>
                <w:szCs w:val="20"/>
              </w:rPr>
            </w:pPr>
            <w:r w:rsidRPr="00DD6CB8">
              <w:rPr>
                <w:sz w:val="20"/>
                <w:szCs w:val="20"/>
              </w:rPr>
              <w:t>5,238</w:t>
            </w:r>
          </w:p>
        </w:tc>
        <w:tc>
          <w:tcPr>
            <w:tcW w:w="2125" w:type="dxa"/>
            <w:shd w:val="clear" w:color="auto" w:fill="auto"/>
            <w:noWrap/>
            <w:vAlign w:val="bottom"/>
            <w:hideMark/>
          </w:tcPr>
          <w:p w:rsidR="00E14718" w:rsidRPr="00DD6CB8" w:rsidRDefault="00E14718" w:rsidP="007E113B">
            <w:pPr>
              <w:pStyle w:val="EYTableText"/>
              <w:keepNext/>
              <w:jc w:val="right"/>
              <w:rPr>
                <w:sz w:val="20"/>
                <w:szCs w:val="20"/>
              </w:rPr>
            </w:pPr>
            <w:r w:rsidRPr="00DD6CB8">
              <w:rPr>
                <w:sz w:val="20"/>
                <w:szCs w:val="20"/>
              </w:rPr>
              <w:t>$0.89</w:t>
            </w:r>
          </w:p>
        </w:tc>
      </w:tr>
      <w:tr w:rsidR="00E14718" w:rsidRPr="007C627A" w:rsidTr="00DD6CB8">
        <w:trPr>
          <w:trHeight w:val="290"/>
        </w:trPr>
        <w:tc>
          <w:tcPr>
            <w:tcW w:w="3692" w:type="dxa"/>
            <w:shd w:val="clear" w:color="auto" w:fill="auto"/>
            <w:noWrap/>
            <w:hideMark/>
          </w:tcPr>
          <w:p w:rsidR="00E14718" w:rsidRPr="00C83556" w:rsidRDefault="00E14718" w:rsidP="00E14718">
            <w:pPr>
              <w:keepNext/>
              <w:jc w:val="left"/>
              <w:rPr>
                <w:rFonts w:eastAsia="Times New Roman" w:cs="Arial"/>
                <w:color w:val="000000"/>
                <w:sz w:val="20"/>
                <w:szCs w:val="20"/>
                <w:lang w:eastAsia="en-AU"/>
              </w:rPr>
            </w:pPr>
            <w:r w:rsidRPr="00DD6CB8">
              <w:rPr>
                <w:sz w:val="20"/>
                <w:szCs w:val="20"/>
              </w:rPr>
              <w:t>Western Sydney (prospective)</w:t>
            </w:r>
          </w:p>
        </w:tc>
        <w:tc>
          <w:tcPr>
            <w:tcW w:w="1833" w:type="dxa"/>
            <w:shd w:val="clear" w:color="auto" w:fill="auto"/>
            <w:noWrap/>
            <w:hideMark/>
          </w:tcPr>
          <w:p w:rsidR="00E14718" w:rsidRPr="00C83556" w:rsidRDefault="00E14718" w:rsidP="007E113B">
            <w:pPr>
              <w:pStyle w:val="EYTableText"/>
              <w:keepNext/>
              <w:jc w:val="right"/>
              <w:rPr>
                <w:sz w:val="20"/>
                <w:szCs w:val="20"/>
              </w:rPr>
            </w:pPr>
            <w:r w:rsidRPr="00DD6CB8">
              <w:rPr>
                <w:sz w:val="20"/>
                <w:szCs w:val="20"/>
              </w:rPr>
              <w:t>5,000,000</w:t>
            </w:r>
          </w:p>
        </w:tc>
        <w:tc>
          <w:tcPr>
            <w:tcW w:w="1984" w:type="dxa"/>
            <w:shd w:val="clear" w:color="auto" w:fill="auto"/>
            <w:noWrap/>
            <w:hideMark/>
          </w:tcPr>
          <w:p w:rsidR="00E14718" w:rsidRPr="00C83556" w:rsidRDefault="00E14718" w:rsidP="007E113B">
            <w:pPr>
              <w:pStyle w:val="EYTableText"/>
              <w:keepNext/>
              <w:jc w:val="right"/>
              <w:rPr>
                <w:sz w:val="20"/>
                <w:szCs w:val="20"/>
              </w:rPr>
            </w:pPr>
            <w:r w:rsidRPr="00DD6CB8">
              <w:rPr>
                <w:sz w:val="20"/>
                <w:szCs w:val="20"/>
              </w:rPr>
              <w:t>16,470</w:t>
            </w:r>
          </w:p>
        </w:tc>
        <w:tc>
          <w:tcPr>
            <w:tcW w:w="2125" w:type="dxa"/>
            <w:shd w:val="clear" w:color="auto" w:fill="auto"/>
            <w:noWrap/>
            <w:vAlign w:val="bottom"/>
            <w:hideMark/>
          </w:tcPr>
          <w:p w:rsidR="00E14718" w:rsidRPr="00DD6CB8" w:rsidRDefault="00E14718" w:rsidP="007E113B">
            <w:pPr>
              <w:pStyle w:val="EYTableText"/>
              <w:keepNext/>
              <w:jc w:val="right"/>
              <w:rPr>
                <w:sz w:val="20"/>
                <w:szCs w:val="20"/>
              </w:rPr>
            </w:pPr>
            <w:r w:rsidRPr="00DD6CB8">
              <w:rPr>
                <w:sz w:val="20"/>
                <w:szCs w:val="20"/>
              </w:rPr>
              <w:t>$0.28</w:t>
            </w:r>
          </w:p>
        </w:tc>
      </w:tr>
      <w:tr w:rsidR="00E54D94" w:rsidRPr="007C627A" w:rsidTr="00DD6CB8">
        <w:trPr>
          <w:trHeight w:val="290"/>
        </w:trPr>
        <w:tc>
          <w:tcPr>
            <w:tcW w:w="3692" w:type="dxa"/>
            <w:shd w:val="clear" w:color="auto" w:fill="auto"/>
            <w:noWrap/>
            <w:hideMark/>
          </w:tcPr>
          <w:p w:rsidR="00E54D94" w:rsidRPr="00C83556" w:rsidRDefault="00E54D94" w:rsidP="00E54D94">
            <w:pPr>
              <w:keepNext/>
              <w:jc w:val="left"/>
              <w:rPr>
                <w:rFonts w:eastAsia="Times New Roman" w:cs="Arial"/>
                <w:color w:val="000000"/>
                <w:sz w:val="20"/>
                <w:szCs w:val="20"/>
                <w:lang w:eastAsia="en-AU"/>
              </w:rPr>
            </w:pPr>
            <w:r w:rsidRPr="00DD6CB8">
              <w:rPr>
                <w:sz w:val="20"/>
                <w:szCs w:val="20"/>
              </w:rPr>
              <w:t xml:space="preserve">Adelaide </w:t>
            </w:r>
          </w:p>
        </w:tc>
        <w:tc>
          <w:tcPr>
            <w:tcW w:w="1833" w:type="dxa"/>
            <w:shd w:val="clear" w:color="auto" w:fill="auto"/>
            <w:noWrap/>
            <w:hideMark/>
          </w:tcPr>
          <w:p w:rsidR="00E54D94" w:rsidRPr="00C83556" w:rsidRDefault="00E54D94" w:rsidP="007E113B">
            <w:pPr>
              <w:pStyle w:val="EYTableText"/>
              <w:keepNext/>
              <w:jc w:val="right"/>
              <w:rPr>
                <w:sz w:val="20"/>
                <w:szCs w:val="20"/>
              </w:rPr>
            </w:pPr>
            <w:r w:rsidRPr="00DD6CB8">
              <w:rPr>
                <w:sz w:val="20"/>
                <w:szCs w:val="20"/>
              </w:rPr>
              <w:t>8,111,934</w:t>
            </w:r>
          </w:p>
        </w:tc>
        <w:tc>
          <w:tcPr>
            <w:tcW w:w="1984" w:type="dxa"/>
            <w:shd w:val="clear" w:color="auto" w:fill="auto"/>
            <w:noWrap/>
            <w:hideMark/>
          </w:tcPr>
          <w:p w:rsidR="00E54D94" w:rsidRPr="00C83556" w:rsidRDefault="00E54D94" w:rsidP="007E113B">
            <w:pPr>
              <w:pStyle w:val="EYTableText"/>
              <w:keepNext/>
              <w:jc w:val="right"/>
              <w:rPr>
                <w:sz w:val="20"/>
                <w:szCs w:val="20"/>
              </w:rPr>
            </w:pPr>
            <w:r w:rsidRPr="00DD6CB8">
              <w:rPr>
                <w:sz w:val="20"/>
                <w:szCs w:val="20"/>
              </w:rPr>
              <w:t>26,721</w:t>
            </w:r>
          </w:p>
        </w:tc>
        <w:tc>
          <w:tcPr>
            <w:tcW w:w="2125" w:type="dxa"/>
            <w:shd w:val="clear" w:color="auto" w:fill="auto"/>
            <w:noWrap/>
            <w:hideMark/>
          </w:tcPr>
          <w:p w:rsidR="00E54D94" w:rsidRPr="00C83556" w:rsidRDefault="00E54D94" w:rsidP="007E113B">
            <w:pPr>
              <w:pStyle w:val="EYTableText"/>
              <w:keepNext/>
              <w:jc w:val="right"/>
              <w:rPr>
                <w:sz w:val="20"/>
                <w:szCs w:val="20"/>
              </w:rPr>
            </w:pPr>
            <w:r w:rsidRPr="00DD6CB8">
              <w:rPr>
                <w:sz w:val="20"/>
                <w:szCs w:val="20"/>
              </w:rPr>
              <w:t>$0.17</w:t>
            </w:r>
          </w:p>
        </w:tc>
      </w:tr>
      <w:tr w:rsidR="00E54D94" w:rsidRPr="007C627A" w:rsidTr="00DD6CB8">
        <w:trPr>
          <w:trHeight w:val="290"/>
        </w:trPr>
        <w:tc>
          <w:tcPr>
            <w:tcW w:w="3692" w:type="dxa"/>
            <w:shd w:val="clear" w:color="auto" w:fill="auto"/>
            <w:noWrap/>
            <w:hideMark/>
          </w:tcPr>
          <w:p w:rsidR="00E54D94" w:rsidRPr="00C83556" w:rsidRDefault="00E54D94" w:rsidP="00E54D94">
            <w:pPr>
              <w:keepNext/>
              <w:jc w:val="left"/>
              <w:rPr>
                <w:rFonts w:eastAsia="Times New Roman" w:cs="Arial"/>
                <w:b/>
                <w:color w:val="000000"/>
                <w:sz w:val="20"/>
                <w:szCs w:val="20"/>
                <w:lang w:eastAsia="en-AU"/>
              </w:rPr>
            </w:pPr>
            <w:r w:rsidRPr="00DD6CB8">
              <w:rPr>
                <w:sz w:val="20"/>
                <w:szCs w:val="20"/>
              </w:rPr>
              <w:t xml:space="preserve">Perth </w:t>
            </w:r>
          </w:p>
        </w:tc>
        <w:tc>
          <w:tcPr>
            <w:tcW w:w="1833" w:type="dxa"/>
            <w:shd w:val="clear" w:color="auto" w:fill="auto"/>
            <w:noWrap/>
            <w:hideMark/>
          </w:tcPr>
          <w:p w:rsidR="00E54D94" w:rsidRPr="00C83556" w:rsidRDefault="00E54D94" w:rsidP="007E113B">
            <w:pPr>
              <w:pStyle w:val="EYTableText"/>
              <w:keepNext/>
              <w:jc w:val="right"/>
              <w:rPr>
                <w:sz w:val="20"/>
                <w:szCs w:val="20"/>
              </w:rPr>
            </w:pPr>
            <w:r w:rsidRPr="00DD6CB8">
              <w:rPr>
                <w:sz w:val="20"/>
                <w:szCs w:val="20"/>
              </w:rPr>
              <w:t>12,381,495</w:t>
            </w:r>
          </w:p>
        </w:tc>
        <w:tc>
          <w:tcPr>
            <w:tcW w:w="1984" w:type="dxa"/>
            <w:shd w:val="clear" w:color="auto" w:fill="auto"/>
            <w:noWrap/>
          </w:tcPr>
          <w:p w:rsidR="00E54D94" w:rsidRPr="00C83556" w:rsidRDefault="00E54D94" w:rsidP="007E113B">
            <w:pPr>
              <w:pStyle w:val="EYTableText"/>
              <w:keepNext/>
              <w:jc w:val="right"/>
              <w:rPr>
                <w:sz w:val="20"/>
                <w:szCs w:val="20"/>
              </w:rPr>
            </w:pPr>
            <w:r w:rsidRPr="00DD6CB8">
              <w:rPr>
                <w:sz w:val="20"/>
                <w:szCs w:val="20"/>
              </w:rPr>
              <w:t>40,785</w:t>
            </w:r>
          </w:p>
        </w:tc>
        <w:tc>
          <w:tcPr>
            <w:tcW w:w="2125" w:type="dxa"/>
            <w:shd w:val="clear" w:color="auto" w:fill="auto"/>
            <w:noWrap/>
          </w:tcPr>
          <w:p w:rsidR="00E54D94" w:rsidRPr="00C83556" w:rsidRDefault="00E54D94" w:rsidP="007E113B">
            <w:pPr>
              <w:pStyle w:val="EYTableText"/>
              <w:keepNext/>
              <w:jc w:val="right"/>
              <w:rPr>
                <w:sz w:val="20"/>
                <w:szCs w:val="20"/>
              </w:rPr>
            </w:pPr>
            <w:r w:rsidRPr="00DD6CB8">
              <w:rPr>
                <w:sz w:val="20"/>
                <w:szCs w:val="20"/>
              </w:rPr>
              <w:t>$0.11</w:t>
            </w:r>
          </w:p>
        </w:tc>
      </w:tr>
      <w:tr w:rsidR="00E54D94" w:rsidRPr="007C627A" w:rsidTr="00DD6CB8">
        <w:trPr>
          <w:trHeight w:val="290"/>
        </w:trPr>
        <w:tc>
          <w:tcPr>
            <w:tcW w:w="3692" w:type="dxa"/>
            <w:shd w:val="clear" w:color="auto" w:fill="auto"/>
            <w:noWrap/>
            <w:hideMark/>
          </w:tcPr>
          <w:p w:rsidR="00E54D94" w:rsidRPr="00C83556" w:rsidRDefault="00E54D94" w:rsidP="00E54D94">
            <w:pPr>
              <w:keepNext/>
              <w:jc w:val="left"/>
              <w:rPr>
                <w:rFonts w:eastAsia="Times New Roman" w:cs="Arial"/>
                <w:color w:val="000000"/>
                <w:sz w:val="20"/>
                <w:szCs w:val="20"/>
                <w:lang w:eastAsia="en-AU"/>
              </w:rPr>
            </w:pPr>
            <w:r w:rsidRPr="00DD6CB8">
              <w:rPr>
                <w:sz w:val="20"/>
                <w:szCs w:val="20"/>
              </w:rPr>
              <w:t xml:space="preserve">Brisbane </w:t>
            </w:r>
          </w:p>
        </w:tc>
        <w:tc>
          <w:tcPr>
            <w:tcW w:w="1833" w:type="dxa"/>
            <w:shd w:val="clear" w:color="auto" w:fill="auto"/>
            <w:noWrap/>
            <w:hideMark/>
          </w:tcPr>
          <w:p w:rsidR="00E54D94" w:rsidRPr="00C83556" w:rsidRDefault="00E54D94" w:rsidP="007E113B">
            <w:pPr>
              <w:pStyle w:val="EYTableText"/>
              <w:keepNext/>
              <w:jc w:val="right"/>
              <w:rPr>
                <w:sz w:val="20"/>
                <w:szCs w:val="20"/>
              </w:rPr>
            </w:pPr>
            <w:r w:rsidRPr="00DD6CB8">
              <w:rPr>
                <w:sz w:val="20"/>
                <w:szCs w:val="20"/>
              </w:rPr>
              <w:t>22,949,267</w:t>
            </w:r>
          </w:p>
        </w:tc>
        <w:tc>
          <w:tcPr>
            <w:tcW w:w="1984" w:type="dxa"/>
            <w:shd w:val="clear" w:color="auto" w:fill="auto"/>
            <w:noWrap/>
            <w:hideMark/>
          </w:tcPr>
          <w:p w:rsidR="00E54D94" w:rsidRPr="00C83556" w:rsidRDefault="00E54D94" w:rsidP="007E113B">
            <w:pPr>
              <w:pStyle w:val="EYTableText"/>
              <w:keepNext/>
              <w:jc w:val="right"/>
              <w:rPr>
                <w:sz w:val="20"/>
                <w:szCs w:val="20"/>
              </w:rPr>
            </w:pPr>
            <w:r w:rsidRPr="00DD6CB8">
              <w:rPr>
                <w:sz w:val="20"/>
                <w:szCs w:val="20"/>
              </w:rPr>
              <w:t>75,596</w:t>
            </w:r>
          </w:p>
        </w:tc>
        <w:tc>
          <w:tcPr>
            <w:tcW w:w="2125" w:type="dxa"/>
            <w:shd w:val="clear" w:color="auto" w:fill="auto"/>
            <w:noWrap/>
            <w:hideMark/>
          </w:tcPr>
          <w:p w:rsidR="00E54D94" w:rsidRPr="00C83556" w:rsidRDefault="00E54D94" w:rsidP="007E113B">
            <w:pPr>
              <w:pStyle w:val="EYTableText"/>
              <w:keepNext/>
              <w:jc w:val="right"/>
              <w:rPr>
                <w:sz w:val="20"/>
                <w:szCs w:val="20"/>
              </w:rPr>
            </w:pPr>
            <w:r w:rsidRPr="00DD6CB8">
              <w:rPr>
                <w:sz w:val="20"/>
                <w:szCs w:val="20"/>
              </w:rPr>
              <w:t>$0.06</w:t>
            </w:r>
          </w:p>
        </w:tc>
      </w:tr>
      <w:tr w:rsidR="00E54D94" w:rsidRPr="007C627A" w:rsidTr="00DD6CB8">
        <w:trPr>
          <w:trHeight w:val="290"/>
        </w:trPr>
        <w:tc>
          <w:tcPr>
            <w:tcW w:w="3692" w:type="dxa"/>
            <w:shd w:val="clear" w:color="auto" w:fill="auto"/>
            <w:noWrap/>
            <w:hideMark/>
          </w:tcPr>
          <w:p w:rsidR="00E54D94" w:rsidRPr="00C83556" w:rsidRDefault="00E54D94" w:rsidP="00E54D94">
            <w:pPr>
              <w:keepNext/>
              <w:jc w:val="left"/>
              <w:rPr>
                <w:rFonts w:eastAsia="Times New Roman" w:cs="Arial"/>
                <w:color w:val="000000"/>
                <w:sz w:val="20"/>
                <w:szCs w:val="20"/>
                <w:lang w:eastAsia="en-AU"/>
              </w:rPr>
            </w:pPr>
            <w:r w:rsidRPr="00DD6CB8">
              <w:rPr>
                <w:sz w:val="20"/>
                <w:szCs w:val="20"/>
              </w:rPr>
              <w:t xml:space="preserve">Melbourne </w:t>
            </w:r>
          </w:p>
        </w:tc>
        <w:tc>
          <w:tcPr>
            <w:tcW w:w="1833" w:type="dxa"/>
            <w:shd w:val="clear" w:color="auto" w:fill="auto"/>
            <w:noWrap/>
            <w:hideMark/>
          </w:tcPr>
          <w:p w:rsidR="00E54D94" w:rsidRPr="00C83556" w:rsidRDefault="00E54D94" w:rsidP="007E113B">
            <w:pPr>
              <w:pStyle w:val="EYTableText"/>
              <w:keepNext/>
              <w:jc w:val="right"/>
              <w:rPr>
                <w:sz w:val="20"/>
                <w:szCs w:val="20"/>
              </w:rPr>
            </w:pPr>
            <w:r w:rsidRPr="00DD6CB8">
              <w:rPr>
                <w:sz w:val="20"/>
                <w:szCs w:val="20"/>
              </w:rPr>
              <w:t>35,559,378</w:t>
            </w:r>
          </w:p>
        </w:tc>
        <w:tc>
          <w:tcPr>
            <w:tcW w:w="1984" w:type="dxa"/>
            <w:shd w:val="clear" w:color="auto" w:fill="auto"/>
            <w:noWrap/>
            <w:hideMark/>
          </w:tcPr>
          <w:p w:rsidR="00E54D94" w:rsidRPr="00C83556" w:rsidRDefault="00E54D94" w:rsidP="007E113B">
            <w:pPr>
              <w:pStyle w:val="EYTableText"/>
              <w:keepNext/>
              <w:jc w:val="right"/>
              <w:rPr>
                <w:sz w:val="20"/>
                <w:szCs w:val="20"/>
              </w:rPr>
            </w:pPr>
            <w:r w:rsidRPr="00DD6CB8">
              <w:rPr>
                <w:sz w:val="20"/>
                <w:szCs w:val="20"/>
              </w:rPr>
              <w:t>117,134</w:t>
            </w:r>
          </w:p>
        </w:tc>
        <w:tc>
          <w:tcPr>
            <w:tcW w:w="2125" w:type="dxa"/>
            <w:shd w:val="clear" w:color="auto" w:fill="auto"/>
            <w:noWrap/>
            <w:hideMark/>
          </w:tcPr>
          <w:p w:rsidR="00E54D94" w:rsidRPr="00C83556" w:rsidRDefault="00E54D94" w:rsidP="007E113B">
            <w:pPr>
              <w:pStyle w:val="EYTableText"/>
              <w:keepNext/>
              <w:jc w:val="right"/>
              <w:rPr>
                <w:sz w:val="20"/>
                <w:szCs w:val="20"/>
              </w:rPr>
            </w:pPr>
            <w:r w:rsidRPr="00DD6CB8">
              <w:rPr>
                <w:sz w:val="20"/>
                <w:szCs w:val="20"/>
              </w:rPr>
              <w:t>$0.04</w:t>
            </w:r>
          </w:p>
        </w:tc>
      </w:tr>
      <w:tr w:rsidR="00E54D94" w:rsidRPr="0068071B" w:rsidTr="00DD6CB8">
        <w:trPr>
          <w:trHeight w:val="290"/>
        </w:trPr>
        <w:tc>
          <w:tcPr>
            <w:tcW w:w="3692" w:type="dxa"/>
            <w:shd w:val="clear" w:color="auto" w:fill="auto"/>
            <w:noWrap/>
            <w:hideMark/>
          </w:tcPr>
          <w:p w:rsidR="00E54D94" w:rsidRPr="00C83556" w:rsidRDefault="00E54D94" w:rsidP="00E54D94">
            <w:pPr>
              <w:keepNext/>
              <w:jc w:val="left"/>
              <w:rPr>
                <w:rFonts w:eastAsia="Times New Roman" w:cs="Arial"/>
                <w:b/>
                <w:color w:val="000000"/>
                <w:sz w:val="20"/>
                <w:szCs w:val="20"/>
                <w:lang w:eastAsia="en-AU"/>
              </w:rPr>
            </w:pPr>
            <w:r w:rsidRPr="00DD6CB8">
              <w:rPr>
                <w:sz w:val="20"/>
                <w:szCs w:val="20"/>
              </w:rPr>
              <w:t xml:space="preserve">Sydney </w:t>
            </w:r>
          </w:p>
        </w:tc>
        <w:tc>
          <w:tcPr>
            <w:tcW w:w="1833" w:type="dxa"/>
            <w:shd w:val="clear" w:color="auto" w:fill="auto"/>
            <w:noWrap/>
            <w:hideMark/>
          </w:tcPr>
          <w:p w:rsidR="00E54D94" w:rsidRPr="00C83556" w:rsidRDefault="00E54D94" w:rsidP="007E113B">
            <w:pPr>
              <w:pStyle w:val="EYTableText"/>
              <w:keepNext/>
              <w:jc w:val="right"/>
              <w:rPr>
                <w:sz w:val="20"/>
                <w:szCs w:val="20"/>
              </w:rPr>
            </w:pPr>
            <w:r w:rsidRPr="00DD6CB8">
              <w:rPr>
                <w:sz w:val="20"/>
                <w:szCs w:val="20"/>
              </w:rPr>
              <w:t>43,329,917</w:t>
            </w:r>
          </w:p>
        </w:tc>
        <w:tc>
          <w:tcPr>
            <w:tcW w:w="1984" w:type="dxa"/>
            <w:shd w:val="clear" w:color="auto" w:fill="auto"/>
            <w:noWrap/>
          </w:tcPr>
          <w:p w:rsidR="00E54D94" w:rsidRPr="00C83556" w:rsidRDefault="00E54D94" w:rsidP="007E113B">
            <w:pPr>
              <w:pStyle w:val="EYTableText"/>
              <w:keepNext/>
              <w:jc w:val="right"/>
              <w:rPr>
                <w:sz w:val="20"/>
                <w:szCs w:val="20"/>
              </w:rPr>
            </w:pPr>
            <w:r w:rsidRPr="00DD6CB8">
              <w:rPr>
                <w:sz w:val="20"/>
                <w:szCs w:val="20"/>
              </w:rPr>
              <w:t>142,731</w:t>
            </w:r>
          </w:p>
        </w:tc>
        <w:tc>
          <w:tcPr>
            <w:tcW w:w="2125" w:type="dxa"/>
            <w:shd w:val="clear" w:color="auto" w:fill="auto"/>
            <w:noWrap/>
          </w:tcPr>
          <w:p w:rsidR="00E54D94" w:rsidRPr="00C83556" w:rsidRDefault="00E54D94" w:rsidP="007E113B">
            <w:pPr>
              <w:pStyle w:val="EYTableText"/>
              <w:keepNext/>
              <w:jc w:val="right"/>
              <w:rPr>
                <w:sz w:val="20"/>
                <w:szCs w:val="20"/>
              </w:rPr>
            </w:pPr>
            <w:r w:rsidRPr="00DD6CB8">
              <w:rPr>
                <w:sz w:val="20"/>
                <w:szCs w:val="20"/>
              </w:rPr>
              <w:t>$0.03</w:t>
            </w:r>
          </w:p>
        </w:tc>
      </w:tr>
      <w:tr w:rsidR="00F21F7E" w:rsidRPr="0068071B" w:rsidTr="00DD6CB8">
        <w:trPr>
          <w:trHeight w:val="290"/>
        </w:trPr>
        <w:tc>
          <w:tcPr>
            <w:tcW w:w="3692" w:type="dxa"/>
            <w:shd w:val="clear" w:color="auto" w:fill="808080" w:themeFill="background1" w:themeFillShade="80"/>
            <w:noWrap/>
          </w:tcPr>
          <w:p w:rsidR="00F21F7E" w:rsidRPr="00DD6CB8" w:rsidRDefault="00F21F7E" w:rsidP="00DD6CB8">
            <w:pPr>
              <w:keepNext/>
              <w:spacing w:before="60" w:after="60"/>
              <w:jc w:val="left"/>
              <w:rPr>
                <w:sz w:val="20"/>
                <w:szCs w:val="20"/>
              </w:rPr>
            </w:pPr>
            <w:r w:rsidRPr="00C83556">
              <w:rPr>
                <w:color w:val="FFFFFF" w:themeColor="background1"/>
                <w:sz w:val="20"/>
                <w:szCs w:val="20"/>
                <w:lang w:eastAsia="en-AU"/>
              </w:rPr>
              <w:t>11% of people with a disability travel</w:t>
            </w:r>
          </w:p>
        </w:tc>
        <w:tc>
          <w:tcPr>
            <w:tcW w:w="1833" w:type="dxa"/>
            <w:shd w:val="clear" w:color="auto" w:fill="808080" w:themeFill="background1" w:themeFillShade="80"/>
            <w:noWrap/>
          </w:tcPr>
          <w:p w:rsidR="00F21F7E" w:rsidRPr="00DD6CB8" w:rsidRDefault="00F21F7E" w:rsidP="00E54D94">
            <w:pPr>
              <w:pStyle w:val="EYTableText"/>
              <w:keepNext/>
              <w:jc w:val="right"/>
              <w:rPr>
                <w:sz w:val="20"/>
                <w:szCs w:val="20"/>
              </w:rPr>
            </w:pPr>
          </w:p>
        </w:tc>
        <w:tc>
          <w:tcPr>
            <w:tcW w:w="1984" w:type="dxa"/>
            <w:shd w:val="clear" w:color="auto" w:fill="808080" w:themeFill="background1" w:themeFillShade="80"/>
            <w:noWrap/>
          </w:tcPr>
          <w:p w:rsidR="00F21F7E" w:rsidRPr="00DD6CB8" w:rsidRDefault="00F21F7E" w:rsidP="00E54D94">
            <w:pPr>
              <w:pStyle w:val="EYTableText"/>
              <w:keepNext/>
              <w:jc w:val="right"/>
              <w:rPr>
                <w:sz w:val="20"/>
                <w:szCs w:val="20"/>
              </w:rPr>
            </w:pPr>
          </w:p>
        </w:tc>
        <w:tc>
          <w:tcPr>
            <w:tcW w:w="2125" w:type="dxa"/>
            <w:shd w:val="clear" w:color="auto" w:fill="808080" w:themeFill="background1" w:themeFillShade="80"/>
            <w:noWrap/>
          </w:tcPr>
          <w:p w:rsidR="00F21F7E" w:rsidRPr="00DD6CB8" w:rsidRDefault="00F21F7E" w:rsidP="00E54D94">
            <w:pPr>
              <w:pStyle w:val="EYTableText"/>
              <w:keepNext/>
              <w:jc w:val="right"/>
              <w:rPr>
                <w:sz w:val="20"/>
                <w:szCs w:val="20"/>
              </w:rPr>
            </w:pPr>
          </w:p>
        </w:tc>
      </w:tr>
      <w:tr w:rsidR="00E14718" w:rsidRPr="0068071B" w:rsidTr="00DD6CB8">
        <w:trPr>
          <w:trHeight w:val="290"/>
        </w:trPr>
        <w:tc>
          <w:tcPr>
            <w:tcW w:w="3692" w:type="dxa"/>
            <w:shd w:val="clear" w:color="auto" w:fill="auto"/>
            <w:noWrap/>
          </w:tcPr>
          <w:p w:rsidR="00E14718" w:rsidRPr="00C6512A" w:rsidRDefault="00E14718" w:rsidP="00E14718">
            <w:pPr>
              <w:keepNext/>
              <w:jc w:val="left"/>
              <w:rPr>
                <w:sz w:val="20"/>
                <w:szCs w:val="20"/>
              </w:rPr>
            </w:pPr>
            <w:r w:rsidRPr="00C6512A">
              <w:rPr>
                <w:sz w:val="20"/>
                <w:szCs w:val="20"/>
              </w:rPr>
              <w:t xml:space="preserve">Wagga Wagga </w:t>
            </w:r>
          </w:p>
        </w:tc>
        <w:tc>
          <w:tcPr>
            <w:tcW w:w="1833"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224,336</w:t>
            </w:r>
          </w:p>
        </w:tc>
        <w:tc>
          <w:tcPr>
            <w:tcW w:w="1984"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369</w:t>
            </w:r>
          </w:p>
        </w:tc>
        <w:tc>
          <w:tcPr>
            <w:tcW w:w="2125" w:type="dxa"/>
            <w:shd w:val="clear" w:color="auto" w:fill="auto"/>
            <w:noWrap/>
            <w:vAlign w:val="bottom"/>
          </w:tcPr>
          <w:p w:rsidR="00E14718" w:rsidRPr="00DD6CB8" w:rsidRDefault="00E14718" w:rsidP="007E113B">
            <w:pPr>
              <w:pStyle w:val="EYTableText"/>
              <w:keepNext/>
              <w:jc w:val="right"/>
              <w:rPr>
                <w:sz w:val="20"/>
                <w:szCs w:val="20"/>
              </w:rPr>
            </w:pPr>
            <w:r w:rsidRPr="00DD6CB8">
              <w:rPr>
                <w:sz w:val="20"/>
                <w:szCs w:val="20"/>
              </w:rPr>
              <w:t>$12.60</w:t>
            </w:r>
          </w:p>
        </w:tc>
      </w:tr>
      <w:tr w:rsidR="00E14718" w:rsidRPr="0068071B" w:rsidTr="00DD6CB8">
        <w:trPr>
          <w:trHeight w:val="290"/>
        </w:trPr>
        <w:tc>
          <w:tcPr>
            <w:tcW w:w="3692" w:type="dxa"/>
            <w:shd w:val="clear" w:color="auto" w:fill="auto"/>
            <w:noWrap/>
          </w:tcPr>
          <w:p w:rsidR="00E14718" w:rsidRPr="00C6512A" w:rsidRDefault="00E14718" w:rsidP="00E14718">
            <w:pPr>
              <w:keepNext/>
              <w:jc w:val="left"/>
              <w:rPr>
                <w:sz w:val="20"/>
                <w:szCs w:val="20"/>
              </w:rPr>
            </w:pPr>
            <w:r w:rsidRPr="00C6512A">
              <w:rPr>
                <w:sz w:val="20"/>
                <w:szCs w:val="20"/>
              </w:rPr>
              <w:t xml:space="preserve">Coffs Harbour </w:t>
            </w:r>
          </w:p>
        </w:tc>
        <w:tc>
          <w:tcPr>
            <w:tcW w:w="1833"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415,768</w:t>
            </w:r>
          </w:p>
        </w:tc>
        <w:tc>
          <w:tcPr>
            <w:tcW w:w="1984"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685</w:t>
            </w:r>
          </w:p>
        </w:tc>
        <w:tc>
          <w:tcPr>
            <w:tcW w:w="2125" w:type="dxa"/>
            <w:shd w:val="clear" w:color="auto" w:fill="auto"/>
            <w:noWrap/>
            <w:vAlign w:val="bottom"/>
          </w:tcPr>
          <w:p w:rsidR="00E14718" w:rsidRPr="00DD6CB8" w:rsidRDefault="00E14718" w:rsidP="007E113B">
            <w:pPr>
              <w:pStyle w:val="EYTableText"/>
              <w:keepNext/>
              <w:jc w:val="right"/>
              <w:rPr>
                <w:sz w:val="20"/>
                <w:szCs w:val="20"/>
              </w:rPr>
            </w:pPr>
            <w:r w:rsidRPr="00DD6CB8">
              <w:rPr>
                <w:sz w:val="20"/>
                <w:szCs w:val="20"/>
              </w:rPr>
              <w:t>$6.80</w:t>
            </w:r>
          </w:p>
        </w:tc>
      </w:tr>
      <w:tr w:rsidR="00E14718" w:rsidRPr="0068071B" w:rsidTr="00DD6CB8">
        <w:trPr>
          <w:trHeight w:val="290"/>
        </w:trPr>
        <w:tc>
          <w:tcPr>
            <w:tcW w:w="3692" w:type="dxa"/>
            <w:shd w:val="clear" w:color="auto" w:fill="auto"/>
            <w:noWrap/>
          </w:tcPr>
          <w:p w:rsidR="00E14718" w:rsidRPr="00C6512A" w:rsidRDefault="00E14718" w:rsidP="00E14718">
            <w:pPr>
              <w:keepNext/>
              <w:jc w:val="left"/>
              <w:rPr>
                <w:sz w:val="20"/>
                <w:szCs w:val="20"/>
              </w:rPr>
            </w:pPr>
            <w:r w:rsidRPr="00C6512A">
              <w:rPr>
                <w:sz w:val="20"/>
                <w:szCs w:val="20"/>
              </w:rPr>
              <w:t xml:space="preserve">Townsville </w:t>
            </w:r>
          </w:p>
        </w:tc>
        <w:tc>
          <w:tcPr>
            <w:tcW w:w="1833"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1,590,025</w:t>
            </w:r>
          </w:p>
        </w:tc>
        <w:tc>
          <w:tcPr>
            <w:tcW w:w="1984"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2,619</w:t>
            </w:r>
          </w:p>
        </w:tc>
        <w:tc>
          <w:tcPr>
            <w:tcW w:w="2125" w:type="dxa"/>
            <w:shd w:val="clear" w:color="auto" w:fill="auto"/>
            <w:noWrap/>
            <w:vAlign w:val="bottom"/>
          </w:tcPr>
          <w:p w:rsidR="00E14718" w:rsidRPr="00DD6CB8" w:rsidRDefault="00E14718" w:rsidP="007E113B">
            <w:pPr>
              <w:pStyle w:val="EYTableText"/>
              <w:keepNext/>
              <w:jc w:val="right"/>
              <w:rPr>
                <w:sz w:val="20"/>
                <w:szCs w:val="20"/>
              </w:rPr>
            </w:pPr>
            <w:r w:rsidRPr="00DD6CB8">
              <w:rPr>
                <w:sz w:val="20"/>
                <w:szCs w:val="20"/>
              </w:rPr>
              <w:t>$1.78</w:t>
            </w:r>
          </w:p>
        </w:tc>
      </w:tr>
      <w:tr w:rsidR="00E14718" w:rsidRPr="0068071B" w:rsidTr="00DD6CB8">
        <w:trPr>
          <w:trHeight w:val="290"/>
        </w:trPr>
        <w:tc>
          <w:tcPr>
            <w:tcW w:w="3692" w:type="dxa"/>
            <w:shd w:val="clear" w:color="auto" w:fill="auto"/>
            <w:noWrap/>
          </w:tcPr>
          <w:p w:rsidR="00E14718" w:rsidRPr="00C6512A" w:rsidRDefault="00E14718" w:rsidP="00E14718">
            <w:pPr>
              <w:keepNext/>
              <w:jc w:val="left"/>
              <w:rPr>
                <w:sz w:val="20"/>
                <w:szCs w:val="20"/>
              </w:rPr>
            </w:pPr>
            <w:r w:rsidRPr="00C6512A">
              <w:rPr>
                <w:sz w:val="20"/>
                <w:szCs w:val="20"/>
              </w:rPr>
              <w:t>Western Sydney (prospective)</w:t>
            </w:r>
          </w:p>
        </w:tc>
        <w:tc>
          <w:tcPr>
            <w:tcW w:w="1833"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5,000,000</w:t>
            </w:r>
          </w:p>
        </w:tc>
        <w:tc>
          <w:tcPr>
            <w:tcW w:w="1984"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8,235</w:t>
            </w:r>
          </w:p>
        </w:tc>
        <w:tc>
          <w:tcPr>
            <w:tcW w:w="2125" w:type="dxa"/>
            <w:shd w:val="clear" w:color="auto" w:fill="auto"/>
            <w:noWrap/>
            <w:vAlign w:val="bottom"/>
          </w:tcPr>
          <w:p w:rsidR="00E14718" w:rsidRPr="00DD6CB8" w:rsidRDefault="00E14718" w:rsidP="007E113B">
            <w:pPr>
              <w:pStyle w:val="EYTableText"/>
              <w:keepNext/>
              <w:jc w:val="right"/>
              <w:rPr>
                <w:sz w:val="20"/>
                <w:szCs w:val="20"/>
              </w:rPr>
            </w:pPr>
            <w:r w:rsidRPr="00DD6CB8">
              <w:rPr>
                <w:sz w:val="20"/>
                <w:szCs w:val="20"/>
              </w:rPr>
              <w:t>$0.57</w:t>
            </w:r>
          </w:p>
        </w:tc>
      </w:tr>
      <w:tr w:rsidR="00E14718" w:rsidRPr="0068071B" w:rsidTr="00DD6CB8">
        <w:trPr>
          <w:trHeight w:val="290"/>
        </w:trPr>
        <w:tc>
          <w:tcPr>
            <w:tcW w:w="3692" w:type="dxa"/>
            <w:shd w:val="clear" w:color="auto" w:fill="auto"/>
            <w:noWrap/>
          </w:tcPr>
          <w:p w:rsidR="00E14718" w:rsidRPr="00C6512A" w:rsidRDefault="00E14718" w:rsidP="00E14718">
            <w:pPr>
              <w:keepNext/>
              <w:jc w:val="left"/>
              <w:rPr>
                <w:sz w:val="20"/>
                <w:szCs w:val="20"/>
              </w:rPr>
            </w:pPr>
            <w:r w:rsidRPr="00C6512A">
              <w:rPr>
                <w:sz w:val="20"/>
                <w:szCs w:val="20"/>
              </w:rPr>
              <w:t xml:space="preserve">Adelaide </w:t>
            </w:r>
          </w:p>
        </w:tc>
        <w:tc>
          <w:tcPr>
            <w:tcW w:w="1833"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8,111,934</w:t>
            </w:r>
          </w:p>
        </w:tc>
        <w:tc>
          <w:tcPr>
            <w:tcW w:w="1984"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13,361</w:t>
            </w:r>
          </w:p>
        </w:tc>
        <w:tc>
          <w:tcPr>
            <w:tcW w:w="2125" w:type="dxa"/>
            <w:shd w:val="clear" w:color="auto" w:fill="auto"/>
            <w:noWrap/>
            <w:vAlign w:val="bottom"/>
          </w:tcPr>
          <w:p w:rsidR="00E14718" w:rsidRPr="00DD6CB8" w:rsidRDefault="00E14718" w:rsidP="007E113B">
            <w:pPr>
              <w:pStyle w:val="EYTableText"/>
              <w:keepNext/>
              <w:jc w:val="right"/>
              <w:rPr>
                <w:sz w:val="20"/>
                <w:szCs w:val="20"/>
              </w:rPr>
            </w:pPr>
            <w:r w:rsidRPr="00DD6CB8">
              <w:rPr>
                <w:sz w:val="20"/>
                <w:szCs w:val="20"/>
              </w:rPr>
              <w:t>$0.35</w:t>
            </w:r>
          </w:p>
        </w:tc>
      </w:tr>
      <w:tr w:rsidR="00E14718" w:rsidRPr="0068071B" w:rsidTr="00DD6CB8">
        <w:trPr>
          <w:trHeight w:val="290"/>
        </w:trPr>
        <w:tc>
          <w:tcPr>
            <w:tcW w:w="3692" w:type="dxa"/>
            <w:shd w:val="clear" w:color="auto" w:fill="auto"/>
            <w:noWrap/>
          </w:tcPr>
          <w:p w:rsidR="00E14718" w:rsidRPr="00C6512A" w:rsidRDefault="00E14718" w:rsidP="00E14718">
            <w:pPr>
              <w:keepNext/>
              <w:jc w:val="left"/>
              <w:rPr>
                <w:sz w:val="20"/>
                <w:szCs w:val="20"/>
              </w:rPr>
            </w:pPr>
            <w:r w:rsidRPr="00C6512A">
              <w:rPr>
                <w:sz w:val="20"/>
                <w:szCs w:val="20"/>
              </w:rPr>
              <w:t xml:space="preserve">Perth </w:t>
            </w:r>
          </w:p>
        </w:tc>
        <w:tc>
          <w:tcPr>
            <w:tcW w:w="1833"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12,381,495</w:t>
            </w:r>
          </w:p>
        </w:tc>
        <w:tc>
          <w:tcPr>
            <w:tcW w:w="1984"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20,393</w:t>
            </w:r>
          </w:p>
        </w:tc>
        <w:tc>
          <w:tcPr>
            <w:tcW w:w="2125" w:type="dxa"/>
            <w:shd w:val="clear" w:color="auto" w:fill="auto"/>
            <w:noWrap/>
            <w:vAlign w:val="bottom"/>
          </w:tcPr>
          <w:p w:rsidR="00E14718" w:rsidRPr="00DD6CB8" w:rsidRDefault="00E14718" w:rsidP="007E113B">
            <w:pPr>
              <w:pStyle w:val="EYTableText"/>
              <w:keepNext/>
              <w:jc w:val="right"/>
              <w:rPr>
                <w:sz w:val="20"/>
                <w:szCs w:val="20"/>
              </w:rPr>
            </w:pPr>
            <w:r w:rsidRPr="00DD6CB8">
              <w:rPr>
                <w:sz w:val="20"/>
                <w:szCs w:val="20"/>
              </w:rPr>
              <w:t>$0.23</w:t>
            </w:r>
          </w:p>
        </w:tc>
      </w:tr>
      <w:tr w:rsidR="00E14718" w:rsidRPr="0068071B" w:rsidTr="00DD6CB8">
        <w:trPr>
          <w:trHeight w:val="290"/>
        </w:trPr>
        <w:tc>
          <w:tcPr>
            <w:tcW w:w="3692" w:type="dxa"/>
            <w:shd w:val="clear" w:color="auto" w:fill="auto"/>
            <w:noWrap/>
          </w:tcPr>
          <w:p w:rsidR="00E14718" w:rsidRPr="00C6512A" w:rsidRDefault="00E14718" w:rsidP="00E14718">
            <w:pPr>
              <w:keepNext/>
              <w:jc w:val="left"/>
              <w:rPr>
                <w:sz w:val="20"/>
                <w:szCs w:val="20"/>
              </w:rPr>
            </w:pPr>
            <w:r w:rsidRPr="00C6512A">
              <w:rPr>
                <w:sz w:val="20"/>
                <w:szCs w:val="20"/>
              </w:rPr>
              <w:t xml:space="preserve">Brisbane </w:t>
            </w:r>
          </w:p>
        </w:tc>
        <w:tc>
          <w:tcPr>
            <w:tcW w:w="1833"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22,949,267</w:t>
            </w:r>
          </w:p>
        </w:tc>
        <w:tc>
          <w:tcPr>
            <w:tcW w:w="1984"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37,798</w:t>
            </w:r>
          </w:p>
        </w:tc>
        <w:tc>
          <w:tcPr>
            <w:tcW w:w="2125" w:type="dxa"/>
            <w:shd w:val="clear" w:color="auto" w:fill="auto"/>
            <w:noWrap/>
            <w:vAlign w:val="bottom"/>
          </w:tcPr>
          <w:p w:rsidR="00E14718" w:rsidRPr="00DD6CB8" w:rsidRDefault="00E14718" w:rsidP="007E113B">
            <w:pPr>
              <w:pStyle w:val="EYTableText"/>
              <w:keepNext/>
              <w:jc w:val="right"/>
              <w:rPr>
                <w:sz w:val="20"/>
                <w:szCs w:val="20"/>
              </w:rPr>
            </w:pPr>
            <w:r w:rsidRPr="00DD6CB8">
              <w:rPr>
                <w:sz w:val="20"/>
                <w:szCs w:val="20"/>
              </w:rPr>
              <w:t>$0.12</w:t>
            </w:r>
          </w:p>
        </w:tc>
      </w:tr>
      <w:tr w:rsidR="00E14718" w:rsidRPr="0068071B" w:rsidTr="00DD6CB8">
        <w:trPr>
          <w:trHeight w:val="290"/>
        </w:trPr>
        <w:tc>
          <w:tcPr>
            <w:tcW w:w="3692" w:type="dxa"/>
            <w:shd w:val="clear" w:color="auto" w:fill="auto"/>
            <w:noWrap/>
          </w:tcPr>
          <w:p w:rsidR="00E14718" w:rsidRPr="00C6512A" w:rsidRDefault="00E14718" w:rsidP="00E14718">
            <w:pPr>
              <w:keepNext/>
              <w:jc w:val="left"/>
              <w:rPr>
                <w:sz w:val="20"/>
                <w:szCs w:val="20"/>
              </w:rPr>
            </w:pPr>
            <w:r w:rsidRPr="00C6512A">
              <w:rPr>
                <w:sz w:val="20"/>
                <w:szCs w:val="20"/>
              </w:rPr>
              <w:t xml:space="preserve">Melbourne </w:t>
            </w:r>
          </w:p>
        </w:tc>
        <w:tc>
          <w:tcPr>
            <w:tcW w:w="1833"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35,559,378</w:t>
            </w:r>
          </w:p>
        </w:tc>
        <w:tc>
          <w:tcPr>
            <w:tcW w:w="1984"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58,567</w:t>
            </w:r>
          </w:p>
        </w:tc>
        <w:tc>
          <w:tcPr>
            <w:tcW w:w="2125" w:type="dxa"/>
            <w:shd w:val="clear" w:color="auto" w:fill="auto"/>
            <w:noWrap/>
            <w:vAlign w:val="bottom"/>
          </w:tcPr>
          <w:p w:rsidR="00E14718" w:rsidRPr="00DD6CB8" w:rsidRDefault="00E14718" w:rsidP="007E113B">
            <w:pPr>
              <w:pStyle w:val="EYTableText"/>
              <w:keepNext/>
              <w:jc w:val="right"/>
              <w:rPr>
                <w:sz w:val="20"/>
                <w:szCs w:val="20"/>
              </w:rPr>
            </w:pPr>
            <w:r w:rsidRPr="00DD6CB8">
              <w:rPr>
                <w:sz w:val="20"/>
                <w:szCs w:val="20"/>
              </w:rPr>
              <w:t>$0.08</w:t>
            </w:r>
          </w:p>
        </w:tc>
      </w:tr>
      <w:tr w:rsidR="00E14718" w:rsidRPr="0068071B" w:rsidTr="00DD6CB8">
        <w:trPr>
          <w:trHeight w:val="290"/>
        </w:trPr>
        <w:tc>
          <w:tcPr>
            <w:tcW w:w="3692" w:type="dxa"/>
            <w:shd w:val="clear" w:color="auto" w:fill="auto"/>
            <w:noWrap/>
          </w:tcPr>
          <w:p w:rsidR="00E14718" w:rsidRPr="00C6512A" w:rsidRDefault="00E14718" w:rsidP="00E14718">
            <w:pPr>
              <w:keepNext/>
              <w:jc w:val="left"/>
              <w:rPr>
                <w:sz w:val="20"/>
                <w:szCs w:val="20"/>
              </w:rPr>
            </w:pPr>
            <w:r w:rsidRPr="00C6512A">
              <w:rPr>
                <w:sz w:val="20"/>
                <w:szCs w:val="20"/>
              </w:rPr>
              <w:t xml:space="preserve">Sydney </w:t>
            </w:r>
          </w:p>
        </w:tc>
        <w:tc>
          <w:tcPr>
            <w:tcW w:w="1833"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43,329,917</w:t>
            </w:r>
          </w:p>
        </w:tc>
        <w:tc>
          <w:tcPr>
            <w:tcW w:w="1984" w:type="dxa"/>
            <w:shd w:val="clear" w:color="auto" w:fill="auto"/>
            <w:noWrap/>
            <w:vAlign w:val="bottom"/>
          </w:tcPr>
          <w:p w:rsidR="00E14718" w:rsidRPr="00DD6CB8" w:rsidRDefault="00E14718" w:rsidP="007E113B">
            <w:pPr>
              <w:pStyle w:val="EYTableText"/>
              <w:keepNext/>
              <w:jc w:val="right"/>
              <w:rPr>
                <w:sz w:val="20"/>
                <w:szCs w:val="20"/>
              </w:rPr>
            </w:pPr>
            <w:r w:rsidRPr="00DD6CB8">
              <w:rPr>
                <w:color w:val="000000"/>
                <w:sz w:val="20"/>
                <w:szCs w:val="20"/>
              </w:rPr>
              <w:t>71,365</w:t>
            </w:r>
          </w:p>
        </w:tc>
        <w:tc>
          <w:tcPr>
            <w:tcW w:w="2125" w:type="dxa"/>
            <w:shd w:val="clear" w:color="auto" w:fill="auto"/>
            <w:noWrap/>
            <w:vAlign w:val="bottom"/>
          </w:tcPr>
          <w:p w:rsidR="00E14718" w:rsidRPr="00DD6CB8" w:rsidRDefault="00E14718" w:rsidP="007E113B">
            <w:pPr>
              <w:pStyle w:val="EYTableText"/>
              <w:keepNext/>
              <w:jc w:val="right"/>
              <w:rPr>
                <w:sz w:val="20"/>
                <w:szCs w:val="20"/>
              </w:rPr>
            </w:pPr>
            <w:r w:rsidRPr="00DD6CB8">
              <w:rPr>
                <w:sz w:val="20"/>
                <w:szCs w:val="20"/>
              </w:rPr>
              <w:t>$0.07</w:t>
            </w:r>
          </w:p>
        </w:tc>
      </w:tr>
    </w:tbl>
    <w:p w:rsidR="000069EF" w:rsidRPr="0036126D" w:rsidRDefault="0099075D" w:rsidP="00DD6CB8">
      <w:pPr>
        <w:keepNext/>
        <w:spacing w:after="0"/>
        <w:jc w:val="left"/>
        <w:rPr>
          <w:sz w:val="20"/>
          <w:szCs w:val="20"/>
        </w:rPr>
      </w:pPr>
      <w:r>
        <w:rPr>
          <w:sz w:val="20"/>
          <w:szCs w:val="20"/>
        </w:rPr>
        <w:br/>
      </w:r>
      <w:r w:rsidR="000069EF" w:rsidRPr="0036126D">
        <w:rPr>
          <w:sz w:val="20"/>
          <w:szCs w:val="20"/>
        </w:rPr>
        <w:t>Notes</w:t>
      </w:r>
      <w:r w:rsidR="006D2023">
        <w:rPr>
          <w:sz w:val="20"/>
          <w:szCs w:val="20"/>
        </w:rPr>
        <w:t>:</w:t>
      </w:r>
    </w:p>
    <w:p w:rsidR="000069EF" w:rsidRPr="0036126D" w:rsidRDefault="000069EF" w:rsidP="00A15416">
      <w:pPr>
        <w:pStyle w:val="ListParagraph"/>
        <w:keepNext/>
        <w:numPr>
          <w:ilvl w:val="0"/>
          <w:numId w:val="35"/>
        </w:numPr>
        <w:spacing w:after="0"/>
        <w:ind w:left="714" w:hanging="357"/>
        <w:jc w:val="left"/>
        <w:rPr>
          <w:sz w:val="20"/>
          <w:szCs w:val="20"/>
        </w:rPr>
      </w:pPr>
      <w:r w:rsidRPr="0036126D">
        <w:rPr>
          <w:sz w:val="20"/>
          <w:szCs w:val="20"/>
        </w:rPr>
        <w:t xml:space="preserve">Total yearly patronage figures sourced from Department of Infrastructure, Regional Development and Cities. </w:t>
      </w:r>
    </w:p>
    <w:p w:rsidR="000069EF" w:rsidRPr="0036126D" w:rsidRDefault="000069EF" w:rsidP="00A15416">
      <w:pPr>
        <w:pStyle w:val="ListParagraph"/>
        <w:keepNext/>
        <w:numPr>
          <w:ilvl w:val="0"/>
          <w:numId w:val="35"/>
        </w:numPr>
        <w:spacing w:after="0"/>
        <w:ind w:left="714" w:hanging="357"/>
        <w:jc w:val="left"/>
        <w:rPr>
          <w:sz w:val="20"/>
          <w:szCs w:val="20"/>
        </w:rPr>
      </w:pPr>
      <w:r w:rsidRPr="0036126D">
        <w:rPr>
          <w:sz w:val="20"/>
          <w:szCs w:val="20"/>
        </w:rPr>
        <w:t xml:space="preserve">Estimated core cohort patronage figures calculated using the assumed disability rate of 1.5% - See Section </w:t>
      </w:r>
      <w:r w:rsidRPr="0036126D">
        <w:rPr>
          <w:sz w:val="20"/>
          <w:szCs w:val="20"/>
        </w:rPr>
        <w:fldChar w:fldCharType="begin"/>
      </w:r>
      <w:r w:rsidRPr="0036126D">
        <w:rPr>
          <w:sz w:val="20"/>
          <w:szCs w:val="20"/>
        </w:rPr>
        <w:instrText xml:space="preserve"> REF _Ref504057824 \r \h </w:instrText>
      </w:r>
      <w:r w:rsidR="0036126D" w:rsidRPr="0036126D">
        <w:rPr>
          <w:sz w:val="20"/>
          <w:szCs w:val="20"/>
        </w:rPr>
        <w:instrText xml:space="preserve"> \* MERGEFORMAT </w:instrText>
      </w:r>
      <w:r w:rsidRPr="0036126D">
        <w:rPr>
          <w:sz w:val="20"/>
          <w:szCs w:val="20"/>
        </w:rPr>
      </w:r>
      <w:r w:rsidRPr="0036126D">
        <w:rPr>
          <w:sz w:val="20"/>
          <w:szCs w:val="20"/>
        </w:rPr>
        <w:fldChar w:fldCharType="separate"/>
      </w:r>
      <w:r w:rsidR="00910A73">
        <w:rPr>
          <w:sz w:val="20"/>
          <w:szCs w:val="20"/>
        </w:rPr>
        <w:t>5.1</w:t>
      </w:r>
      <w:r w:rsidRPr="0036126D">
        <w:rPr>
          <w:sz w:val="20"/>
          <w:szCs w:val="20"/>
        </w:rPr>
        <w:fldChar w:fldCharType="end"/>
      </w:r>
      <w:r w:rsidRPr="0036126D">
        <w:rPr>
          <w:sz w:val="20"/>
          <w:szCs w:val="20"/>
        </w:rPr>
        <w:t xml:space="preserve"> for further information.  </w:t>
      </w:r>
    </w:p>
    <w:p w:rsidR="000069EF" w:rsidRDefault="000069EF" w:rsidP="00A15416">
      <w:pPr>
        <w:pStyle w:val="ListParagraph"/>
        <w:numPr>
          <w:ilvl w:val="0"/>
          <w:numId w:val="35"/>
        </w:numPr>
        <w:spacing w:after="0"/>
        <w:jc w:val="left"/>
        <w:rPr>
          <w:sz w:val="20"/>
          <w:szCs w:val="20"/>
        </w:rPr>
      </w:pPr>
      <w:r w:rsidRPr="0036126D">
        <w:rPr>
          <w:sz w:val="20"/>
          <w:szCs w:val="20"/>
        </w:rPr>
        <w:t xml:space="preserve">Required break-even amount calculated using a real discount rate of 7% over 10 years. </w:t>
      </w:r>
    </w:p>
    <w:p w:rsidR="005B1CD3" w:rsidRPr="0036126D" w:rsidRDefault="005B1CD3" w:rsidP="00DD6CB8">
      <w:pPr>
        <w:pStyle w:val="ListParagraph"/>
        <w:spacing w:after="0"/>
        <w:jc w:val="left"/>
        <w:rPr>
          <w:sz w:val="20"/>
          <w:szCs w:val="20"/>
        </w:rPr>
      </w:pPr>
    </w:p>
    <w:p w:rsidR="007F6FFA" w:rsidRPr="00B00967" w:rsidRDefault="007F6FFA" w:rsidP="007F6FFA">
      <w:pPr>
        <w:pStyle w:val="Caption"/>
        <w:keepNext/>
      </w:pPr>
      <w:bookmarkStart w:id="493" w:name="_Toc525897817"/>
      <w:r w:rsidRPr="00B00967">
        <w:lastRenderedPageBreak/>
        <w:t xml:space="preserve">Table </w:t>
      </w:r>
      <w:r w:rsidR="00D128AA">
        <w:rPr>
          <w:noProof/>
        </w:rPr>
        <w:fldChar w:fldCharType="begin"/>
      </w:r>
      <w:r w:rsidR="00D128AA">
        <w:rPr>
          <w:noProof/>
        </w:rPr>
        <w:instrText xml:space="preserve"> STYLEREF 1 \s </w:instrText>
      </w:r>
      <w:r w:rsidR="00D128AA">
        <w:rPr>
          <w:noProof/>
        </w:rPr>
        <w:fldChar w:fldCharType="separate"/>
      </w:r>
      <w:r w:rsidR="00910A73">
        <w:rPr>
          <w:noProof/>
        </w:rPr>
        <w:t>7</w:t>
      </w:r>
      <w:r w:rsidR="00D128AA">
        <w:rPr>
          <w:noProof/>
        </w:rPr>
        <w:fldChar w:fldCharType="end"/>
      </w:r>
      <w:r w:rsidR="00325A73">
        <w:noBreakHyphen/>
      </w:r>
      <w:r w:rsidR="00D128AA">
        <w:rPr>
          <w:noProof/>
        </w:rPr>
        <w:fldChar w:fldCharType="begin"/>
      </w:r>
      <w:r w:rsidR="00D128AA">
        <w:rPr>
          <w:noProof/>
        </w:rPr>
        <w:instrText xml:space="preserve"> SEQ Table \* ARABIC \s 1 </w:instrText>
      </w:r>
      <w:r w:rsidR="00D128AA">
        <w:rPr>
          <w:noProof/>
        </w:rPr>
        <w:fldChar w:fldCharType="separate"/>
      </w:r>
      <w:r w:rsidR="00910A73">
        <w:rPr>
          <w:noProof/>
        </w:rPr>
        <w:t>3</w:t>
      </w:r>
      <w:r w:rsidR="00D128AA">
        <w:rPr>
          <w:noProof/>
        </w:rPr>
        <w:fldChar w:fldCharType="end"/>
      </w:r>
      <w:r w:rsidRPr="00B00967">
        <w:t xml:space="preserve">: Modelling results for </w:t>
      </w:r>
      <w:r w:rsidR="00AC06DB" w:rsidRPr="00B00967">
        <w:t>public aquatic facilities</w:t>
      </w:r>
      <w:r w:rsidRPr="00B00967">
        <w:t xml:space="preserve"> case study </w:t>
      </w:r>
      <w:r w:rsidR="00B00967">
        <w:t>(Regulatory Option A)</w:t>
      </w:r>
      <w:bookmarkEnd w:id="493"/>
    </w:p>
    <w:tbl>
      <w:tblPr>
        <w:tblStyle w:val="TableGrid"/>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Table 7 3: Modelling results for public aquatic facilities case study (Regulatory Option A)"/>
        <w:tblDescription w:val="The modelling results for the public aquatic facility case study."/>
      </w:tblPr>
      <w:tblGrid>
        <w:gridCol w:w="3020"/>
        <w:gridCol w:w="3071"/>
        <w:gridCol w:w="3543"/>
      </w:tblGrid>
      <w:tr w:rsidR="007C627A" w:rsidRPr="007C627A" w:rsidTr="00DD6CB8">
        <w:trPr>
          <w:trHeight w:val="300"/>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rsidR="007C627A" w:rsidRPr="00DD6CB8" w:rsidRDefault="00515E03" w:rsidP="00DD6CB8">
            <w:pPr>
              <w:keepNext/>
              <w:spacing w:before="60" w:after="60"/>
              <w:jc w:val="left"/>
              <w:rPr>
                <w:color w:val="FFFFFF" w:themeColor="background1"/>
                <w:sz w:val="20"/>
                <w:szCs w:val="20"/>
                <w:lang w:eastAsia="en-AU"/>
              </w:rPr>
            </w:pPr>
            <w:r w:rsidRPr="00DD6CB8">
              <w:rPr>
                <w:color w:val="FFFFFF" w:themeColor="background1"/>
                <w:sz w:val="20"/>
                <w:szCs w:val="20"/>
                <w:lang w:eastAsia="en-AU"/>
              </w:rPr>
              <w:t>Assumed feeder population</w:t>
            </w:r>
          </w:p>
        </w:tc>
        <w:tc>
          <w:tcPr>
            <w:tcW w:w="3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rsidR="007C627A" w:rsidRPr="00DD6CB8" w:rsidRDefault="00515E03" w:rsidP="00DD6CB8">
            <w:pPr>
              <w:keepNext/>
              <w:spacing w:before="60" w:after="60"/>
              <w:jc w:val="left"/>
              <w:rPr>
                <w:color w:val="FFFFFF" w:themeColor="background1"/>
                <w:sz w:val="20"/>
                <w:szCs w:val="20"/>
                <w:lang w:eastAsia="en-AU"/>
              </w:rPr>
            </w:pPr>
            <w:r w:rsidRPr="00DD6CB8">
              <w:rPr>
                <w:color w:val="FFFFFF" w:themeColor="background1"/>
                <w:sz w:val="20"/>
                <w:szCs w:val="20"/>
                <w:lang w:eastAsia="en-AU"/>
              </w:rPr>
              <w:t>Estimated yearly visits by people with disability</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tcPr>
          <w:p w:rsidR="007C627A" w:rsidRPr="00DD6CB8" w:rsidRDefault="007C627A" w:rsidP="001440BA">
            <w:pPr>
              <w:keepNext/>
              <w:spacing w:before="60" w:after="60"/>
              <w:jc w:val="left"/>
              <w:rPr>
                <w:color w:val="FFFFFF" w:themeColor="background1"/>
                <w:sz w:val="20"/>
                <w:szCs w:val="20"/>
                <w:lang w:eastAsia="en-AU"/>
              </w:rPr>
            </w:pPr>
            <w:r w:rsidRPr="00DD6CB8">
              <w:rPr>
                <w:color w:val="FFFFFF" w:themeColor="background1"/>
                <w:sz w:val="20"/>
                <w:szCs w:val="20"/>
                <w:lang w:eastAsia="en-AU"/>
              </w:rPr>
              <w:t>Break-</w:t>
            </w:r>
            <w:r w:rsidR="001440BA">
              <w:rPr>
                <w:color w:val="FFFFFF" w:themeColor="background1"/>
                <w:sz w:val="20"/>
                <w:szCs w:val="20"/>
                <w:lang w:eastAsia="en-AU"/>
              </w:rPr>
              <w:t>E</w:t>
            </w:r>
            <w:r w:rsidR="001440BA" w:rsidRPr="00DD6CB8">
              <w:rPr>
                <w:color w:val="FFFFFF" w:themeColor="background1"/>
                <w:sz w:val="20"/>
                <w:szCs w:val="20"/>
                <w:lang w:eastAsia="en-AU"/>
              </w:rPr>
              <w:t xml:space="preserve">ven </w:t>
            </w:r>
            <w:r w:rsidRPr="00DD6CB8">
              <w:rPr>
                <w:color w:val="FFFFFF" w:themeColor="background1"/>
                <w:sz w:val="20"/>
                <w:szCs w:val="20"/>
                <w:lang w:eastAsia="en-AU"/>
              </w:rPr>
              <w:t>(required benefit per trip)</w:t>
            </w:r>
          </w:p>
        </w:tc>
      </w:tr>
      <w:tr w:rsidR="00E14718" w:rsidRPr="007C627A" w:rsidTr="00DD6CB8">
        <w:trPr>
          <w:trHeight w:val="288"/>
        </w:trPr>
        <w:tc>
          <w:tcPr>
            <w:tcW w:w="3020" w:type="dxa"/>
            <w:tcBorders>
              <w:top w:val="single" w:sz="4" w:space="0" w:color="FFFFFF" w:themeColor="background1"/>
            </w:tcBorders>
            <w:hideMark/>
          </w:tcPr>
          <w:p w:rsidR="00E14718" w:rsidRPr="00DD6CB8" w:rsidRDefault="00E14718" w:rsidP="00E14718">
            <w:pPr>
              <w:jc w:val="left"/>
              <w:rPr>
                <w:rFonts w:eastAsia="Times New Roman" w:cs="Arial"/>
                <w:color w:val="000000"/>
                <w:sz w:val="20"/>
                <w:szCs w:val="20"/>
                <w:lang w:eastAsia="en-AU"/>
              </w:rPr>
            </w:pPr>
            <w:r w:rsidRPr="00DD6CB8">
              <w:rPr>
                <w:rFonts w:eastAsia="Times New Roman" w:cs="Arial"/>
                <w:color w:val="000000"/>
                <w:sz w:val="20"/>
                <w:szCs w:val="20"/>
                <w:lang w:eastAsia="en-AU"/>
              </w:rPr>
              <w:t xml:space="preserve">Feeder population 2 - </w:t>
            </w:r>
            <w:r w:rsidR="00061A5E" w:rsidRPr="00DD6CB8">
              <w:rPr>
                <w:rFonts w:eastAsia="Times New Roman" w:cs="Arial"/>
                <w:color w:val="000000"/>
                <w:sz w:val="20"/>
                <w:szCs w:val="20"/>
                <w:lang w:eastAsia="en-AU"/>
              </w:rPr>
              <w:t>3,000</w:t>
            </w:r>
          </w:p>
        </w:tc>
        <w:tc>
          <w:tcPr>
            <w:tcW w:w="3071" w:type="dxa"/>
            <w:tcBorders>
              <w:top w:val="single" w:sz="4" w:space="0" w:color="FFFFFF" w:themeColor="background1"/>
            </w:tcBorders>
          </w:tcPr>
          <w:p w:rsidR="00E14718" w:rsidRPr="00DD6CB8" w:rsidRDefault="00E14718" w:rsidP="007E113B">
            <w:pPr>
              <w:jc w:val="right"/>
              <w:rPr>
                <w:rFonts w:cs="Arial"/>
                <w:sz w:val="20"/>
                <w:szCs w:val="20"/>
              </w:rPr>
            </w:pPr>
            <w:r w:rsidRPr="00DD6CB8">
              <w:rPr>
                <w:rFonts w:cs="Arial"/>
                <w:color w:val="000000"/>
                <w:sz w:val="20"/>
                <w:szCs w:val="20"/>
              </w:rPr>
              <w:t>180</w:t>
            </w:r>
          </w:p>
        </w:tc>
        <w:tc>
          <w:tcPr>
            <w:tcW w:w="3543" w:type="dxa"/>
            <w:tcBorders>
              <w:top w:val="single" w:sz="4" w:space="0" w:color="FFFFFF" w:themeColor="background1"/>
            </w:tcBorders>
            <w:noWrap/>
            <w:hideMark/>
          </w:tcPr>
          <w:p w:rsidR="00E14718" w:rsidRPr="00DD6CB8" w:rsidRDefault="00E14718" w:rsidP="007E113B">
            <w:pPr>
              <w:jc w:val="right"/>
              <w:rPr>
                <w:rFonts w:cs="Arial"/>
                <w:sz w:val="20"/>
                <w:szCs w:val="20"/>
              </w:rPr>
            </w:pPr>
            <w:r w:rsidRPr="00DD6CB8">
              <w:rPr>
                <w:rFonts w:cs="Arial"/>
                <w:color w:val="000000"/>
                <w:sz w:val="20"/>
                <w:szCs w:val="20"/>
              </w:rPr>
              <w:t>$25.82</w:t>
            </w:r>
          </w:p>
        </w:tc>
      </w:tr>
      <w:tr w:rsidR="00E14718" w:rsidRPr="007C627A" w:rsidTr="00DD6CB8">
        <w:trPr>
          <w:trHeight w:val="300"/>
        </w:trPr>
        <w:tc>
          <w:tcPr>
            <w:tcW w:w="3020" w:type="dxa"/>
            <w:hideMark/>
          </w:tcPr>
          <w:p w:rsidR="00E14718" w:rsidRPr="00DD6CB8" w:rsidRDefault="00E14718" w:rsidP="00E14718">
            <w:pPr>
              <w:jc w:val="left"/>
              <w:rPr>
                <w:rFonts w:eastAsia="Times New Roman" w:cs="Arial"/>
                <w:color w:val="000000"/>
                <w:sz w:val="20"/>
                <w:szCs w:val="20"/>
                <w:lang w:eastAsia="en-AU"/>
              </w:rPr>
            </w:pPr>
            <w:r w:rsidRPr="00DD6CB8">
              <w:rPr>
                <w:rFonts w:eastAsia="Times New Roman" w:cs="Arial"/>
                <w:color w:val="000000"/>
                <w:sz w:val="20"/>
                <w:szCs w:val="20"/>
                <w:lang w:eastAsia="en-AU"/>
              </w:rPr>
              <w:t>Feeder population 3 - 10,000</w:t>
            </w:r>
          </w:p>
        </w:tc>
        <w:tc>
          <w:tcPr>
            <w:tcW w:w="3071" w:type="dxa"/>
          </w:tcPr>
          <w:p w:rsidR="00E14718" w:rsidRPr="00DD6CB8" w:rsidRDefault="00E14718" w:rsidP="007E113B">
            <w:pPr>
              <w:jc w:val="right"/>
              <w:rPr>
                <w:rFonts w:cs="Arial"/>
                <w:sz w:val="20"/>
                <w:szCs w:val="20"/>
              </w:rPr>
            </w:pPr>
            <w:r w:rsidRPr="00DD6CB8">
              <w:rPr>
                <w:rFonts w:cs="Arial"/>
                <w:color w:val="000000"/>
                <w:sz w:val="20"/>
                <w:szCs w:val="20"/>
              </w:rPr>
              <w:t>601</w:t>
            </w:r>
          </w:p>
        </w:tc>
        <w:tc>
          <w:tcPr>
            <w:tcW w:w="3543" w:type="dxa"/>
            <w:noWrap/>
            <w:hideMark/>
          </w:tcPr>
          <w:p w:rsidR="00E14718" w:rsidRPr="00C83556" w:rsidRDefault="00E14718" w:rsidP="007E113B">
            <w:pPr>
              <w:jc w:val="right"/>
              <w:rPr>
                <w:rFonts w:eastAsia="Times New Roman" w:cs="Arial"/>
                <w:color w:val="000000"/>
                <w:sz w:val="20"/>
                <w:szCs w:val="20"/>
                <w:lang w:eastAsia="en-AU"/>
              </w:rPr>
            </w:pPr>
            <w:r w:rsidRPr="00DD6CB8">
              <w:rPr>
                <w:rFonts w:cs="Arial"/>
                <w:color w:val="000000"/>
                <w:sz w:val="20"/>
                <w:szCs w:val="20"/>
              </w:rPr>
              <w:t>$7.74</w:t>
            </w:r>
          </w:p>
        </w:tc>
      </w:tr>
      <w:tr w:rsidR="00E14718" w:rsidRPr="007C627A" w:rsidTr="00DD6CB8">
        <w:trPr>
          <w:trHeight w:val="300"/>
        </w:trPr>
        <w:tc>
          <w:tcPr>
            <w:tcW w:w="3020" w:type="dxa"/>
            <w:hideMark/>
          </w:tcPr>
          <w:p w:rsidR="00E14718" w:rsidRPr="00DD6CB8" w:rsidRDefault="00E14718" w:rsidP="00E14718">
            <w:pPr>
              <w:jc w:val="left"/>
              <w:rPr>
                <w:rFonts w:eastAsia="Times New Roman" w:cs="Arial"/>
                <w:color w:val="000000"/>
                <w:sz w:val="20"/>
                <w:szCs w:val="20"/>
                <w:lang w:eastAsia="en-AU"/>
              </w:rPr>
            </w:pPr>
            <w:r w:rsidRPr="00DD6CB8">
              <w:rPr>
                <w:rFonts w:eastAsia="Times New Roman" w:cs="Arial"/>
                <w:color w:val="000000"/>
                <w:sz w:val="20"/>
                <w:szCs w:val="20"/>
                <w:lang w:eastAsia="en-AU"/>
              </w:rPr>
              <w:t>Feeder population 4 - 15,000</w:t>
            </w:r>
          </w:p>
        </w:tc>
        <w:tc>
          <w:tcPr>
            <w:tcW w:w="3071" w:type="dxa"/>
          </w:tcPr>
          <w:p w:rsidR="00E14718" w:rsidRPr="00DD6CB8" w:rsidRDefault="00E14718" w:rsidP="007E113B">
            <w:pPr>
              <w:jc w:val="right"/>
              <w:rPr>
                <w:rFonts w:cs="Arial"/>
                <w:sz w:val="20"/>
                <w:szCs w:val="20"/>
              </w:rPr>
            </w:pPr>
            <w:r w:rsidRPr="00DD6CB8">
              <w:rPr>
                <w:rFonts w:cs="Arial"/>
                <w:color w:val="000000"/>
                <w:sz w:val="20"/>
                <w:szCs w:val="20"/>
              </w:rPr>
              <w:t>902</w:t>
            </w:r>
          </w:p>
        </w:tc>
        <w:tc>
          <w:tcPr>
            <w:tcW w:w="3543" w:type="dxa"/>
            <w:noWrap/>
            <w:hideMark/>
          </w:tcPr>
          <w:p w:rsidR="00E14718" w:rsidRPr="00C83556" w:rsidRDefault="00E14718" w:rsidP="007E113B">
            <w:pPr>
              <w:jc w:val="right"/>
              <w:rPr>
                <w:rFonts w:eastAsia="Times New Roman" w:cs="Arial"/>
                <w:color w:val="000000"/>
                <w:sz w:val="20"/>
                <w:szCs w:val="20"/>
                <w:lang w:eastAsia="en-AU"/>
              </w:rPr>
            </w:pPr>
            <w:r w:rsidRPr="00DD6CB8">
              <w:rPr>
                <w:rFonts w:cs="Arial"/>
                <w:color w:val="000000"/>
                <w:sz w:val="20"/>
                <w:szCs w:val="20"/>
              </w:rPr>
              <w:t>$5.16</w:t>
            </w:r>
          </w:p>
        </w:tc>
      </w:tr>
      <w:tr w:rsidR="00E14718" w:rsidRPr="0068071B" w:rsidTr="00DD6CB8">
        <w:trPr>
          <w:trHeight w:val="300"/>
        </w:trPr>
        <w:tc>
          <w:tcPr>
            <w:tcW w:w="3020" w:type="dxa"/>
            <w:hideMark/>
          </w:tcPr>
          <w:p w:rsidR="00E14718" w:rsidRPr="00DD6CB8" w:rsidRDefault="00E14718" w:rsidP="00E14718">
            <w:pPr>
              <w:jc w:val="left"/>
              <w:rPr>
                <w:rFonts w:eastAsia="Times New Roman" w:cs="Arial"/>
                <w:color w:val="000000"/>
                <w:sz w:val="20"/>
                <w:szCs w:val="20"/>
                <w:lang w:eastAsia="en-AU"/>
              </w:rPr>
            </w:pPr>
            <w:r w:rsidRPr="00DD6CB8">
              <w:rPr>
                <w:rFonts w:eastAsia="Times New Roman" w:cs="Arial"/>
                <w:color w:val="000000"/>
                <w:sz w:val="20"/>
                <w:szCs w:val="20"/>
                <w:lang w:eastAsia="en-AU"/>
              </w:rPr>
              <w:t>Feeder population 5 - 20,000</w:t>
            </w:r>
          </w:p>
        </w:tc>
        <w:tc>
          <w:tcPr>
            <w:tcW w:w="3071" w:type="dxa"/>
          </w:tcPr>
          <w:p w:rsidR="00E14718" w:rsidRPr="00DD6CB8" w:rsidRDefault="00E14718" w:rsidP="007E113B">
            <w:pPr>
              <w:jc w:val="right"/>
              <w:rPr>
                <w:rFonts w:cs="Arial"/>
                <w:sz w:val="20"/>
                <w:szCs w:val="20"/>
              </w:rPr>
            </w:pPr>
            <w:r w:rsidRPr="00DD6CB8">
              <w:rPr>
                <w:rFonts w:cs="Arial"/>
                <w:color w:val="000000"/>
                <w:sz w:val="20"/>
                <w:szCs w:val="20"/>
              </w:rPr>
              <w:t>120</w:t>
            </w:r>
            <w:r w:rsidR="002127B3" w:rsidRPr="00DD6CB8">
              <w:rPr>
                <w:rFonts w:cs="Arial"/>
                <w:color w:val="000000"/>
                <w:sz w:val="20"/>
                <w:szCs w:val="20"/>
              </w:rPr>
              <w:t>3</w:t>
            </w:r>
          </w:p>
        </w:tc>
        <w:tc>
          <w:tcPr>
            <w:tcW w:w="3543" w:type="dxa"/>
            <w:noWrap/>
            <w:hideMark/>
          </w:tcPr>
          <w:p w:rsidR="00E14718" w:rsidRPr="00C83556" w:rsidRDefault="00E14718" w:rsidP="007E113B">
            <w:pPr>
              <w:jc w:val="right"/>
              <w:rPr>
                <w:rFonts w:eastAsia="Times New Roman" w:cs="Arial"/>
                <w:color w:val="000000"/>
                <w:sz w:val="20"/>
                <w:szCs w:val="20"/>
                <w:lang w:eastAsia="en-AU"/>
              </w:rPr>
            </w:pPr>
            <w:r w:rsidRPr="00DD6CB8">
              <w:rPr>
                <w:rFonts w:cs="Arial"/>
                <w:color w:val="000000"/>
                <w:sz w:val="20"/>
                <w:szCs w:val="20"/>
              </w:rPr>
              <w:t>$3.87</w:t>
            </w:r>
          </w:p>
        </w:tc>
      </w:tr>
    </w:tbl>
    <w:p w:rsidR="00515E03" w:rsidRPr="00B00967" w:rsidRDefault="0099075D" w:rsidP="0036126D">
      <w:pPr>
        <w:spacing w:after="0"/>
        <w:jc w:val="left"/>
        <w:rPr>
          <w:sz w:val="20"/>
          <w:szCs w:val="20"/>
        </w:rPr>
      </w:pPr>
      <w:r>
        <w:rPr>
          <w:sz w:val="20"/>
          <w:szCs w:val="20"/>
        </w:rPr>
        <w:br/>
      </w:r>
      <w:r w:rsidR="00515E03" w:rsidRPr="00B00967">
        <w:rPr>
          <w:sz w:val="20"/>
          <w:szCs w:val="20"/>
        </w:rPr>
        <w:t>Notes</w:t>
      </w:r>
      <w:r w:rsidR="006D2023">
        <w:rPr>
          <w:sz w:val="20"/>
          <w:szCs w:val="20"/>
        </w:rPr>
        <w:t>:</w:t>
      </w:r>
    </w:p>
    <w:p w:rsidR="00515E03" w:rsidRPr="00B00967" w:rsidRDefault="002B4E98" w:rsidP="00A15416">
      <w:pPr>
        <w:pStyle w:val="ListParagraph"/>
        <w:numPr>
          <w:ilvl w:val="0"/>
          <w:numId w:val="36"/>
        </w:numPr>
        <w:spacing w:after="0"/>
        <w:jc w:val="left"/>
        <w:rPr>
          <w:sz w:val="20"/>
          <w:szCs w:val="20"/>
        </w:rPr>
      </w:pPr>
      <w:r>
        <w:rPr>
          <w:sz w:val="20"/>
          <w:szCs w:val="20"/>
        </w:rPr>
        <w:t>T</w:t>
      </w:r>
      <w:r w:rsidR="00515E03" w:rsidRPr="00B00967">
        <w:rPr>
          <w:sz w:val="20"/>
          <w:szCs w:val="20"/>
        </w:rPr>
        <w:t xml:space="preserve">he ‘feeder population’ is taken to mean the assumed number of </w:t>
      </w:r>
      <w:r w:rsidR="00A7059B">
        <w:rPr>
          <w:sz w:val="20"/>
          <w:szCs w:val="20"/>
        </w:rPr>
        <w:t xml:space="preserve">all </w:t>
      </w:r>
      <w:r w:rsidR="00515E03" w:rsidRPr="00B00967">
        <w:rPr>
          <w:sz w:val="20"/>
          <w:szCs w:val="20"/>
        </w:rPr>
        <w:t>people who might feasibly be expected to patronise a public swimming pool</w:t>
      </w:r>
      <w:r>
        <w:rPr>
          <w:sz w:val="20"/>
          <w:szCs w:val="20"/>
        </w:rPr>
        <w:t>.</w:t>
      </w:r>
    </w:p>
    <w:p w:rsidR="00515E03" w:rsidRPr="00B00967" w:rsidRDefault="002B4E98" w:rsidP="00A15416">
      <w:pPr>
        <w:pStyle w:val="ListParagraph"/>
        <w:numPr>
          <w:ilvl w:val="0"/>
          <w:numId w:val="36"/>
        </w:numPr>
        <w:spacing w:after="0"/>
        <w:jc w:val="left"/>
        <w:rPr>
          <w:sz w:val="20"/>
          <w:szCs w:val="20"/>
        </w:rPr>
      </w:pPr>
      <w:r>
        <w:rPr>
          <w:sz w:val="20"/>
          <w:szCs w:val="20"/>
        </w:rPr>
        <w:t>T</w:t>
      </w:r>
      <w:r w:rsidR="00515E03" w:rsidRPr="00B00967">
        <w:rPr>
          <w:sz w:val="20"/>
          <w:szCs w:val="20"/>
        </w:rPr>
        <w:t>he estimated break-even value for each feeder population represents the amount of benefit for each trip that would be required in order to cover the costs of installing an AACF. Assumed patronage figures are taken from Dwyer and Darcy</w:t>
      </w:r>
      <w:r>
        <w:rPr>
          <w:sz w:val="20"/>
          <w:szCs w:val="20"/>
        </w:rPr>
        <w:t>.</w:t>
      </w:r>
      <w:r w:rsidR="00515E03" w:rsidRPr="00C133AC">
        <w:rPr>
          <w:rStyle w:val="FootnoteReference"/>
          <w:sz w:val="24"/>
          <w:szCs w:val="24"/>
        </w:rPr>
        <w:footnoteReference w:id="73"/>
      </w:r>
    </w:p>
    <w:p w:rsidR="00515E03" w:rsidRPr="00B00967" w:rsidRDefault="00515E03" w:rsidP="00A15416">
      <w:pPr>
        <w:pStyle w:val="ListParagraph"/>
        <w:numPr>
          <w:ilvl w:val="0"/>
          <w:numId w:val="36"/>
        </w:numPr>
        <w:spacing w:after="0"/>
        <w:jc w:val="left"/>
        <w:rPr>
          <w:sz w:val="20"/>
          <w:szCs w:val="20"/>
        </w:rPr>
      </w:pPr>
      <w:r w:rsidRPr="00B00967">
        <w:rPr>
          <w:sz w:val="20"/>
          <w:szCs w:val="20"/>
        </w:rPr>
        <w:t>Required break-even amount calculated using a real discount rate of 7% over 10 years.</w:t>
      </w:r>
    </w:p>
    <w:p w:rsidR="005A7E2B" w:rsidRDefault="005A7E2B" w:rsidP="0036126D">
      <w:pPr>
        <w:pStyle w:val="EYBodytextwithparaspace"/>
        <w:tabs>
          <w:tab w:val="left" w:pos="1283"/>
        </w:tabs>
        <w:rPr>
          <w:sz w:val="20"/>
          <w:szCs w:val="20"/>
          <w:highlight w:val="yellow"/>
        </w:rPr>
      </w:pPr>
    </w:p>
    <w:p w:rsidR="00515E03" w:rsidRPr="00B00967" w:rsidRDefault="00515E03" w:rsidP="00681E1A">
      <w:pPr>
        <w:pStyle w:val="EYBodytextwithparaspace"/>
        <w:spacing w:after="200"/>
      </w:pPr>
      <w:r w:rsidRPr="00B00967">
        <w:t>In summary, the pertinent points to make in relation to the modelling results for each quant</w:t>
      </w:r>
      <w:r w:rsidR="00681E1A">
        <w:t>ified case study are as follows:</w:t>
      </w:r>
    </w:p>
    <w:p w:rsidR="00F262A8" w:rsidRPr="00B00967" w:rsidRDefault="00F262A8" w:rsidP="00F262A8">
      <w:pPr>
        <w:pStyle w:val="EYBulletedText1"/>
      </w:pPr>
      <w:r w:rsidRPr="00B00967">
        <w:t xml:space="preserve">For a </w:t>
      </w:r>
      <w:r w:rsidRPr="00B00967">
        <w:rPr>
          <w:b/>
        </w:rPr>
        <w:t>major</w:t>
      </w:r>
      <w:r w:rsidRPr="00B00967">
        <w:t xml:space="preserve"> </w:t>
      </w:r>
      <w:r w:rsidRPr="00B00967">
        <w:rPr>
          <w:b/>
        </w:rPr>
        <w:t>shopping centre</w:t>
      </w:r>
      <w:r w:rsidRPr="00B00967">
        <w:t>, the break</w:t>
      </w:r>
      <w:r w:rsidR="001440BA">
        <w:t>-</w:t>
      </w:r>
      <w:r w:rsidRPr="00B00967">
        <w:t>even point (where the Present Value of costs is equal to benefits) is $0.</w:t>
      </w:r>
      <w:r w:rsidR="00E14718">
        <w:t>72</w:t>
      </w:r>
      <w:r w:rsidRPr="00B00967">
        <w:t xml:space="preserve">.  Applying the ‘upper bound’ WTP estimate of $13.16 (the estimated travel cost) this generates net benefits of </w:t>
      </w:r>
      <w:r w:rsidRPr="00B00967">
        <w:rPr>
          <w:color w:val="000000"/>
          <w:szCs w:val="22"/>
        </w:rPr>
        <w:t>$</w:t>
      </w:r>
      <w:r w:rsidR="00E14718">
        <w:rPr>
          <w:color w:val="000000"/>
          <w:szCs w:val="22"/>
        </w:rPr>
        <w:t>598</w:t>
      </w:r>
      <w:r w:rsidRPr="00B00967">
        <w:rPr>
          <w:color w:val="000000"/>
          <w:szCs w:val="22"/>
        </w:rPr>
        <w:t>,67</w:t>
      </w:r>
      <w:r w:rsidR="00E14718">
        <w:rPr>
          <w:color w:val="000000"/>
          <w:szCs w:val="22"/>
        </w:rPr>
        <w:t>9</w:t>
      </w:r>
      <w:r w:rsidRPr="00B00967">
        <w:rPr>
          <w:color w:val="000000"/>
          <w:szCs w:val="22"/>
        </w:rPr>
        <w:t xml:space="preserve"> in Present Value terms. </w:t>
      </w:r>
    </w:p>
    <w:p w:rsidR="00F262A8" w:rsidRPr="00B00967" w:rsidRDefault="00F262A8" w:rsidP="00F262A8">
      <w:pPr>
        <w:pStyle w:val="EYBulletedText1"/>
      </w:pPr>
      <w:r w:rsidRPr="00B00967">
        <w:t xml:space="preserve">For a </w:t>
      </w:r>
      <w:r w:rsidRPr="00B00967">
        <w:rPr>
          <w:b/>
        </w:rPr>
        <w:t>smaller</w:t>
      </w:r>
      <w:r w:rsidRPr="00B00967">
        <w:t xml:space="preserve"> </w:t>
      </w:r>
      <w:r w:rsidRPr="00B00967">
        <w:rPr>
          <w:b/>
        </w:rPr>
        <w:t>shopping centre</w:t>
      </w:r>
      <w:r w:rsidRPr="00B00967">
        <w:t>, the break</w:t>
      </w:r>
      <w:r w:rsidR="001440BA">
        <w:t>-</w:t>
      </w:r>
      <w:r w:rsidRPr="00B00967">
        <w:t>even point is $2.</w:t>
      </w:r>
      <w:r w:rsidR="00E14718">
        <w:t>1</w:t>
      </w:r>
      <w:r w:rsidRPr="00B00967">
        <w:t>6.  Applying the ‘upper bound’ WTP estimate of $13.16 (the estimated travel cost</w:t>
      </w:r>
      <w:r w:rsidRPr="002C36F5">
        <w:rPr>
          <w:rStyle w:val="FootnoteReference"/>
          <w:sz w:val="24"/>
          <w:szCs w:val="24"/>
        </w:rPr>
        <w:footnoteReference w:id="74"/>
      </w:r>
      <w:r w:rsidRPr="00B00967">
        <w:t xml:space="preserve">) this generates net benefits of </w:t>
      </w:r>
      <w:r w:rsidRPr="00B00967">
        <w:rPr>
          <w:color w:val="000000"/>
          <w:szCs w:val="22"/>
        </w:rPr>
        <w:t>$19</w:t>
      </w:r>
      <w:r w:rsidR="00E14718">
        <w:rPr>
          <w:color w:val="000000"/>
          <w:szCs w:val="22"/>
        </w:rPr>
        <w:t>9</w:t>
      </w:r>
      <w:r w:rsidRPr="00B00967">
        <w:rPr>
          <w:color w:val="000000"/>
          <w:szCs w:val="22"/>
        </w:rPr>
        <w:t>,5</w:t>
      </w:r>
      <w:r w:rsidR="00E14718">
        <w:rPr>
          <w:color w:val="000000"/>
          <w:szCs w:val="22"/>
        </w:rPr>
        <w:t>60</w:t>
      </w:r>
      <w:r w:rsidRPr="00B00967">
        <w:rPr>
          <w:color w:val="000000"/>
          <w:szCs w:val="22"/>
        </w:rPr>
        <w:t xml:space="preserve"> in Present Value terms</w:t>
      </w:r>
      <w:r w:rsidRPr="00B00967">
        <w:t>.</w:t>
      </w:r>
    </w:p>
    <w:p w:rsidR="00F262A8" w:rsidRPr="00B00967" w:rsidRDefault="00F262A8" w:rsidP="00F262A8">
      <w:pPr>
        <w:pStyle w:val="EYBulletedText1"/>
      </w:pPr>
      <w:r w:rsidRPr="00B00967">
        <w:t xml:space="preserve">For </w:t>
      </w:r>
      <w:r w:rsidRPr="00B00967">
        <w:rPr>
          <w:b/>
        </w:rPr>
        <w:t>museums</w:t>
      </w:r>
      <w:r w:rsidRPr="00B00967">
        <w:t>, the break</w:t>
      </w:r>
      <w:r w:rsidR="001440BA">
        <w:t>-</w:t>
      </w:r>
      <w:r w:rsidRPr="00B00967">
        <w:t>even point is $5.</w:t>
      </w:r>
      <w:r w:rsidR="00E14718">
        <w:t>71</w:t>
      </w:r>
      <w:r w:rsidRPr="00B00967">
        <w:t>.  Applying the ‘upper bound’ WTP estimate of $23.16 (the estimated travel cost) this generates net benefits of $</w:t>
      </w:r>
      <w:r w:rsidR="00E14718">
        <w:t>132,704</w:t>
      </w:r>
      <w:r w:rsidRPr="00B00967">
        <w:rPr>
          <w:color w:val="000000"/>
          <w:szCs w:val="22"/>
        </w:rPr>
        <w:t xml:space="preserve"> in Present Value terms</w:t>
      </w:r>
      <w:r w:rsidRPr="00B00967">
        <w:t>.</w:t>
      </w:r>
    </w:p>
    <w:p w:rsidR="00F262A8" w:rsidRPr="00B00967" w:rsidRDefault="00F262A8" w:rsidP="00F262A8">
      <w:pPr>
        <w:pStyle w:val="EYBulletedText1"/>
      </w:pPr>
      <w:r w:rsidRPr="00B00967">
        <w:t xml:space="preserve">For </w:t>
      </w:r>
      <w:r w:rsidRPr="00B00967">
        <w:rPr>
          <w:b/>
        </w:rPr>
        <w:t>stadiums</w:t>
      </w:r>
      <w:r w:rsidRPr="00B00967">
        <w:t>, the break</w:t>
      </w:r>
      <w:r w:rsidR="001440BA">
        <w:t>-</w:t>
      </w:r>
      <w:r w:rsidRPr="00B00967">
        <w:t>even point is $6.</w:t>
      </w:r>
      <w:r w:rsidR="00E14718">
        <w:t>66</w:t>
      </w:r>
      <w:r w:rsidRPr="00B00967">
        <w:t>. Applying the ‘upper bound’ WTP estimate of $37.16</w:t>
      </w:r>
      <w:r w:rsidRPr="00B00967">
        <w:rPr>
          <w:sz w:val="20"/>
          <w:szCs w:val="20"/>
        </w:rPr>
        <w:t xml:space="preserve"> </w:t>
      </w:r>
      <w:r w:rsidRPr="00B00967">
        <w:t>(the estimated travel cost) this generates net benefits of $1</w:t>
      </w:r>
      <w:r w:rsidR="00E14718">
        <w:t>82</w:t>
      </w:r>
      <w:r w:rsidRPr="00B00967">
        <w:t>,</w:t>
      </w:r>
      <w:r w:rsidR="00E14718">
        <w:t>458</w:t>
      </w:r>
      <w:r w:rsidRPr="00B00967">
        <w:rPr>
          <w:color w:val="000000"/>
          <w:szCs w:val="22"/>
        </w:rPr>
        <w:t xml:space="preserve"> in Present Value terms</w:t>
      </w:r>
      <w:r w:rsidRPr="00B00967">
        <w:t>.</w:t>
      </w:r>
    </w:p>
    <w:p w:rsidR="00F262A8" w:rsidRPr="00B00967" w:rsidRDefault="00F262A8" w:rsidP="00F262A8">
      <w:pPr>
        <w:pStyle w:val="EYBulletedText1"/>
      </w:pPr>
      <w:r w:rsidRPr="00B00967">
        <w:t xml:space="preserve">For </w:t>
      </w:r>
      <w:r w:rsidRPr="00B00967">
        <w:rPr>
          <w:b/>
        </w:rPr>
        <w:t>airports</w:t>
      </w:r>
      <w:r w:rsidRPr="00B00967">
        <w:t>, the break</w:t>
      </w:r>
      <w:r w:rsidR="001440BA">
        <w:t>-</w:t>
      </w:r>
      <w:r w:rsidRPr="00B00967">
        <w:t>even point is estimated to be very low even for the smallest of commercial airports. Given the strong benefits that could flow from accessible tourism</w:t>
      </w:r>
      <w:r w:rsidR="009F5D4A">
        <w:t>,</w:t>
      </w:r>
      <w:r w:rsidR="00201744" w:rsidRPr="00C133AC">
        <w:rPr>
          <w:rStyle w:val="FootnoteReference"/>
          <w:sz w:val="24"/>
          <w:szCs w:val="24"/>
        </w:rPr>
        <w:footnoteReference w:id="75"/>
      </w:r>
      <w:r w:rsidRPr="00B00967">
        <w:t xml:space="preserve"> this is considered strong justification for mandating AACFs in prospective airports or airport re-developments.  </w:t>
      </w:r>
    </w:p>
    <w:p w:rsidR="00F262A8" w:rsidRPr="00B00967" w:rsidRDefault="00F262A8" w:rsidP="00B00967">
      <w:pPr>
        <w:pStyle w:val="EYBulletedText1"/>
        <w:rPr>
          <w:b/>
          <w:bCs/>
          <w:szCs w:val="20"/>
        </w:rPr>
      </w:pPr>
      <w:r w:rsidRPr="00B00967">
        <w:lastRenderedPageBreak/>
        <w:t xml:space="preserve">For </w:t>
      </w:r>
      <w:r w:rsidRPr="00B00967">
        <w:rPr>
          <w:b/>
        </w:rPr>
        <w:t>public aquatic facilities</w:t>
      </w:r>
      <w:r w:rsidRPr="00B00967">
        <w:t>, the break</w:t>
      </w:r>
      <w:r w:rsidR="001440BA">
        <w:t>-</w:t>
      </w:r>
      <w:r w:rsidRPr="00B00967">
        <w:t xml:space="preserve">even point is </w:t>
      </w:r>
      <w:r w:rsidR="00B26122">
        <w:t xml:space="preserve">estimated to occur when the feeder population of the facility exceeds </w:t>
      </w:r>
      <w:r w:rsidR="00E14718">
        <w:t>3,0</w:t>
      </w:r>
      <w:r w:rsidR="00B26122">
        <w:t>00</w:t>
      </w:r>
      <w:r w:rsidRPr="00B00967">
        <w:t xml:space="preserve">. In other words provided the total potential feeder population of </w:t>
      </w:r>
      <w:r w:rsidR="00F3710E">
        <w:t xml:space="preserve">an </w:t>
      </w:r>
      <w:r w:rsidRPr="00B00967">
        <w:t xml:space="preserve">indoor </w:t>
      </w:r>
      <w:r w:rsidR="00311261">
        <w:t xml:space="preserve">swimming </w:t>
      </w:r>
      <w:r w:rsidRPr="00B00967">
        <w:t xml:space="preserve">pool exceeds </w:t>
      </w:r>
      <w:r w:rsidR="00E14718">
        <w:t>3,000</w:t>
      </w:r>
      <w:r w:rsidRPr="00B00967">
        <w:t>, the benefits of installing an AACF (not including qualitative benefits) will outweigh the costs.</w:t>
      </w:r>
      <w:r w:rsidR="00A7059B">
        <w:t xml:space="preserve"> This is based on an assumed $26.39 worth of improved health outcomes per visit and an average of 4.4 visits per person per annum.</w:t>
      </w:r>
      <w:r w:rsidR="00A7059B">
        <w:rPr>
          <w:rStyle w:val="FootnoteReference"/>
        </w:rPr>
        <w:footnoteReference w:id="76"/>
      </w:r>
    </w:p>
    <w:p w:rsidR="002303DB" w:rsidRPr="00B00967" w:rsidRDefault="006C13AB">
      <w:pPr>
        <w:pStyle w:val="Heading3"/>
      </w:pPr>
      <w:bookmarkStart w:id="494" w:name="_Ref517092069"/>
      <w:r w:rsidRPr="00B00967">
        <w:t xml:space="preserve">Qualitative </w:t>
      </w:r>
      <w:r w:rsidR="002303DB" w:rsidRPr="00B00967">
        <w:t>case studies</w:t>
      </w:r>
      <w:bookmarkEnd w:id="494"/>
    </w:p>
    <w:p w:rsidR="002303DB" w:rsidRPr="00B00967" w:rsidRDefault="00A55F43" w:rsidP="003D5137">
      <w:pPr>
        <w:pStyle w:val="EYBodytextwithparaspace"/>
      </w:pPr>
      <w:r w:rsidRPr="00B00967">
        <w:t>As noted in S</w:t>
      </w:r>
      <w:r w:rsidR="002303DB" w:rsidRPr="00B00967">
        <w:t xml:space="preserve">ection </w:t>
      </w:r>
      <w:r w:rsidR="002303DB" w:rsidRPr="00B00967">
        <w:fldChar w:fldCharType="begin"/>
      </w:r>
      <w:r w:rsidR="002303DB" w:rsidRPr="00B00967">
        <w:instrText xml:space="preserve"> REF _Ref503970040 \r \h </w:instrText>
      </w:r>
      <w:r w:rsidR="0068071B" w:rsidRPr="00B00967">
        <w:instrText xml:space="preserve"> \* MERGEFORMAT </w:instrText>
      </w:r>
      <w:r w:rsidR="002303DB" w:rsidRPr="00B00967">
        <w:fldChar w:fldCharType="separate"/>
      </w:r>
      <w:r w:rsidR="00910A73">
        <w:t>1.5</w:t>
      </w:r>
      <w:r w:rsidR="002303DB" w:rsidRPr="00B00967">
        <w:fldChar w:fldCharType="end"/>
      </w:r>
      <w:r w:rsidR="002303DB" w:rsidRPr="00B00967">
        <w:t xml:space="preserve"> we have also qualitatively considered the case of </w:t>
      </w:r>
      <w:r w:rsidR="00A76C18" w:rsidRPr="00B00967">
        <w:t xml:space="preserve">a </w:t>
      </w:r>
      <w:r w:rsidR="00A43281" w:rsidRPr="00B00967">
        <w:t>major public t</w:t>
      </w:r>
      <w:r w:rsidR="00B64C98" w:rsidRPr="00B00967">
        <w:t>ransport facility (e.g. a train</w:t>
      </w:r>
      <w:r w:rsidR="00A43281" w:rsidRPr="00B00967">
        <w:t xml:space="preserve"> station) and a convention centre</w:t>
      </w:r>
      <w:r w:rsidR="002303DB" w:rsidRPr="00B00967">
        <w:t>.</w:t>
      </w:r>
    </w:p>
    <w:p w:rsidR="002303DB" w:rsidRPr="00B00967" w:rsidRDefault="002303DB" w:rsidP="00A7059B">
      <w:pPr>
        <w:spacing w:after="120"/>
      </w:pPr>
      <w:r w:rsidRPr="00B00967">
        <w:rPr>
          <w:b/>
        </w:rPr>
        <w:t xml:space="preserve">Major </w:t>
      </w:r>
      <w:r w:rsidR="009824B0" w:rsidRPr="00B00967">
        <w:rPr>
          <w:b/>
        </w:rPr>
        <w:t>public transport facility</w:t>
      </w:r>
    </w:p>
    <w:p w:rsidR="00DC792D" w:rsidRPr="00B00967" w:rsidRDefault="00DC792D" w:rsidP="00DC792D">
      <w:pPr>
        <w:pStyle w:val="EYBodytextwithparaspace"/>
      </w:pPr>
      <w:r w:rsidRPr="00B00967">
        <w:t>In determining the suitability of requiring AACFs in public transport buildings and airports, the provision of public compared to privately provided passenger services was considered, in addition to the substitutability of bus, train and ferry services with other modes of transport compared to flights. It is considered that the core cohort</w:t>
      </w:r>
      <w:r w:rsidR="00D174E6">
        <w:t>, like the rest of the population</w:t>
      </w:r>
      <w:r w:rsidRPr="00B00967">
        <w:t xml:space="preserve"> have limited alternatives to the use of airports</w:t>
      </w:r>
      <w:r w:rsidR="00805B76">
        <w:t xml:space="preserve"> for long distance trips</w:t>
      </w:r>
      <w:r w:rsidR="0087415B">
        <w:t xml:space="preserve"> due to a number of factors such as speed and </w:t>
      </w:r>
      <w:r w:rsidR="00D174E6">
        <w:t>convenience air travel</w:t>
      </w:r>
      <w:r w:rsidR="0087415B">
        <w:t xml:space="preserve"> offers</w:t>
      </w:r>
      <w:r w:rsidR="00D174E6">
        <w:t>.</w:t>
      </w:r>
      <w:r w:rsidR="0087415B" w:rsidRPr="002C36F5">
        <w:rPr>
          <w:rStyle w:val="FootnoteReference"/>
          <w:sz w:val="24"/>
          <w:szCs w:val="24"/>
        </w:rPr>
        <w:footnoteReference w:id="77"/>
      </w:r>
      <w:r w:rsidR="00805B76">
        <w:t xml:space="preserve"> This contrasts with</w:t>
      </w:r>
      <w:r w:rsidR="000D05E2">
        <w:t xml:space="preserve"> the use of</w:t>
      </w:r>
      <w:r w:rsidR="00805B76">
        <w:t xml:space="preserve"> public transport facilities where </w:t>
      </w:r>
      <w:r w:rsidR="00D6675B" w:rsidRPr="00B00967">
        <w:t>several</w:t>
      </w:r>
      <w:r w:rsidR="00360DAF">
        <w:t xml:space="preserve"> </w:t>
      </w:r>
      <w:r w:rsidR="000D05E2">
        <w:t>feasible</w:t>
      </w:r>
      <w:r w:rsidR="00D6675B" w:rsidRPr="00B00967">
        <w:t xml:space="preserve"> alternatives </w:t>
      </w:r>
      <w:r w:rsidR="00E80B85">
        <w:t xml:space="preserve">may </w:t>
      </w:r>
      <w:r w:rsidR="00D6675B" w:rsidRPr="00B00967">
        <w:t>exist</w:t>
      </w:r>
      <w:r w:rsidR="00D174E6">
        <w:t xml:space="preserve">, </w:t>
      </w:r>
      <w:r w:rsidR="00E80B85">
        <w:t>depending on the nature of the trip</w:t>
      </w:r>
      <w:r w:rsidRPr="00B00967">
        <w:t>.</w:t>
      </w:r>
    </w:p>
    <w:p w:rsidR="00D6675B" w:rsidRPr="00B00967" w:rsidRDefault="00D6675B" w:rsidP="00DC792D">
      <w:pPr>
        <w:pStyle w:val="EYBodytextwithparaspace"/>
      </w:pPr>
      <w:r w:rsidRPr="00B00967">
        <w:t xml:space="preserve">For regulation to be warranted, it is necessary to make the case that installation of an AACF would lead to a greater number of trips to a public transport facility than would otherwise have occurred. Feedback from stakeholders regarding the utilisation of existing AACFs at train stations in Melbourne and Perth, as well as an analysis of data from the Survey of </w:t>
      </w:r>
      <w:r w:rsidR="007C69BF" w:rsidRPr="00B00967">
        <w:t>Disabilit</w:t>
      </w:r>
      <w:r w:rsidR="007C69BF">
        <w:t>y, Ageing</w:t>
      </w:r>
      <w:r w:rsidRPr="00B00967">
        <w:t xml:space="preserve"> and Carers (SDAC) indicates that at the present time, such a case is unable to be made. </w:t>
      </w:r>
    </w:p>
    <w:p w:rsidR="00D6675B" w:rsidRPr="00B00967" w:rsidRDefault="00806AEC" w:rsidP="00DC792D">
      <w:pPr>
        <w:pStyle w:val="EYBodytextwithparaspace"/>
      </w:pPr>
      <w:r w:rsidRPr="00B00967">
        <w:t xml:space="preserve">In response to the Consultation RIS, the Australasian Railway Association </w:t>
      </w:r>
      <w:r w:rsidR="00D23CA6">
        <w:t>s</w:t>
      </w:r>
      <w:r w:rsidRPr="00B00967">
        <w:t xml:space="preserve">ubmission noted that </w:t>
      </w:r>
      <w:r w:rsidR="00D6675B" w:rsidRPr="00B00967">
        <w:t xml:space="preserve">current AACFs at major train stations have low usage: </w:t>
      </w:r>
      <w:r w:rsidRPr="00B00967">
        <w:t xml:space="preserve">Flinders Street Station </w:t>
      </w:r>
      <w:r w:rsidR="00D23CA6">
        <w:t xml:space="preserve">in Melbourne </w:t>
      </w:r>
      <w:r w:rsidRPr="00B00967">
        <w:t>has an average daily patronage of approximately 100,000 people while its AACF is used three times per day on average</w:t>
      </w:r>
      <w:r w:rsidR="000F1B8B" w:rsidRPr="00B00967">
        <w:t xml:space="preserve"> while the Perth Central Train Station has an average daily patronage of 36,000 people and its </w:t>
      </w:r>
      <w:r w:rsidR="007C69BF" w:rsidRPr="00B00967">
        <w:t>A</w:t>
      </w:r>
      <w:r w:rsidR="007C69BF">
        <w:t>A</w:t>
      </w:r>
      <w:r w:rsidR="007C69BF" w:rsidRPr="00B00967">
        <w:t xml:space="preserve">CFs </w:t>
      </w:r>
      <w:r w:rsidR="000F1B8B" w:rsidRPr="00B00967">
        <w:t xml:space="preserve">is used one to three times per day. </w:t>
      </w:r>
    </w:p>
    <w:p w:rsidR="00B72C3D" w:rsidRPr="00B00967" w:rsidRDefault="000F1B8B" w:rsidP="00DC792D">
      <w:pPr>
        <w:pStyle w:val="EYBodytextwithparaspace"/>
      </w:pPr>
      <w:r w:rsidRPr="00B00967">
        <w:t xml:space="preserve">Given the </w:t>
      </w:r>
      <w:r w:rsidR="00333E98" w:rsidRPr="00B00967">
        <w:t xml:space="preserve">estimates of the </w:t>
      </w:r>
      <w:r w:rsidRPr="00B00967">
        <w:t xml:space="preserve">average daily patronage of these facilities and use of their AACFs, it is not considered that the presence of AACFs in these buildings is producing a demonstrable increase in patronage as a result of the installation of AACFs. </w:t>
      </w:r>
    </w:p>
    <w:p w:rsidR="00D6675B" w:rsidRPr="0068071B" w:rsidRDefault="00DC792D" w:rsidP="00D6675B">
      <w:pPr>
        <w:pStyle w:val="EYBodytextwithparaspace"/>
        <w:rPr>
          <w:highlight w:val="yellow"/>
        </w:rPr>
      </w:pPr>
      <w:r w:rsidRPr="00B00967">
        <w:t xml:space="preserve">Notwithstanding these factors, </w:t>
      </w:r>
      <w:r w:rsidR="00D6675B" w:rsidRPr="00B00967">
        <w:t>mandating</w:t>
      </w:r>
      <w:r w:rsidRPr="00B00967">
        <w:t xml:space="preserve"> AACFs could </w:t>
      </w:r>
      <w:r w:rsidR="00D6675B" w:rsidRPr="00B00967">
        <w:t xml:space="preserve">still </w:t>
      </w:r>
      <w:r w:rsidRPr="00B00967">
        <w:t xml:space="preserve">have merit </w:t>
      </w:r>
      <w:r w:rsidR="00D6675B" w:rsidRPr="00B00967">
        <w:t xml:space="preserve">if it were </w:t>
      </w:r>
      <w:r w:rsidR="002D1580" w:rsidRPr="00B00967">
        <w:t>demonstrated</w:t>
      </w:r>
      <w:r w:rsidR="00D6675B" w:rsidRPr="00B00967">
        <w:t xml:space="preserve"> that the inability </w:t>
      </w:r>
      <w:r w:rsidR="002D1580" w:rsidRPr="00B00967">
        <w:t>to</w:t>
      </w:r>
      <w:r w:rsidR="00D6675B" w:rsidRPr="00B00967">
        <w:t xml:space="preserve"> use current toileting </w:t>
      </w:r>
      <w:r w:rsidR="002D1580" w:rsidRPr="00B00967">
        <w:t>facilities</w:t>
      </w:r>
      <w:r w:rsidR="00D6675B" w:rsidRPr="00B00967">
        <w:t xml:space="preserve"> has a marked impact on peoples’ ability (or </w:t>
      </w:r>
      <w:r w:rsidR="002D1580" w:rsidRPr="00B00967">
        <w:t>willingness) to us</w:t>
      </w:r>
      <w:r w:rsidR="00D6675B" w:rsidRPr="00B00967">
        <w:t>e</w:t>
      </w:r>
      <w:r w:rsidR="002D1580" w:rsidRPr="00B00967">
        <w:t xml:space="preserve"> public</w:t>
      </w:r>
      <w:r w:rsidR="00D6675B" w:rsidRPr="00B00967">
        <w:t xml:space="preserve"> transport.</w:t>
      </w:r>
      <w:r w:rsidRPr="00B00967">
        <w:t xml:space="preserve"> </w:t>
      </w:r>
      <w:r w:rsidR="00D6675B" w:rsidRPr="00B00967">
        <w:t xml:space="preserve">Data from the SDAC on the barriers to public transport usage for people in our core cohort (those with a complex disability) </w:t>
      </w:r>
      <w:r w:rsidR="00D6675B" w:rsidRPr="00B00967">
        <w:lastRenderedPageBreak/>
        <w:t>indicate that, as would be expected, there are a range of barriers more pertinent than accessibility of toilets</w:t>
      </w:r>
      <w:r w:rsidR="0047744A" w:rsidRPr="00B00967">
        <w:t>, as shown in</w:t>
      </w:r>
      <w:r w:rsidR="001E1AE5">
        <w:t xml:space="preserve"> </w:t>
      </w:r>
      <w:r w:rsidR="001E1AE5">
        <w:fldChar w:fldCharType="begin"/>
      </w:r>
      <w:r w:rsidR="001E1AE5">
        <w:instrText xml:space="preserve"> REF _Ref521486159 \h </w:instrText>
      </w:r>
      <w:r w:rsidR="001E1AE5">
        <w:fldChar w:fldCharType="separate"/>
      </w:r>
      <w:r w:rsidR="00910A73" w:rsidRPr="00B00967">
        <w:t xml:space="preserve">Figure </w:t>
      </w:r>
      <w:r w:rsidR="00910A73">
        <w:rPr>
          <w:noProof/>
        </w:rPr>
        <w:t>7</w:t>
      </w:r>
      <w:r w:rsidR="00910A73">
        <w:noBreakHyphen/>
      </w:r>
      <w:r w:rsidR="00910A73">
        <w:rPr>
          <w:noProof/>
        </w:rPr>
        <w:t>1</w:t>
      </w:r>
      <w:r w:rsidR="001E1AE5">
        <w:fldChar w:fldCharType="end"/>
      </w:r>
      <w:r w:rsidR="00D6675B" w:rsidRPr="00B00967">
        <w:t>.</w:t>
      </w:r>
    </w:p>
    <w:p w:rsidR="00D6675B" w:rsidRPr="00B00967" w:rsidRDefault="002D1580" w:rsidP="006117C6">
      <w:pPr>
        <w:pStyle w:val="Caption"/>
        <w:keepNext/>
      </w:pPr>
      <w:bookmarkStart w:id="495" w:name="_Ref521486159"/>
      <w:bookmarkStart w:id="496" w:name="_Ref518492823"/>
      <w:bookmarkStart w:id="497" w:name="_Toc525897836"/>
      <w:r w:rsidRPr="00B00967">
        <w:t xml:space="preserve">Figure </w:t>
      </w:r>
      <w:r w:rsidR="00D128AA">
        <w:rPr>
          <w:noProof/>
        </w:rPr>
        <w:fldChar w:fldCharType="begin"/>
      </w:r>
      <w:r w:rsidR="00D128AA">
        <w:rPr>
          <w:noProof/>
        </w:rPr>
        <w:instrText xml:space="preserve"> STYLEREF 1 \s </w:instrText>
      </w:r>
      <w:r w:rsidR="00D128AA">
        <w:rPr>
          <w:noProof/>
        </w:rPr>
        <w:fldChar w:fldCharType="separate"/>
      </w:r>
      <w:r w:rsidR="00910A73">
        <w:rPr>
          <w:noProof/>
        </w:rPr>
        <w:t>7</w:t>
      </w:r>
      <w:r w:rsidR="00D128AA">
        <w:rPr>
          <w:noProof/>
        </w:rPr>
        <w:fldChar w:fldCharType="end"/>
      </w:r>
      <w:r w:rsidR="00BA13E6">
        <w:noBreakHyphen/>
      </w:r>
      <w:r w:rsidR="00D128AA">
        <w:rPr>
          <w:noProof/>
        </w:rPr>
        <w:fldChar w:fldCharType="begin"/>
      </w:r>
      <w:r w:rsidR="00D128AA">
        <w:rPr>
          <w:noProof/>
        </w:rPr>
        <w:instrText xml:space="preserve"> SEQ Figure \* ARABIC \s 1 </w:instrText>
      </w:r>
      <w:r w:rsidR="00D128AA">
        <w:rPr>
          <w:noProof/>
        </w:rPr>
        <w:fldChar w:fldCharType="separate"/>
      </w:r>
      <w:r w:rsidR="00910A73">
        <w:rPr>
          <w:noProof/>
        </w:rPr>
        <w:t>1</w:t>
      </w:r>
      <w:r w:rsidR="00D128AA">
        <w:rPr>
          <w:noProof/>
        </w:rPr>
        <w:fldChar w:fldCharType="end"/>
      </w:r>
      <w:bookmarkEnd w:id="495"/>
      <w:bookmarkEnd w:id="496"/>
      <w:r w:rsidRPr="00B00967">
        <w:t>: Reasons for inability to use some or all forms of public transport</w:t>
      </w:r>
      <w:bookmarkEnd w:id="497"/>
    </w:p>
    <w:p w:rsidR="00D6675B" w:rsidRPr="0068071B" w:rsidRDefault="00D6675B" w:rsidP="005D43EA">
      <w:pPr>
        <w:keepNext/>
        <w:rPr>
          <w:highlight w:val="yellow"/>
        </w:rPr>
      </w:pPr>
      <w:r w:rsidRPr="00DD10EE">
        <w:rPr>
          <w:noProof/>
          <w:lang w:eastAsia="en-AU"/>
        </w:rPr>
        <w:drawing>
          <wp:inline distT="0" distB="0" distL="0" distR="0" wp14:anchorId="33B60C22" wp14:editId="69FC4ECA">
            <wp:extent cx="6119495" cy="4590107"/>
            <wp:effectExtent l="0" t="0" r="0" b="12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7A87" w:rsidRPr="00B00967" w:rsidRDefault="002405FD" w:rsidP="00D6675B">
      <w:pPr>
        <w:pStyle w:val="EYBodytextwithparaspace"/>
        <w:rPr>
          <w:sz w:val="20"/>
        </w:rPr>
      </w:pPr>
      <w:r w:rsidRPr="00B00967">
        <w:rPr>
          <w:sz w:val="20"/>
        </w:rPr>
        <w:t xml:space="preserve">Source: </w:t>
      </w:r>
      <w:r w:rsidR="002D1580" w:rsidRPr="00B00967">
        <w:rPr>
          <w:sz w:val="20"/>
        </w:rPr>
        <w:t>ABS 4430.0</w:t>
      </w:r>
      <w:r w:rsidR="008C3213" w:rsidRPr="00B00967">
        <w:rPr>
          <w:sz w:val="20"/>
        </w:rPr>
        <w:t>, Survey of Disability</w:t>
      </w:r>
      <w:r w:rsidR="007C69BF">
        <w:rPr>
          <w:sz w:val="20"/>
        </w:rPr>
        <w:t>, Ageing</w:t>
      </w:r>
      <w:r w:rsidR="008C3213" w:rsidRPr="00B00967">
        <w:rPr>
          <w:sz w:val="20"/>
        </w:rPr>
        <w:t xml:space="preserve"> and Carers</w:t>
      </w:r>
    </w:p>
    <w:p w:rsidR="00A078F0" w:rsidRPr="00B00967" w:rsidRDefault="00A078F0" w:rsidP="00A078F0">
      <w:pPr>
        <w:pStyle w:val="EYBodytextwithparaspace"/>
      </w:pPr>
      <w:r w:rsidRPr="00B00967">
        <w:t xml:space="preserve">These findings suggest that even if AACFs were required in public transport buildings, a number of other outstanding issues would prevent the benefits of the AACF from being realised. In other words, if the objective </w:t>
      </w:r>
      <w:r w:rsidR="00D23CA6">
        <w:t xml:space="preserve">is </w:t>
      </w:r>
      <w:r w:rsidRPr="00B00967">
        <w:t>to increase the ability for people with a disability to utilise public transport, the factors likely to dominate a decision to travel would also need to be addressed.</w:t>
      </w:r>
    </w:p>
    <w:p w:rsidR="00A078F0" w:rsidRPr="00B00967" w:rsidRDefault="00A078F0" w:rsidP="00A078F0">
      <w:pPr>
        <w:pStyle w:val="EYBodytextwithparaspace"/>
      </w:pPr>
      <w:r w:rsidRPr="00B00967">
        <w:t>In an Australian context, the launch of the Whole Journey Guide</w:t>
      </w:r>
      <w:r w:rsidR="009F5D4A">
        <w:t>,</w:t>
      </w:r>
      <w:r w:rsidRPr="00C133AC">
        <w:rPr>
          <w:rStyle w:val="FootnoteReference"/>
          <w:sz w:val="24"/>
          <w:szCs w:val="24"/>
        </w:rPr>
        <w:footnoteReference w:id="78"/>
      </w:r>
      <w:r w:rsidRPr="00B00967">
        <w:t xml:space="preserve"> the Government’s response to the 2015 Review of the Disability Standards for Accessible Transport 2002</w:t>
      </w:r>
      <w:r w:rsidR="00670EC7">
        <w:t>,</w:t>
      </w:r>
      <w:r w:rsidRPr="00C133AC">
        <w:rPr>
          <w:rStyle w:val="FootnoteReference"/>
          <w:sz w:val="24"/>
          <w:szCs w:val="24"/>
        </w:rPr>
        <w:footnoteReference w:id="79"/>
      </w:r>
      <w:r w:rsidRPr="009C5509">
        <w:t xml:space="preserve"> </w:t>
      </w:r>
      <w:r w:rsidRPr="00B00967">
        <w:t xml:space="preserve">notes the importance of considering the whole journey at the start of the transport planning process, and that this consideration can go beyond compliance with regulation. This Guide </w:t>
      </w:r>
      <w:r w:rsidRPr="00B00967">
        <w:lastRenderedPageBreak/>
        <w:t>was endorsed by Transport and Infrastructure Council Ministers in November 2017 and provides a best practice guide to increasing the accessibility of public transport.</w:t>
      </w:r>
    </w:p>
    <w:p w:rsidR="00B9530E" w:rsidRPr="00B00967" w:rsidRDefault="00114530" w:rsidP="00B9530E">
      <w:pPr>
        <w:pStyle w:val="EYBodytextwithparaspace"/>
      </w:pPr>
      <w:r w:rsidRPr="00B00967">
        <w:t xml:space="preserve">Given the significance of factors that reduce accessibility for public transport, </w:t>
      </w:r>
      <w:r w:rsidR="00E81786" w:rsidRPr="00B00967">
        <w:t>a regulatory option is not</w:t>
      </w:r>
      <w:r w:rsidRPr="00B00967">
        <w:t xml:space="preserve"> </w:t>
      </w:r>
      <w:r w:rsidR="00A078F0" w:rsidRPr="00B00967">
        <w:t xml:space="preserve">considered </w:t>
      </w:r>
      <w:r w:rsidRPr="00B00967">
        <w:t xml:space="preserve">the most effective </w:t>
      </w:r>
      <w:r w:rsidR="00E81786" w:rsidRPr="00B00967">
        <w:t xml:space="preserve">or appropriate </w:t>
      </w:r>
      <w:r w:rsidRPr="00B00967">
        <w:t>mechanism to</w:t>
      </w:r>
      <w:r w:rsidR="00E81786" w:rsidRPr="00B00967">
        <w:t xml:space="preserve"> address the </w:t>
      </w:r>
      <w:r w:rsidR="00C0080D" w:rsidRPr="00B00967">
        <w:t xml:space="preserve">defined </w:t>
      </w:r>
      <w:r w:rsidR="00E81786" w:rsidRPr="00B00967">
        <w:t>problem</w:t>
      </w:r>
      <w:r w:rsidR="00225776" w:rsidRPr="00B00967">
        <w:t xml:space="preserve"> as described in Section</w:t>
      </w:r>
      <w:r w:rsidR="00380FCE">
        <w:t xml:space="preserve"> </w:t>
      </w:r>
      <w:r w:rsidR="00380FCE">
        <w:fldChar w:fldCharType="begin"/>
      </w:r>
      <w:r w:rsidR="00380FCE">
        <w:instrText xml:space="preserve"> REF _Ref523151324 \r \h </w:instrText>
      </w:r>
      <w:r w:rsidR="00380FCE">
        <w:fldChar w:fldCharType="separate"/>
      </w:r>
      <w:r w:rsidR="00910A73">
        <w:t>2</w:t>
      </w:r>
      <w:r w:rsidR="00380FCE">
        <w:fldChar w:fldCharType="end"/>
      </w:r>
      <w:r w:rsidRPr="00B00967">
        <w:t>.</w:t>
      </w:r>
      <w:r w:rsidR="00B9530E" w:rsidRPr="00B00967">
        <w:t xml:space="preserve"> The presence of feasible alternatives and significance of other barriers in terms of access to public transport networks provides a sound case for excluding public transport buildings from a requirement to install AACFs. </w:t>
      </w:r>
    </w:p>
    <w:p w:rsidR="00566429" w:rsidRPr="00B00967" w:rsidRDefault="00716B19" w:rsidP="009260BA">
      <w:pPr>
        <w:pStyle w:val="EYBodytextwithparaspace"/>
      </w:pPr>
      <w:r>
        <w:t>However</w:t>
      </w:r>
      <w:r w:rsidR="00DB038B" w:rsidRPr="00B00967">
        <w:t xml:space="preserve">, while a regulatory solution </w:t>
      </w:r>
      <w:r>
        <w:t xml:space="preserve">to mandate the provision of AACFs </w:t>
      </w:r>
      <w:r w:rsidR="00DB038B" w:rsidRPr="00B00967">
        <w:t xml:space="preserve">is not </w:t>
      </w:r>
      <w:r>
        <w:t xml:space="preserve">considered to </w:t>
      </w:r>
      <w:r w:rsidR="00DB038B" w:rsidRPr="00B00967">
        <w:t>be appropriate or effective,</w:t>
      </w:r>
      <w:r w:rsidR="0098739B" w:rsidRPr="00B00967">
        <w:t xml:space="preserve"> this does not diminish the need to provide equitable access to public transport networks.</w:t>
      </w:r>
      <w:r w:rsidR="00DA2BF9" w:rsidRPr="00B00967">
        <w:t xml:space="preserve"> To address this need, various countries have introduced standards or guidelines for the provision of AACFs, namely in the United Kingdom, Canada and the US (California)</w:t>
      </w:r>
      <w:r w:rsidR="004D61EC" w:rsidRPr="00B00967">
        <w:t xml:space="preserve"> as detailed in </w:t>
      </w:r>
      <w:r w:rsidR="00674D63" w:rsidRPr="00B00967">
        <w:fldChar w:fldCharType="begin"/>
      </w:r>
      <w:r w:rsidR="00674D63" w:rsidRPr="00B00967">
        <w:instrText xml:space="preserve"> REF _Ref517699164 \r \h </w:instrText>
      </w:r>
      <w:r w:rsidR="0068071B" w:rsidRPr="00B00967">
        <w:instrText xml:space="preserve"> \* MERGEFORMAT </w:instrText>
      </w:r>
      <w:r w:rsidR="00674D63" w:rsidRPr="00B00967">
        <w:fldChar w:fldCharType="separate"/>
      </w:r>
      <w:r w:rsidR="00910A73">
        <w:t>Appendix D</w:t>
      </w:r>
      <w:r w:rsidR="00674D63" w:rsidRPr="00B00967">
        <w:fldChar w:fldCharType="end"/>
      </w:r>
      <w:r w:rsidR="00DA2BF9" w:rsidRPr="00B00967">
        <w:t>.</w:t>
      </w:r>
    </w:p>
    <w:p w:rsidR="00812B88" w:rsidRPr="00B00967" w:rsidRDefault="00B05E9A" w:rsidP="009260BA">
      <w:pPr>
        <w:pStyle w:val="EYBodytextwithparaspace"/>
      </w:pPr>
      <w:r>
        <w:t>These policy responses demonstrate</w:t>
      </w:r>
      <w:r w:rsidR="00346EA5">
        <w:t xml:space="preserve"> an increasing recognition</w:t>
      </w:r>
      <w:r>
        <w:t xml:space="preserve"> across comparable </w:t>
      </w:r>
      <w:r w:rsidR="00346EA5">
        <w:t xml:space="preserve">jurisdictions that while regulatory mechanisms may not be an appropriate response, the accessibility of public transport for people with </w:t>
      </w:r>
      <w:r w:rsidR="00321DC0">
        <w:t xml:space="preserve">complex </w:t>
      </w:r>
      <w:r w:rsidR="00346EA5">
        <w:t>disability is a matter i</w:t>
      </w:r>
      <w:r w:rsidR="00452C17">
        <w:t>n</w:t>
      </w:r>
      <w:r w:rsidR="00346EA5">
        <w:t xml:space="preserve"> need of improvement. In an Australian context, this need </w:t>
      </w:r>
      <w:r w:rsidR="00026739">
        <w:t xml:space="preserve">would be best addressed </w:t>
      </w:r>
      <w:r w:rsidR="00346EA5">
        <w:t xml:space="preserve">in </w:t>
      </w:r>
      <w:r w:rsidR="0047744A" w:rsidRPr="00B00967">
        <w:t>a holistic manner through policy instruments such as the Whole Journey Guide</w:t>
      </w:r>
      <w:r w:rsidR="00FC1423">
        <w:t>,</w:t>
      </w:r>
      <w:r w:rsidR="00026739" w:rsidRPr="00BA4EAF">
        <w:rPr>
          <w:rStyle w:val="FootnoteReference"/>
          <w:sz w:val="24"/>
          <w:szCs w:val="24"/>
        </w:rPr>
        <w:footnoteReference w:id="80"/>
      </w:r>
      <w:r w:rsidR="00026739">
        <w:t xml:space="preserve"> rather than through mandating AACFs in </w:t>
      </w:r>
      <w:r w:rsidR="0047744A" w:rsidRPr="00B00967">
        <w:t>the NCC.</w:t>
      </w:r>
    </w:p>
    <w:p w:rsidR="005330B8" w:rsidRPr="00B00967" w:rsidRDefault="005330B8" w:rsidP="005330B8">
      <w:r w:rsidRPr="00B00967">
        <w:rPr>
          <w:b/>
        </w:rPr>
        <w:t>Libraries</w:t>
      </w:r>
    </w:p>
    <w:p w:rsidR="003E4825" w:rsidRDefault="003E4825" w:rsidP="0009012A">
      <w:pPr>
        <w:pStyle w:val="EYBodytextwithparaspace"/>
      </w:pPr>
      <w:r>
        <w:t>It is not recommended that a regulatory solution be pursued in the case of libraries, for a number of reasons.</w:t>
      </w:r>
    </w:p>
    <w:p w:rsidR="00E27991" w:rsidRPr="00B00967" w:rsidRDefault="003E4825" w:rsidP="0009012A">
      <w:pPr>
        <w:pStyle w:val="EYBodytextwithparaspace"/>
      </w:pPr>
      <w:r>
        <w:t xml:space="preserve">First, libraries are themselves primarily government owned, owing to the broad array of public benefits that libraries provide (such as contributing to social </w:t>
      </w:r>
      <w:r w:rsidR="00A3001E">
        <w:t>equity</w:t>
      </w:r>
      <w:r>
        <w:t>, educational outcomes, as well as providing a sense of community)</w:t>
      </w:r>
      <w:r w:rsidR="00E27991" w:rsidRPr="00B00967">
        <w:t xml:space="preserve">. </w:t>
      </w:r>
      <w:r w:rsidR="007C0ED5">
        <w:t xml:space="preserve">Approximately </w:t>
      </w:r>
      <w:r w:rsidR="00E27991" w:rsidRPr="00B00967">
        <w:t xml:space="preserve">90% of </w:t>
      </w:r>
      <w:r>
        <w:t xml:space="preserve">libraries’ </w:t>
      </w:r>
      <w:r w:rsidR="00E27991" w:rsidRPr="00B00967">
        <w:t>funding</w:t>
      </w:r>
      <w:r>
        <w:t xml:space="preserve"> is</w:t>
      </w:r>
      <w:r w:rsidR="00E27991" w:rsidRPr="00B00967">
        <w:t xml:space="preserve"> typically sourced from governments and the remainder from fees, charges and donations</w:t>
      </w:r>
      <w:r w:rsidR="00670EC7">
        <w:t>.</w:t>
      </w:r>
      <w:r w:rsidRPr="00C133AC">
        <w:rPr>
          <w:rStyle w:val="FootnoteReference"/>
          <w:sz w:val="24"/>
          <w:szCs w:val="24"/>
        </w:rPr>
        <w:footnoteReference w:id="81"/>
      </w:r>
      <w:r w:rsidR="00E27991" w:rsidRPr="00B00967">
        <w:t xml:space="preserve"> The </w:t>
      </w:r>
      <w:r w:rsidR="00181D5D">
        <w:t>broader public benefit</w:t>
      </w:r>
      <w:r w:rsidR="00181D5D" w:rsidRPr="00B00967">
        <w:t xml:space="preserve"> </w:t>
      </w:r>
      <w:r w:rsidR="00E27991" w:rsidRPr="00B00967">
        <w:t>of libraries</w:t>
      </w:r>
      <w:r w:rsidR="00181D5D">
        <w:t>,</w:t>
      </w:r>
      <w:r w:rsidR="00E27991" w:rsidRPr="00B00967">
        <w:t xml:space="preserve"> </w:t>
      </w:r>
      <w:r w:rsidR="00181D5D">
        <w:t>as well as</w:t>
      </w:r>
      <w:r w:rsidR="00181D5D" w:rsidRPr="00B00967">
        <w:t xml:space="preserve"> </w:t>
      </w:r>
      <w:r w:rsidR="00E27991" w:rsidRPr="00B00967">
        <w:t>the degree of control governments can exert on their construction and design</w:t>
      </w:r>
      <w:r w:rsidR="00181D5D">
        <w:t>,</w:t>
      </w:r>
      <w:r w:rsidR="00E27991" w:rsidRPr="00B00967">
        <w:t xml:space="preserve"> suggests </w:t>
      </w:r>
      <w:r w:rsidR="00181D5D">
        <w:t xml:space="preserve">that </w:t>
      </w:r>
      <w:r w:rsidR="00E27991" w:rsidRPr="00B00967">
        <w:t xml:space="preserve">new libraries </w:t>
      </w:r>
      <w:r w:rsidR="006A1F27" w:rsidRPr="00B00967">
        <w:t xml:space="preserve">may </w:t>
      </w:r>
      <w:r w:rsidR="00E27991" w:rsidRPr="00B00967">
        <w:t xml:space="preserve">seek to be as inclusive as </w:t>
      </w:r>
      <w:r w:rsidR="006A1F27" w:rsidRPr="00B00967">
        <w:t>possible under the status quo</w:t>
      </w:r>
      <w:r w:rsidR="00181D5D">
        <w:t xml:space="preserve">. </w:t>
      </w:r>
      <w:r w:rsidR="007441D6">
        <w:t xml:space="preserve">As such, </w:t>
      </w:r>
      <w:r w:rsidR="00181D5D">
        <w:t xml:space="preserve">new libraries </w:t>
      </w:r>
      <w:r w:rsidR="007441D6">
        <w:t>may</w:t>
      </w:r>
      <w:r w:rsidR="00181D5D">
        <w:t xml:space="preserve"> </w:t>
      </w:r>
      <w:r w:rsidR="007C0ED5">
        <w:t xml:space="preserve">opt to </w:t>
      </w:r>
      <w:r w:rsidR="00181D5D">
        <w:t>include AACFs without the need for regulation.</w:t>
      </w:r>
      <w:r w:rsidR="00C6512A">
        <w:t xml:space="preserve"> This is consistent with a number of new libraries built since 2014 which includes the provision of </w:t>
      </w:r>
      <w:r w:rsidR="00D23CA6">
        <w:t>AACFs</w:t>
      </w:r>
      <w:r w:rsidR="00C6512A">
        <w:t xml:space="preserve"> on a voluntary basis</w:t>
      </w:r>
      <w:r w:rsidR="0085009F">
        <w:t>.</w:t>
      </w:r>
      <w:r w:rsidR="00C6512A" w:rsidRPr="00BA4EAF">
        <w:rPr>
          <w:rStyle w:val="FootnoteReference"/>
          <w:sz w:val="24"/>
          <w:szCs w:val="24"/>
        </w:rPr>
        <w:footnoteReference w:id="82"/>
      </w:r>
      <w:r w:rsidR="00C6512A" w:rsidRPr="00212511">
        <w:t xml:space="preserve"> </w:t>
      </w:r>
    </w:p>
    <w:p w:rsidR="00A3001E" w:rsidRDefault="00A3001E" w:rsidP="0009012A">
      <w:pPr>
        <w:pStyle w:val="EYBodytextwithparaspace"/>
      </w:pPr>
      <w:r>
        <w:t xml:space="preserve">Second, </w:t>
      </w:r>
      <w:r w:rsidRPr="00B00967">
        <w:t>the</w:t>
      </w:r>
      <w:r>
        <w:t xml:space="preserve"> library industry is </w:t>
      </w:r>
      <w:r w:rsidRPr="00B00967">
        <w:t>undergoing</w:t>
      </w:r>
      <w:r>
        <w:t xml:space="preserve"> a period of</w:t>
      </w:r>
      <w:r w:rsidRPr="00B00967">
        <w:t xml:space="preserve"> structural change </w:t>
      </w:r>
      <w:r>
        <w:t>and consolidation, which has resulted</w:t>
      </w:r>
      <w:r w:rsidRPr="00B00967">
        <w:t xml:space="preserve"> in the number of library establishments de</w:t>
      </w:r>
      <w:r>
        <w:t>clining over the past five years</w:t>
      </w:r>
      <w:r w:rsidRPr="00B00967">
        <w:t>. With continued technological change and increasing urbanisation, this trend is expected to continue</w:t>
      </w:r>
      <w:r>
        <w:t>.</w:t>
      </w:r>
      <w:r w:rsidR="001B1DB9" w:rsidRPr="00491F6A">
        <w:rPr>
          <w:rStyle w:val="FootnoteReference"/>
          <w:sz w:val="24"/>
          <w:szCs w:val="24"/>
        </w:rPr>
        <w:footnoteReference w:id="83"/>
      </w:r>
      <w:r w:rsidR="00BB61CA">
        <w:t xml:space="preserve"> </w:t>
      </w:r>
      <w:r w:rsidR="00BB61CA" w:rsidRPr="00DD6CB8">
        <w:t xml:space="preserve">This trend </w:t>
      </w:r>
      <w:r w:rsidR="00501FE4">
        <w:t xml:space="preserve">indicates </w:t>
      </w:r>
      <w:r w:rsidR="00BB61CA" w:rsidRPr="00DD6CB8">
        <w:t>mandating</w:t>
      </w:r>
      <w:r w:rsidR="00BB61CA">
        <w:t xml:space="preserve"> AACFs in new libraries would have relatively little material </w:t>
      </w:r>
      <w:r w:rsidR="00501FE4">
        <w:t xml:space="preserve">effect in addressing the defined problem </w:t>
      </w:r>
      <w:r w:rsidR="00BB61CA">
        <w:t>compared to the other types of building considered in this Final RIS.</w:t>
      </w:r>
      <w:r w:rsidR="00BB61CA" w:rsidRPr="00DD6CB8">
        <w:t xml:space="preserve"> </w:t>
      </w:r>
    </w:p>
    <w:p w:rsidR="00181D5D" w:rsidRDefault="00A3001E" w:rsidP="0009012A">
      <w:pPr>
        <w:pStyle w:val="EYBodytextwithparaspace"/>
      </w:pPr>
      <w:r>
        <w:lastRenderedPageBreak/>
        <w:t>Third, a likely consequence of the ongoing consolidation noted above is that new library developments going forward are likely to be either part of a broader development which may include other types of Class 6 or Class 9</w:t>
      </w:r>
      <w:r w:rsidR="0089388F">
        <w:t>b</w:t>
      </w:r>
      <w:r>
        <w:t xml:space="preserve"> building, or alternatively</w:t>
      </w:r>
      <w:r w:rsidR="00181D5D">
        <w:t xml:space="preserve"> </w:t>
      </w:r>
      <w:r w:rsidR="00181D5D" w:rsidRPr="00B00967">
        <w:t xml:space="preserve">situated in close proximity to </w:t>
      </w:r>
      <w:r>
        <w:t>other buildings.</w:t>
      </w:r>
      <w:r w:rsidR="00DE6018">
        <w:t xml:space="preserve"> </w:t>
      </w:r>
      <w:r w:rsidR="00605DCF">
        <w:t>Shopping centres and libraries are increasingly co</w:t>
      </w:r>
      <w:r w:rsidR="00E45DCB">
        <w:t>-</w:t>
      </w:r>
      <w:r w:rsidR="00605DCF">
        <w:t>located due to the mutual benefits to retailers and libraries of complementary visitation purposes, and convenience for library users and shoppers afforded by shared parking.</w:t>
      </w:r>
      <w:r w:rsidR="00605DCF" w:rsidRPr="00CF13EC">
        <w:rPr>
          <w:rStyle w:val="FootnoteReference"/>
          <w:sz w:val="24"/>
          <w:szCs w:val="24"/>
        </w:rPr>
        <w:footnoteReference w:id="84"/>
      </w:r>
      <w:r w:rsidR="00605DCF">
        <w:t xml:space="preserve"> This suggests that mandating AACFs for libraries could result in unintended clusters of AACFs and undue regulatory burden. </w:t>
      </w:r>
    </w:p>
    <w:p w:rsidR="001B1DB9" w:rsidRDefault="001B1DB9" w:rsidP="0009012A">
      <w:pPr>
        <w:pStyle w:val="EYBodytextwithparaspace"/>
      </w:pPr>
      <w:r>
        <w:t>Owing to the reasons outlined above, it is considered that mandating the provision of AACFs in prospective library developments is</w:t>
      </w:r>
      <w:r w:rsidR="00F20625">
        <w:t xml:space="preserve"> not</w:t>
      </w:r>
      <w:r>
        <w:t xml:space="preserve"> warranted. However, as with the case of public transport buildings, this finding should not be taken to mean that greater accessibility of library services is not a desirable goal. Libraries provide a far broader range of public services over and above just </w:t>
      </w:r>
      <w:r w:rsidRPr="009C5509">
        <w:t xml:space="preserve">loaning books – as noted by the Australian </w:t>
      </w:r>
      <w:r w:rsidR="004242CB" w:rsidRPr="009C5509">
        <w:t>Library</w:t>
      </w:r>
      <w:r w:rsidRPr="009C5509">
        <w:t xml:space="preserve"> and </w:t>
      </w:r>
      <w:r w:rsidR="004242CB" w:rsidRPr="009C5509">
        <w:t>Information</w:t>
      </w:r>
      <w:r w:rsidRPr="009C5509">
        <w:t xml:space="preserve"> Association, </w:t>
      </w:r>
      <w:r w:rsidR="004242CB" w:rsidRPr="00491F6A">
        <w:t>p</w:t>
      </w:r>
      <w:r w:rsidR="004242CB" w:rsidRPr="009C5509">
        <w:t>ublic libraries support the information, education, cultural and recreational needs of local communities. They occupy a central place in community life</w:t>
      </w:r>
      <w:r w:rsidR="009C5509" w:rsidRPr="00491F6A">
        <w:t>.</w:t>
      </w:r>
      <w:r w:rsidR="004242CB" w:rsidRPr="00491F6A">
        <w:rPr>
          <w:rStyle w:val="FootnoteReference"/>
          <w:sz w:val="24"/>
          <w:szCs w:val="24"/>
        </w:rPr>
        <w:footnoteReference w:id="85"/>
      </w:r>
      <w:r w:rsidRPr="009C5509">
        <w:t xml:space="preserve"> </w:t>
      </w:r>
    </w:p>
    <w:p w:rsidR="00A90E18" w:rsidRDefault="00A90E18" w:rsidP="0009012A">
      <w:pPr>
        <w:pStyle w:val="EYBodytextwithparaspace"/>
      </w:pPr>
      <w:r>
        <w:t>This finding simply means that separately mandating the provision of AACFs in library developments is unnecessary, given that the ma</w:t>
      </w:r>
      <w:r w:rsidR="00375164">
        <w:t>jority of libraries are public</w:t>
      </w:r>
      <w:r>
        <w:t>ly funded (meaning they would have a greater chance of installing an AACF in the absence of regulation), and that most library developments tend to be located close to other public buildings which would be captured by the requirements.</w:t>
      </w:r>
    </w:p>
    <w:p w:rsidR="00F307D9" w:rsidRPr="00ED12CE" w:rsidRDefault="00F307D9" w:rsidP="00F307D9">
      <w:r w:rsidRPr="00ED12CE">
        <w:rPr>
          <w:b/>
        </w:rPr>
        <w:t>Theatres</w:t>
      </w:r>
    </w:p>
    <w:p w:rsidR="0037008C" w:rsidRPr="00ED12CE" w:rsidRDefault="0037008C" w:rsidP="0009012A">
      <w:pPr>
        <w:pStyle w:val="EYBodytextwithparaspace"/>
      </w:pPr>
      <w:r w:rsidRPr="00ED12CE">
        <w:t xml:space="preserve">The benefits to attending theatres could, if there were sufficient data, be modelled in the same way as for museums. </w:t>
      </w:r>
    </w:p>
    <w:p w:rsidR="00E32A36" w:rsidRPr="00B00967" w:rsidRDefault="00E32A36" w:rsidP="0009012A">
      <w:pPr>
        <w:pStyle w:val="EYBodytextwithparaspace"/>
      </w:pPr>
      <w:r w:rsidRPr="00ED12CE">
        <w:t xml:space="preserve">It can be said with a fair degree of surety that a </w:t>
      </w:r>
      <w:r w:rsidR="00931836" w:rsidRPr="00ED12CE">
        <w:t>strong</w:t>
      </w:r>
      <w:r w:rsidR="0037008C" w:rsidRPr="00ED12CE">
        <w:t xml:space="preserve"> relationship between </w:t>
      </w:r>
      <w:r w:rsidR="00931836" w:rsidRPr="00ED12CE">
        <w:t>seating capacity</w:t>
      </w:r>
      <w:r w:rsidR="0037008C" w:rsidRPr="00ED12CE">
        <w:t xml:space="preserve"> and </w:t>
      </w:r>
      <w:r w:rsidR="00931836" w:rsidRPr="00ED12CE">
        <w:t xml:space="preserve">overall </w:t>
      </w:r>
      <w:r w:rsidR="0037008C" w:rsidRPr="00ED12CE">
        <w:t>theatre attendance</w:t>
      </w:r>
      <w:r w:rsidR="00BF62D7">
        <w:t xml:space="preserve"> is likely to exist.</w:t>
      </w:r>
      <w:r w:rsidRPr="00ED12CE">
        <w:t xml:space="preserve"> However, there is a paucity of data showing patronage at theatres around Australia, and as such </w:t>
      </w:r>
      <w:r w:rsidR="007D0E25">
        <w:t>it was not possible</w:t>
      </w:r>
      <w:r w:rsidRPr="00ED12CE">
        <w:t xml:space="preserve"> </w:t>
      </w:r>
      <w:r w:rsidR="00931836" w:rsidRPr="00ED12CE">
        <w:t>to verify the extent of th</w:t>
      </w:r>
      <w:r w:rsidRPr="00ED12CE">
        <w:t>e</w:t>
      </w:r>
      <w:r w:rsidR="00931836" w:rsidRPr="00ED12CE">
        <w:t xml:space="preserve"> relationship </w:t>
      </w:r>
      <w:r w:rsidRPr="00ED12CE">
        <w:t xml:space="preserve">between size and patronage </w:t>
      </w:r>
      <w:r w:rsidR="00931836" w:rsidRPr="00ED12CE">
        <w:t>for modelling purposes</w:t>
      </w:r>
      <w:r w:rsidR="0037008C" w:rsidRPr="00ED12CE">
        <w:t xml:space="preserve">. </w:t>
      </w:r>
    </w:p>
    <w:p w:rsidR="0037008C" w:rsidRPr="00B00967" w:rsidRDefault="0037008C" w:rsidP="0009012A">
      <w:pPr>
        <w:pStyle w:val="EYBodytextwithparaspace"/>
      </w:pPr>
      <w:r w:rsidRPr="00B00967">
        <w:t>As an alternative, theatres were considered from the perspective of accessibility of people with a disability to the performing arts. It is noted that cultural activities generate considerable economic benefits, estimated to be in the order of $50 billion in 2012-13, or 4.0% of annual GDP.</w:t>
      </w:r>
      <w:r w:rsidRPr="00DD6CB8">
        <w:rPr>
          <w:rStyle w:val="FootnoteReference"/>
          <w:sz w:val="24"/>
          <w:szCs w:val="24"/>
        </w:rPr>
        <w:footnoteReference w:id="86"/>
      </w:r>
      <w:r w:rsidRPr="00481821">
        <w:t xml:space="preserve"> </w:t>
      </w:r>
    </w:p>
    <w:p w:rsidR="0037008C" w:rsidRPr="0068071B" w:rsidRDefault="0037008C" w:rsidP="0009012A">
      <w:pPr>
        <w:pStyle w:val="EYBodytextwithparaspace"/>
        <w:rPr>
          <w:highlight w:val="yellow"/>
        </w:rPr>
      </w:pPr>
      <w:r w:rsidRPr="00B00967">
        <w:t>Specifically on performing arts, 2015 data shows 78 tickets were sold per 100 population with attendance being in the order of 65-75% across the population, though this is notably lower amongst those with disabilities, at 59%.</w:t>
      </w:r>
      <w:r w:rsidRPr="00DD6CB8">
        <w:rPr>
          <w:rStyle w:val="FootnoteReference"/>
          <w:sz w:val="24"/>
          <w:szCs w:val="24"/>
        </w:rPr>
        <w:footnoteReference w:id="87"/>
      </w:r>
      <w:r w:rsidRPr="00B00967">
        <w:t xml:space="preserve"> For live performance arts, over half of </w:t>
      </w:r>
      <w:r w:rsidRPr="00ED12CE">
        <w:t>attendances (and revenues) are accounted for by performances that would typically be held in theatres (53% of both measures).</w:t>
      </w:r>
      <w:r w:rsidR="008C3213" w:rsidRPr="00DD6CB8">
        <w:rPr>
          <w:rStyle w:val="FootnoteReference"/>
          <w:sz w:val="24"/>
          <w:szCs w:val="24"/>
        </w:rPr>
        <w:footnoteReference w:id="88"/>
      </w:r>
      <w:r w:rsidR="00245C90">
        <w:t xml:space="preserve"> In other words, it is apparent that there is an </w:t>
      </w:r>
      <w:r w:rsidR="00245C90">
        <w:lastRenderedPageBreak/>
        <w:t>element of unmet demand when it comes to theatre attendance by people with a disability; demand that could potentially be h</w:t>
      </w:r>
      <w:r w:rsidR="004317CF">
        <w:t>arnessed were</w:t>
      </w:r>
      <w:r w:rsidR="004424FF">
        <w:t xml:space="preserve"> </w:t>
      </w:r>
      <w:r w:rsidR="00D23CA6">
        <w:t>AACFs</w:t>
      </w:r>
      <w:r w:rsidR="004424FF">
        <w:t xml:space="preserve"> provided</w:t>
      </w:r>
      <w:r w:rsidR="00245C90">
        <w:t>.</w:t>
      </w:r>
    </w:p>
    <w:p w:rsidR="00421747" w:rsidRDefault="00421747" w:rsidP="0009012A">
      <w:pPr>
        <w:pStyle w:val="EYBodytextwithparaspace"/>
      </w:pPr>
      <w:r>
        <w:t xml:space="preserve">However, while the arguments for extending the requirements to theatres are apparent, the threshold above which those requirements should </w:t>
      </w:r>
      <w:r w:rsidR="00F20625">
        <w:t>apply</w:t>
      </w:r>
      <w:r>
        <w:t xml:space="preserve"> is less so. </w:t>
      </w:r>
      <w:r w:rsidR="00360F06">
        <w:t>At</w:t>
      </w:r>
      <w:r>
        <w:t xml:space="preserve"> a broad level, two options were considered:</w:t>
      </w:r>
    </w:p>
    <w:p w:rsidR="00421747" w:rsidRDefault="00421747" w:rsidP="007E1FF5">
      <w:pPr>
        <w:pStyle w:val="EYBulletedText1"/>
      </w:pPr>
      <w:r>
        <w:t>First, the option of applying the same threshold as that for museums was considered (which would mean theatres with more than 1500 seats trigger the requirements)</w:t>
      </w:r>
      <w:r w:rsidR="00BA3177">
        <w:t>.</w:t>
      </w:r>
    </w:p>
    <w:p w:rsidR="00421747" w:rsidRDefault="00421747" w:rsidP="007E1FF5">
      <w:pPr>
        <w:pStyle w:val="EYBulletedText1"/>
      </w:pPr>
      <w:r>
        <w:t>Second, the option of not applying a threshold altogether was considered.</w:t>
      </w:r>
    </w:p>
    <w:p w:rsidR="00421747" w:rsidRDefault="00421747" w:rsidP="0009012A">
      <w:pPr>
        <w:pStyle w:val="EYBodytextwithparaspace"/>
      </w:pPr>
      <w:r>
        <w:t xml:space="preserve">Both of these approaches have their own benefits and drawbacks. Applying the same threshold for museums would have the advantage of ensuring the smallest theatres are not unfairly </w:t>
      </w:r>
      <w:r w:rsidR="00BF62D7">
        <w:t>required to install a facility</w:t>
      </w:r>
      <w:r w:rsidR="00376A7D">
        <w:t xml:space="preserve">. </w:t>
      </w:r>
      <w:r w:rsidR="00AE657B">
        <w:t>The drawback of this approach is that it</w:t>
      </w:r>
      <w:r w:rsidR="00376A7D">
        <w:t xml:space="preserve"> </w:t>
      </w:r>
      <w:r w:rsidR="007D0E25">
        <w:t>may result in a higher tha</w:t>
      </w:r>
      <w:r w:rsidR="00505D37">
        <w:t xml:space="preserve">n necessary threshold and </w:t>
      </w:r>
      <w:r w:rsidR="00B43E16">
        <w:t>result in</w:t>
      </w:r>
      <w:r w:rsidR="00505D37">
        <w:t xml:space="preserve"> only very large theatres </w:t>
      </w:r>
      <w:r w:rsidR="00B43E16">
        <w:t>triggering</w:t>
      </w:r>
      <w:r w:rsidR="00505D37">
        <w:t xml:space="preserve"> the requirements</w:t>
      </w:r>
      <w:r w:rsidR="00B43E16">
        <w:t>.</w:t>
      </w:r>
      <w:r>
        <w:t xml:space="preserve"> </w:t>
      </w:r>
    </w:p>
    <w:p w:rsidR="00421747" w:rsidRDefault="006F68B6" w:rsidP="0009012A">
      <w:pPr>
        <w:pStyle w:val="EYBodytextwithparaspace"/>
      </w:pPr>
      <w:r>
        <w:t>In contrast</w:t>
      </w:r>
      <w:r w:rsidR="007D0E25">
        <w:t>, r</w:t>
      </w:r>
      <w:r w:rsidR="00421747">
        <w:t xml:space="preserve">emoving the threshold altogether would have the benefit of enhancing accessibility to the arts. However, </w:t>
      </w:r>
      <w:r w:rsidR="006C134E">
        <w:t xml:space="preserve">there is a strong </w:t>
      </w:r>
      <w:r w:rsidR="00421747">
        <w:t xml:space="preserve">potential </w:t>
      </w:r>
      <w:r w:rsidR="0048372C">
        <w:t xml:space="preserve">for </w:t>
      </w:r>
      <w:r w:rsidR="00421747">
        <w:t>unintended consequence</w:t>
      </w:r>
      <w:r w:rsidR="0048372C">
        <w:t>s</w:t>
      </w:r>
      <w:r w:rsidR="00421747">
        <w:t xml:space="preserve"> </w:t>
      </w:r>
      <w:r w:rsidR="006C134E">
        <w:t xml:space="preserve">in </w:t>
      </w:r>
      <w:r w:rsidR="00421747">
        <w:t xml:space="preserve">this approach </w:t>
      </w:r>
      <w:r w:rsidR="006C134E">
        <w:t>for the</w:t>
      </w:r>
      <w:r w:rsidR="00421747">
        <w:t xml:space="preserve"> imposition to install an AACF alter</w:t>
      </w:r>
      <w:r w:rsidR="006C134E">
        <w:t xml:space="preserve">ing </w:t>
      </w:r>
      <w:r w:rsidR="00421747">
        <w:t>the feasibility of small</w:t>
      </w:r>
      <w:r w:rsidR="00902B1F">
        <w:t xml:space="preserve">er </w:t>
      </w:r>
      <w:r w:rsidR="00421747">
        <w:t xml:space="preserve">theatre developments. </w:t>
      </w:r>
      <w:r w:rsidR="00EA7F6E">
        <w:t xml:space="preserve">This would have </w:t>
      </w:r>
      <w:r w:rsidR="00505D37">
        <w:t xml:space="preserve">the </w:t>
      </w:r>
      <w:r w:rsidR="00EA7F6E">
        <w:t xml:space="preserve">perverse outcome of reducing accessibility to the arts </w:t>
      </w:r>
      <w:r w:rsidR="00505D37">
        <w:t xml:space="preserve">for all people </w:t>
      </w:r>
      <w:r w:rsidR="00EA7F6E">
        <w:t xml:space="preserve">(by preventing otherwise viable theatre developments from going ahead). </w:t>
      </w:r>
    </w:p>
    <w:p w:rsidR="00421747" w:rsidRDefault="00EA7F6E" w:rsidP="0009012A">
      <w:pPr>
        <w:pStyle w:val="EYBodytextwithparaspace"/>
      </w:pPr>
      <w:r>
        <w:t>In summary, although the need for extending the requirements to theatres is apparent</w:t>
      </w:r>
      <w:r w:rsidR="00534AF1">
        <w:t xml:space="preserve"> from a qualitative perspective, </w:t>
      </w:r>
      <w:r>
        <w:t xml:space="preserve">there is insufficient evidence to definitively establish </w:t>
      </w:r>
      <w:r w:rsidR="000765FE">
        <w:t>these benefits will be realised in all cases</w:t>
      </w:r>
      <w:r w:rsidR="000D50DF">
        <w:t xml:space="preserve"> (as would be the case if no threshold </w:t>
      </w:r>
      <w:r w:rsidR="00400EC4">
        <w:t xml:space="preserve">was </w:t>
      </w:r>
      <w:r w:rsidR="000D50DF">
        <w:t>applied)</w:t>
      </w:r>
      <w:r>
        <w:t xml:space="preserve">. </w:t>
      </w:r>
    </w:p>
    <w:p w:rsidR="006530B0" w:rsidRDefault="000D50DF" w:rsidP="0009012A">
      <w:pPr>
        <w:pStyle w:val="EYBodytextwithparaspace"/>
      </w:pPr>
      <w:r>
        <w:t>Given the paucity of data</w:t>
      </w:r>
      <w:r w:rsidR="00400EC4">
        <w:t xml:space="preserve"> and the potential for unintended consequences on smaller theatres</w:t>
      </w:r>
      <w:r>
        <w:t>,</w:t>
      </w:r>
      <w:r w:rsidR="00D30CA5">
        <w:t xml:space="preserve"> it is recommended that</w:t>
      </w:r>
      <w:r w:rsidR="007D0E25">
        <w:t xml:space="preserve"> AACFs be required </w:t>
      </w:r>
      <w:r>
        <w:t>for</w:t>
      </w:r>
      <w:r w:rsidR="007D0E25">
        <w:t xml:space="preserve"> all new</w:t>
      </w:r>
      <w:r w:rsidR="00D30CA5">
        <w:t xml:space="preserve"> </w:t>
      </w:r>
      <w:r w:rsidR="007D0E25">
        <w:t>theatres with a design occu</w:t>
      </w:r>
      <w:r w:rsidR="004F4630">
        <w:t>pancy of 1,500 occupants or greater</w:t>
      </w:r>
      <w:r w:rsidR="00B43E16">
        <w:t>.</w:t>
      </w:r>
      <w:r w:rsidR="00036F8C">
        <w:t xml:space="preserve"> Whilst </w:t>
      </w:r>
      <w:r w:rsidR="006530B0">
        <w:t xml:space="preserve">acknowledging that this threshold is likely to be </w:t>
      </w:r>
      <w:r w:rsidR="00036F8C">
        <w:t xml:space="preserve">conservative, </w:t>
      </w:r>
      <w:r w:rsidR="006530B0">
        <w:t>it</w:t>
      </w:r>
      <w:r w:rsidR="00036F8C">
        <w:t xml:space="preserve"> will allow greater participation of people with complex disabilities in the arts and </w:t>
      </w:r>
      <w:r w:rsidR="00AE657B">
        <w:t>ensure that</w:t>
      </w:r>
      <w:r w:rsidR="000435E8">
        <w:t xml:space="preserve"> net benefits are achieved in </w:t>
      </w:r>
      <w:r w:rsidR="006530B0">
        <w:t>major new theatres</w:t>
      </w:r>
      <w:r w:rsidR="00AE657B">
        <w:t>.</w:t>
      </w:r>
    </w:p>
    <w:p w:rsidR="00D30CA5" w:rsidRDefault="00AE657B" w:rsidP="0009012A">
      <w:pPr>
        <w:pStyle w:val="EYBodytextwithparaspace"/>
      </w:pPr>
      <w:r>
        <w:t xml:space="preserve">It also </w:t>
      </w:r>
      <w:r w:rsidR="006530B0">
        <w:t xml:space="preserve">recommended that the requirements for theatres be reviewed following implementation </w:t>
      </w:r>
      <w:r w:rsidR="00A35190">
        <w:t xml:space="preserve">once </w:t>
      </w:r>
      <w:r>
        <w:t>more information become</w:t>
      </w:r>
      <w:r w:rsidR="00A35190">
        <w:t>s</w:t>
      </w:r>
      <w:r>
        <w:t xml:space="preserve"> available</w:t>
      </w:r>
      <w:r w:rsidR="00A35190">
        <w:t xml:space="preserve"> on its effectiveness in addressing the problem</w:t>
      </w:r>
      <w:r w:rsidR="00400EC4">
        <w:t xml:space="preserve">. </w:t>
      </w:r>
    </w:p>
    <w:p w:rsidR="00F307D9" w:rsidRPr="00ED12CE" w:rsidRDefault="00F307D9" w:rsidP="00026004">
      <w:pPr>
        <w:keepNext/>
      </w:pPr>
      <w:r w:rsidRPr="00ED12CE">
        <w:rPr>
          <w:b/>
        </w:rPr>
        <w:t>Public Halls</w:t>
      </w:r>
    </w:p>
    <w:p w:rsidR="00C36C03" w:rsidRPr="00ED12CE" w:rsidRDefault="00DB4C47" w:rsidP="0009012A">
      <w:pPr>
        <w:pStyle w:val="EYBodytextwithparaspace"/>
      </w:pPr>
      <w:r w:rsidRPr="00ED12CE">
        <w:t>Public halls across Australia vary considerably,</w:t>
      </w:r>
      <w:r w:rsidR="006E47C8" w:rsidRPr="00ED12CE">
        <w:t xml:space="preserve"> </w:t>
      </w:r>
      <w:r w:rsidRPr="00ED12CE">
        <w:t>from regularly attended public facilities such as</w:t>
      </w:r>
      <w:r w:rsidR="006E47C8" w:rsidRPr="00ED12CE">
        <w:t xml:space="preserve"> the Albert </w:t>
      </w:r>
      <w:r w:rsidR="0063060F" w:rsidRPr="00ED12CE">
        <w:t>H</w:t>
      </w:r>
      <w:r w:rsidR="006E47C8" w:rsidRPr="00ED12CE">
        <w:t xml:space="preserve">all in the </w:t>
      </w:r>
      <w:r w:rsidR="00812B88" w:rsidRPr="00ED12CE">
        <w:t>ACT</w:t>
      </w:r>
      <w:r w:rsidR="006E47C8" w:rsidRPr="00ED12CE">
        <w:t xml:space="preserve">, </w:t>
      </w:r>
      <w:r w:rsidRPr="00ED12CE">
        <w:t>to small scale regional halls which are</w:t>
      </w:r>
      <w:r w:rsidR="006E47C8" w:rsidRPr="00ED12CE">
        <w:t xml:space="preserve"> rarely frequented. While the former type of hall may warrant the installation of an AACF, the latter category would </w:t>
      </w:r>
      <w:r w:rsidRPr="00ED12CE">
        <w:t>likely not attract sufficient patronage so as to warrant mandating an AACF</w:t>
      </w:r>
      <w:r w:rsidR="006E47C8" w:rsidRPr="00ED12CE">
        <w:t>. Thus, in the absence of a clear way to distinguish between the two, and also given that the latter far outnumber the former, it is not recommended that AACFs be mandated for public halls.</w:t>
      </w:r>
    </w:p>
    <w:p w:rsidR="002303DB" w:rsidRPr="00ED12CE" w:rsidRDefault="00CC6F6D" w:rsidP="002303DB">
      <w:pPr>
        <w:pStyle w:val="Heading2"/>
      </w:pPr>
      <w:bookmarkStart w:id="498" w:name="_Toc521497740"/>
      <w:bookmarkStart w:id="499" w:name="_Toc521501525"/>
      <w:bookmarkStart w:id="500" w:name="_Toc521935277"/>
      <w:bookmarkStart w:id="501" w:name="_Toc521941636"/>
      <w:bookmarkStart w:id="502" w:name="_Toc521943287"/>
      <w:bookmarkStart w:id="503" w:name="_Toc523149613"/>
      <w:bookmarkStart w:id="504" w:name="_Toc523151931"/>
      <w:bookmarkStart w:id="505" w:name="_Toc523152464"/>
      <w:bookmarkStart w:id="506" w:name="_Toc504063181"/>
      <w:bookmarkStart w:id="507" w:name="_Toc504388871"/>
      <w:bookmarkStart w:id="508" w:name="_Toc504401722"/>
      <w:bookmarkStart w:id="509" w:name="_Toc504649928"/>
      <w:bookmarkStart w:id="510" w:name="_Ref505945984"/>
      <w:bookmarkStart w:id="511" w:name="_Ref506302656"/>
      <w:bookmarkStart w:id="512" w:name="_Ref517875131"/>
      <w:bookmarkStart w:id="513" w:name="_Ref518470838"/>
      <w:bookmarkStart w:id="514" w:name="_Toc525897800"/>
      <w:bookmarkEnd w:id="498"/>
      <w:bookmarkEnd w:id="499"/>
      <w:bookmarkEnd w:id="500"/>
      <w:bookmarkEnd w:id="501"/>
      <w:bookmarkEnd w:id="502"/>
      <w:bookmarkEnd w:id="503"/>
      <w:bookmarkEnd w:id="504"/>
      <w:bookmarkEnd w:id="505"/>
      <w:r w:rsidRPr="00ED12CE">
        <w:lastRenderedPageBreak/>
        <w:t>Whole</w:t>
      </w:r>
      <w:r>
        <w:t>-</w:t>
      </w:r>
      <w:r w:rsidRPr="00ED12CE">
        <w:t>of</w:t>
      </w:r>
      <w:r>
        <w:t>-</w:t>
      </w:r>
      <w:r w:rsidR="002303DB" w:rsidRPr="00ED12CE">
        <w:t>economy analysis</w:t>
      </w:r>
      <w:bookmarkEnd w:id="506"/>
      <w:bookmarkEnd w:id="507"/>
      <w:bookmarkEnd w:id="508"/>
      <w:bookmarkEnd w:id="509"/>
      <w:bookmarkEnd w:id="510"/>
      <w:bookmarkEnd w:id="511"/>
      <w:bookmarkEnd w:id="512"/>
      <w:bookmarkEnd w:id="513"/>
      <w:bookmarkEnd w:id="514"/>
    </w:p>
    <w:p w:rsidR="00197A38" w:rsidRPr="00ED12CE" w:rsidRDefault="00197A38" w:rsidP="004A5772">
      <w:pPr>
        <w:pStyle w:val="EYBodytextwithparaspace"/>
      </w:pPr>
      <w:r w:rsidRPr="00ED12CE">
        <w:t xml:space="preserve">Notwithstanding the </w:t>
      </w:r>
      <w:r w:rsidR="004426EF" w:rsidRPr="00ED12CE">
        <w:t>challenges associated</w:t>
      </w:r>
      <w:r w:rsidRPr="00ED12CE">
        <w:t xml:space="preserve"> </w:t>
      </w:r>
      <w:r w:rsidR="004426EF" w:rsidRPr="00ED12CE">
        <w:t xml:space="preserve">with estimating the </w:t>
      </w:r>
      <w:r w:rsidRPr="00ED12CE">
        <w:t>economy wide impacts</w:t>
      </w:r>
      <w:r w:rsidR="004426EF" w:rsidRPr="00ED12CE">
        <w:t xml:space="preserve"> of greater provision of AACFs</w:t>
      </w:r>
      <w:r w:rsidRPr="00ED12CE">
        <w:t xml:space="preserve">, it is important to obtain </w:t>
      </w:r>
      <w:r w:rsidR="004426EF" w:rsidRPr="00ED12CE">
        <w:t>an indication</w:t>
      </w:r>
      <w:r w:rsidRPr="00ED12CE">
        <w:t xml:space="preserve"> of the potential magnitude of those impacts.</w:t>
      </w:r>
    </w:p>
    <w:p w:rsidR="00D97897" w:rsidRPr="00ED12CE" w:rsidRDefault="00D97897" w:rsidP="00DB1504">
      <w:pPr>
        <w:pStyle w:val="Heading3"/>
      </w:pPr>
      <w:bookmarkStart w:id="515" w:name="_Ref517944896"/>
      <w:r w:rsidRPr="00ED12CE">
        <w:t>Estimating the threshold above which the requirement</w:t>
      </w:r>
      <w:r w:rsidR="000042F8" w:rsidRPr="00ED12CE">
        <w:t>s</w:t>
      </w:r>
      <w:r w:rsidRPr="00ED12CE">
        <w:t xml:space="preserve"> will be triggered</w:t>
      </w:r>
      <w:bookmarkEnd w:id="515"/>
    </w:p>
    <w:p w:rsidR="00D97897" w:rsidRPr="00ED12CE" w:rsidRDefault="005D43EA" w:rsidP="006117C6">
      <w:pPr>
        <w:pStyle w:val="EYBodytextwithparaspace"/>
      </w:pPr>
      <w:r w:rsidRPr="00ED12CE">
        <w:t xml:space="preserve">With any new regulation there is bound to be </w:t>
      </w:r>
      <w:r w:rsidR="0063060F" w:rsidRPr="00ED12CE">
        <w:t xml:space="preserve">those </w:t>
      </w:r>
      <w:r w:rsidRPr="00ED12CE">
        <w:t xml:space="preserve">who benefit from the change and </w:t>
      </w:r>
      <w:r w:rsidR="0063060F" w:rsidRPr="00ED12CE">
        <w:t xml:space="preserve">those </w:t>
      </w:r>
      <w:r w:rsidRPr="00ED12CE">
        <w:t xml:space="preserve">who do not. In this instance, </w:t>
      </w:r>
      <w:r w:rsidR="0063060F" w:rsidRPr="00ED12CE">
        <w:t>primary beneficiaries are</w:t>
      </w:r>
      <w:r w:rsidRPr="00ED12CE">
        <w:t xml:space="preserve"> th</w:t>
      </w:r>
      <w:r w:rsidR="0063060F" w:rsidRPr="00ED12CE">
        <w:t>ose</w:t>
      </w:r>
      <w:r w:rsidRPr="00ED12CE">
        <w:t xml:space="preserve"> people with disability whose toileting needs </w:t>
      </w:r>
      <w:r w:rsidR="0063060F" w:rsidRPr="00ED12CE">
        <w:t xml:space="preserve">will be </w:t>
      </w:r>
      <w:r w:rsidRPr="00ED12CE">
        <w:t xml:space="preserve">met, </w:t>
      </w:r>
      <w:r w:rsidR="00311261">
        <w:t xml:space="preserve">and owners of </w:t>
      </w:r>
      <w:r w:rsidRPr="00ED12CE">
        <w:t xml:space="preserve">public buildings for which the increased visitation more than offsets the </w:t>
      </w:r>
      <w:r w:rsidR="008606AA" w:rsidRPr="00ED12CE">
        <w:t>cost</w:t>
      </w:r>
      <w:r w:rsidRPr="00ED12CE">
        <w:t xml:space="preserve"> of installing an AACF. The</w:t>
      </w:r>
      <w:r w:rsidR="0063060F" w:rsidRPr="00ED12CE">
        <w:t xml:space="preserve">re is also a need to minimise </w:t>
      </w:r>
      <w:r w:rsidR="004424FF">
        <w:t>costs</w:t>
      </w:r>
      <w:r w:rsidR="0063060F" w:rsidRPr="00ED12CE">
        <w:t xml:space="preserve"> </w:t>
      </w:r>
      <w:r w:rsidR="00966A21">
        <w:t xml:space="preserve">of </w:t>
      </w:r>
      <w:r w:rsidR="0063060F" w:rsidRPr="00ED12CE">
        <w:t>regulatory change</w:t>
      </w:r>
      <w:r w:rsidR="00966A21">
        <w:t>,</w:t>
      </w:r>
      <w:r w:rsidR="0063060F" w:rsidRPr="00ED12CE">
        <w:t xml:space="preserve"> in this case </w:t>
      </w:r>
      <w:r w:rsidR="00311261">
        <w:t xml:space="preserve">ensuring that smaller </w:t>
      </w:r>
      <w:r w:rsidRPr="00ED12CE">
        <w:t>buildings for which the increase in visitation is not sufficient to offset the cost of installing an AACF</w:t>
      </w:r>
      <w:r w:rsidR="00311261">
        <w:t xml:space="preserve"> are not captured by the proposed requirements</w:t>
      </w:r>
      <w:r w:rsidRPr="00ED12CE">
        <w:t>.</w:t>
      </w:r>
    </w:p>
    <w:p w:rsidR="005D43EA" w:rsidRPr="00ED12CE" w:rsidRDefault="005D43EA" w:rsidP="006117C6">
      <w:pPr>
        <w:pStyle w:val="EYBodytextwithparaspace"/>
      </w:pPr>
      <w:r w:rsidRPr="00ED12CE">
        <w:t xml:space="preserve">In an attempt </w:t>
      </w:r>
      <w:r w:rsidR="008606AA" w:rsidRPr="00ED12CE">
        <w:t>to</w:t>
      </w:r>
      <w:r w:rsidRPr="00ED12CE">
        <w:t xml:space="preserve"> mitigate </w:t>
      </w:r>
      <w:r w:rsidR="008606AA" w:rsidRPr="00ED12CE">
        <w:t>the impact on smaller facilities</w:t>
      </w:r>
      <w:r w:rsidRPr="00ED12CE">
        <w:t xml:space="preserve"> it is possible to derive a threshold above </w:t>
      </w:r>
      <w:r w:rsidR="008606AA" w:rsidRPr="00ED12CE">
        <w:t>which</w:t>
      </w:r>
      <w:r w:rsidRPr="00ED12CE">
        <w:t xml:space="preserve"> the </w:t>
      </w:r>
      <w:r w:rsidR="008606AA" w:rsidRPr="00ED12CE">
        <w:t>requirements</w:t>
      </w:r>
      <w:r w:rsidRPr="00ED12CE">
        <w:t xml:space="preserve"> </w:t>
      </w:r>
      <w:r w:rsidR="008606AA" w:rsidRPr="00ED12CE">
        <w:t>will</w:t>
      </w:r>
      <w:r w:rsidRPr="00ED12CE">
        <w:t xml:space="preserve"> be triggered</w:t>
      </w:r>
      <w:r w:rsidR="008606AA" w:rsidRPr="00ED12CE">
        <w:t>. In the context of the N</w:t>
      </w:r>
      <w:r w:rsidR="009E4C6D">
        <w:t>CC</w:t>
      </w:r>
      <w:r w:rsidR="008606AA" w:rsidRPr="00ED12CE">
        <w:t xml:space="preserve">, the </w:t>
      </w:r>
      <w:r w:rsidR="0063060F" w:rsidRPr="00ED12CE">
        <w:t xml:space="preserve">most available method for </w:t>
      </w:r>
      <w:r w:rsidR="000345CF" w:rsidRPr="00ED12CE">
        <w:t>assessing the</w:t>
      </w:r>
      <w:r w:rsidR="0063060F" w:rsidRPr="00ED12CE">
        <w:t xml:space="preserve"> number of sanitary facilities required by the D</w:t>
      </w:r>
      <w:r w:rsidR="009E4C6D">
        <w:t>t</w:t>
      </w:r>
      <w:r w:rsidR="0063060F" w:rsidRPr="00ED12CE">
        <w:t xml:space="preserve">S </w:t>
      </w:r>
      <w:r w:rsidR="009E4C6D">
        <w:t>P</w:t>
      </w:r>
      <w:r w:rsidR="0063060F" w:rsidRPr="00ED12CE">
        <w:t xml:space="preserve">rovisions </w:t>
      </w:r>
      <w:r w:rsidR="008606AA" w:rsidRPr="00ED12CE">
        <w:t>is the design occupancy</w:t>
      </w:r>
      <w:r w:rsidR="0063060F" w:rsidRPr="00ED12CE">
        <w:t xml:space="preserve">. This is derived by dividing </w:t>
      </w:r>
      <w:r w:rsidR="008606AA" w:rsidRPr="00ED12CE">
        <w:t xml:space="preserve">the overall </w:t>
      </w:r>
      <w:r w:rsidR="00136DE7" w:rsidRPr="00ED12CE">
        <w:t>floor space</w:t>
      </w:r>
      <w:r w:rsidR="008606AA" w:rsidRPr="00ED12CE">
        <w:t xml:space="preserve"> of a building by a</w:t>
      </w:r>
      <w:r w:rsidR="0063060F" w:rsidRPr="00ED12CE">
        <w:t xml:space="preserve"> </w:t>
      </w:r>
      <w:r w:rsidR="00136DE7" w:rsidRPr="00ED12CE">
        <w:t>given assumption</w:t>
      </w:r>
      <w:r w:rsidR="008606AA" w:rsidRPr="00ED12CE">
        <w:t xml:space="preserve"> of </w:t>
      </w:r>
      <w:r w:rsidR="0063060F" w:rsidRPr="00ED12CE">
        <w:t xml:space="preserve">occupant density </w:t>
      </w:r>
      <w:r w:rsidR="00F1526D" w:rsidRPr="00ED12CE">
        <w:t>(expressed in terms of m</w:t>
      </w:r>
      <w:r w:rsidR="00F1526D" w:rsidRPr="00ED12CE">
        <w:rPr>
          <w:vertAlign w:val="superscript"/>
        </w:rPr>
        <w:t>2</w:t>
      </w:r>
      <w:r w:rsidR="00F1526D" w:rsidRPr="00ED12CE">
        <w:t xml:space="preserve"> per occupant</w:t>
      </w:r>
      <w:r w:rsidR="00E569A7">
        <w:t>)</w:t>
      </w:r>
      <w:r w:rsidR="008606AA" w:rsidRPr="00ED12CE">
        <w:t>.</w:t>
      </w:r>
    </w:p>
    <w:p w:rsidR="002F3856" w:rsidRPr="00ED12CE" w:rsidRDefault="002F3856" w:rsidP="00BC5184">
      <w:pPr>
        <w:pStyle w:val="EYBodytextwithparaspace"/>
        <w:spacing w:after="200"/>
      </w:pPr>
      <w:r w:rsidRPr="00ED12CE">
        <w:t xml:space="preserve">The optimal cut-off point was considered on the basis of four overarching criteria: </w:t>
      </w:r>
    </w:p>
    <w:p w:rsidR="002F3856" w:rsidRPr="00ED12CE" w:rsidRDefault="003E6C52" w:rsidP="0009012A">
      <w:pPr>
        <w:pStyle w:val="EYBulletnoparaspace"/>
      </w:pPr>
      <w:r>
        <w:t>C</w:t>
      </w:r>
      <w:r w:rsidR="002F3856" w:rsidRPr="00ED12CE">
        <w:t>ost impact on a prospective building of being required to install an AACF</w:t>
      </w:r>
      <w:r w:rsidR="00627339">
        <w:t>.</w:t>
      </w:r>
    </w:p>
    <w:p w:rsidR="002F3856" w:rsidRPr="00ED12CE" w:rsidRDefault="003E6C52" w:rsidP="0009012A">
      <w:pPr>
        <w:pStyle w:val="EYBulletnoparaspace"/>
      </w:pPr>
      <w:r>
        <w:t>E</w:t>
      </w:r>
      <w:r w:rsidR="002F3856" w:rsidRPr="00ED12CE">
        <w:t>xtent to which visitation is likely to offset the cost impact</w:t>
      </w:r>
      <w:r w:rsidR="00627339">
        <w:t>.</w:t>
      </w:r>
    </w:p>
    <w:p w:rsidR="002F3856" w:rsidRPr="00ED12CE" w:rsidRDefault="003E6C52" w:rsidP="0009012A">
      <w:pPr>
        <w:pStyle w:val="EYBulletnoparaspace"/>
      </w:pPr>
      <w:r>
        <w:t>E</w:t>
      </w:r>
      <w:r w:rsidR="002F3856" w:rsidRPr="00ED12CE">
        <w:t>xtent to which the threshold might capture or neglect regional areas</w:t>
      </w:r>
      <w:r w:rsidR="00627339">
        <w:t>.</w:t>
      </w:r>
    </w:p>
    <w:p w:rsidR="002F3856" w:rsidRPr="00ED12CE" w:rsidRDefault="003E6C52" w:rsidP="0009012A">
      <w:pPr>
        <w:pStyle w:val="EYBulletnoparaspace"/>
      </w:pPr>
      <w:r>
        <w:t>E</w:t>
      </w:r>
      <w:r w:rsidR="002F3856" w:rsidRPr="00ED12CE">
        <w:t>xtent to which the threshold is sound when tested against represen</w:t>
      </w:r>
      <w:r w:rsidR="0009012A">
        <w:t>tative building configurations</w:t>
      </w:r>
      <w:r w:rsidR="00627339">
        <w:t>.</w:t>
      </w:r>
    </w:p>
    <w:p w:rsidR="005D43EA" w:rsidRPr="00ED12CE" w:rsidRDefault="00F1526D" w:rsidP="006117C6">
      <w:pPr>
        <w:pStyle w:val="EYBodytextwithparaspace"/>
      </w:pPr>
      <w:r w:rsidRPr="00ED12CE">
        <w:t>This approach was used to derive threshold</w:t>
      </w:r>
      <w:r w:rsidR="0063060F" w:rsidRPr="00ED12CE">
        <w:t>s</w:t>
      </w:r>
      <w:r w:rsidRPr="00ED12CE">
        <w:t xml:space="preserve"> for shopping centres and museums. The relevant </w:t>
      </w:r>
      <w:r w:rsidR="00E569A7">
        <w:t>areas per person according to use</w:t>
      </w:r>
      <w:r w:rsidRPr="00ED12CE">
        <w:t xml:space="preserve"> are </w:t>
      </w:r>
      <w:r w:rsidR="0063060F" w:rsidRPr="00ED12CE">
        <w:t>contained in Table D1.13 of NCC Volume One.</w:t>
      </w:r>
      <w:r w:rsidR="0063060F" w:rsidRPr="00C133AC">
        <w:rPr>
          <w:rStyle w:val="FootnoteReference"/>
          <w:sz w:val="24"/>
          <w:szCs w:val="24"/>
        </w:rPr>
        <w:footnoteReference w:id="89"/>
      </w:r>
      <w:r w:rsidR="00105109">
        <w:t xml:space="preserve"> </w:t>
      </w:r>
      <w:r w:rsidR="00EB2D4C" w:rsidRPr="00ED12CE">
        <w:t>The</w:t>
      </w:r>
      <w:r w:rsidR="00DA5B92" w:rsidRPr="00ED12CE">
        <w:t xml:space="preserve"> </w:t>
      </w:r>
      <w:r w:rsidR="00EB2D4C" w:rsidRPr="00ED12CE">
        <w:t>recommendations</w:t>
      </w:r>
      <w:r w:rsidR="00DA5B92" w:rsidRPr="00ED12CE">
        <w:t xml:space="preserve"> </w:t>
      </w:r>
      <w:r w:rsidR="000345CF" w:rsidRPr="00ED12CE">
        <w:t xml:space="preserve">are </w:t>
      </w:r>
      <w:r w:rsidR="00DA5B92" w:rsidRPr="00ED12CE">
        <w:t>set at a design occupancy of 3</w:t>
      </w:r>
      <w:r w:rsidR="006C7C15" w:rsidRPr="00ED12CE">
        <w:t>,</w:t>
      </w:r>
      <w:r w:rsidR="00DA5B92" w:rsidRPr="00ED12CE">
        <w:t xml:space="preserve">500 for shopping </w:t>
      </w:r>
      <w:r w:rsidR="00EB2D4C" w:rsidRPr="00ED12CE">
        <w:t>centres</w:t>
      </w:r>
      <w:r w:rsidR="00DA5B92" w:rsidRPr="00ED12CE">
        <w:t xml:space="preserve">, </w:t>
      </w:r>
      <w:r w:rsidR="00EB2D4C" w:rsidRPr="00ED12CE">
        <w:t>and</w:t>
      </w:r>
      <w:r w:rsidR="00DA5B92" w:rsidRPr="00ED12CE">
        <w:t xml:space="preserve"> </w:t>
      </w:r>
      <w:r w:rsidR="00EB2D4C" w:rsidRPr="00ED12CE">
        <w:t>1</w:t>
      </w:r>
      <w:r w:rsidR="006C7C15" w:rsidRPr="00ED12CE">
        <w:t>,</w:t>
      </w:r>
      <w:r w:rsidR="00EB2D4C" w:rsidRPr="00ED12CE">
        <w:t>500 for museums. For swimming pools, the recommended thresh</w:t>
      </w:r>
      <w:r w:rsidR="006C57A3" w:rsidRPr="00ED12CE">
        <w:t xml:space="preserve">old is not set in terms </w:t>
      </w:r>
      <w:r w:rsidR="000345CF" w:rsidRPr="00ED12CE">
        <w:t xml:space="preserve">of </w:t>
      </w:r>
      <w:r w:rsidR="00E569A7">
        <w:t>occupancy numbers</w:t>
      </w:r>
      <w:r w:rsidR="00EB2D4C" w:rsidRPr="00ED12CE">
        <w:t xml:space="preserve">, but rather the perimeter of the </w:t>
      </w:r>
      <w:r w:rsidR="00311261">
        <w:t xml:space="preserve">swimming </w:t>
      </w:r>
      <w:r w:rsidR="00EB2D4C" w:rsidRPr="00ED12CE">
        <w:t xml:space="preserve">pool, which is recommended </w:t>
      </w:r>
      <w:r w:rsidR="00D173FB" w:rsidRPr="00ED12CE">
        <w:t>to</w:t>
      </w:r>
      <w:r w:rsidR="00EB2D4C" w:rsidRPr="00ED12CE">
        <w:t xml:space="preserve"> be 70m</w:t>
      </w:r>
      <w:r w:rsidR="00BC39DC" w:rsidRPr="00ED12CE">
        <w:t xml:space="preserve"> which is consistent with the requirement for the installation of features to enable use of the </w:t>
      </w:r>
      <w:r w:rsidR="00311261">
        <w:t xml:space="preserve">swimming </w:t>
      </w:r>
      <w:r w:rsidR="00BC39DC" w:rsidRPr="00ED12CE">
        <w:t>pool by a person with a disability.</w:t>
      </w:r>
    </w:p>
    <w:p w:rsidR="00F45C77" w:rsidRPr="00ED12CE" w:rsidRDefault="002A1C34" w:rsidP="006117C6">
      <w:pPr>
        <w:pStyle w:val="EYBodytextwithparaspace"/>
      </w:pPr>
      <w:r w:rsidRPr="00ED12CE">
        <w:t xml:space="preserve">In relation to </w:t>
      </w:r>
      <w:r w:rsidRPr="00145CFE">
        <w:t>shopping centres</w:t>
      </w:r>
      <w:r w:rsidRPr="00ED12CE">
        <w:t xml:space="preserve">, </w:t>
      </w:r>
      <w:r w:rsidR="00F45C77" w:rsidRPr="00ED12CE">
        <w:t xml:space="preserve">a database of over 100 shopping centres Australia wide was developed, </w:t>
      </w:r>
      <w:r w:rsidR="006C7C15" w:rsidRPr="00ED12CE">
        <w:t>including the</w:t>
      </w:r>
      <w:r w:rsidR="00F45C77" w:rsidRPr="00ED12CE">
        <w:t xml:space="preserve"> number of shops, total lettable area, and annual visitation data. An analysis of this database, compared with the estimated travel costs for individual visits as discussed in </w:t>
      </w:r>
      <w:r w:rsidR="00F45C77" w:rsidRPr="00ED12CE">
        <w:fldChar w:fldCharType="begin"/>
      </w:r>
      <w:r w:rsidR="00F45C77" w:rsidRPr="00ED12CE">
        <w:instrText xml:space="preserve"> REF _Ref506811113 \r \h </w:instrText>
      </w:r>
      <w:r w:rsidR="00ED12CE">
        <w:instrText xml:space="preserve"> \* MERGEFORMAT </w:instrText>
      </w:r>
      <w:r w:rsidR="00F45C77" w:rsidRPr="00ED12CE">
        <w:fldChar w:fldCharType="separate"/>
      </w:r>
      <w:r w:rsidR="00910A73">
        <w:t>Appendix A</w:t>
      </w:r>
      <w:r w:rsidR="00F45C77" w:rsidRPr="00ED12CE">
        <w:fldChar w:fldCharType="end"/>
      </w:r>
      <w:r w:rsidR="00F45C77" w:rsidRPr="00ED12CE">
        <w:t>,</w:t>
      </w:r>
      <w:r w:rsidR="00BB1C48" w:rsidRPr="00ED12CE">
        <w:t xml:space="preserve"> </w:t>
      </w:r>
      <w:r w:rsidRPr="00ED12CE">
        <w:t xml:space="preserve">indicates that the threshold should be </w:t>
      </w:r>
      <w:r w:rsidR="00F45C77" w:rsidRPr="00ED12CE">
        <w:t>no higher than 10,000</w:t>
      </w:r>
      <w:r w:rsidR="00DB1162" w:rsidRPr="00ED12CE">
        <w:t>m</w:t>
      </w:r>
      <w:r w:rsidR="00DB1162" w:rsidRPr="00ED12CE">
        <w:rPr>
          <w:vertAlign w:val="superscript"/>
        </w:rPr>
        <w:t>2</w:t>
      </w:r>
      <w:r w:rsidRPr="00ED12CE">
        <w:t xml:space="preserve"> of overall </w:t>
      </w:r>
      <w:r w:rsidR="00136DE7" w:rsidRPr="00ED12CE">
        <w:t>floor space</w:t>
      </w:r>
      <w:r w:rsidR="00ED12CE">
        <w:t xml:space="preserve"> which equates to a design occupancy of approximately 3,500 occupants based on the shopping centres examined during preparation of this Final RIS</w:t>
      </w:r>
      <w:r w:rsidRPr="00ED12CE">
        <w:t xml:space="preserve">. </w:t>
      </w:r>
    </w:p>
    <w:p w:rsidR="005D43EA" w:rsidRPr="00ED12CE" w:rsidRDefault="000345CF" w:rsidP="006117C6">
      <w:pPr>
        <w:pStyle w:val="EYBodytextwithparaspace"/>
      </w:pPr>
      <w:r w:rsidRPr="00ED12CE">
        <w:lastRenderedPageBreak/>
        <w:t>Setting the</w:t>
      </w:r>
      <w:r w:rsidR="00F8657D">
        <w:t xml:space="preserve"> threshold at lower than 10,000</w:t>
      </w:r>
      <w:r w:rsidR="00DB1162" w:rsidRPr="00ED12CE">
        <w:t>m</w:t>
      </w:r>
      <w:r w:rsidR="00DB1162" w:rsidRPr="00ED12CE">
        <w:rPr>
          <w:vertAlign w:val="superscript"/>
        </w:rPr>
        <w:t>2</w:t>
      </w:r>
      <w:r w:rsidRPr="00ED12CE">
        <w:t xml:space="preserve"> of overall floor space would </w:t>
      </w:r>
      <w:r w:rsidR="0020534A" w:rsidRPr="00ED12CE">
        <w:t>risk</w:t>
      </w:r>
      <w:r w:rsidRPr="00ED12CE">
        <w:t xml:space="preserve"> extending the requirements to predominately</w:t>
      </w:r>
      <w:r w:rsidR="002A1C34" w:rsidRPr="00ED12CE">
        <w:t xml:space="preserve"> neighbourhood shopping centres with a limited line supermarket plus one or two individual stores.</w:t>
      </w:r>
      <w:r w:rsidRPr="00ED12CE">
        <w:t xml:space="preserve"> Such small centres are not considered large enough, either in terms of annual visitation or in terms of revenue and cost factors, to warrant the mandatory installation of an AACF.</w:t>
      </w:r>
      <w:r w:rsidR="006803A1">
        <w:t xml:space="preserve"> For these buildings</w:t>
      </w:r>
      <w:r w:rsidR="00C16BED">
        <w:t>,</w:t>
      </w:r>
      <w:r w:rsidR="006803A1">
        <w:t xml:space="preserve"> AACFs will result in net costs and as such requiring AACFs in all </w:t>
      </w:r>
      <w:r w:rsidR="00C16BED">
        <w:t xml:space="preserve">new </w:t>
      </w:r>
      <w:r w:rsidR="006803A1">
        <w:t xml:space="preserve">shopping centres is not recommended. </w:t>
      </w:r>
    </w:p>
    <w:p w:rsidR="00BB1D47" w:rsidRPr="001A35C9" w:rsidRDefault="00F06E65" w:rsidP="006117C6">
      <w:pPr>
        <w:pStyle w:val="EYBodytextwithparaspace"/>
      </w:pPr>
      <w:r w:rsidRPr="00ED12CE">
        <w:t xml:space="preserve">Finally, the costs of installing an AACF are </w:t>
      </w:r>
      <w:r w:rsidR="00026FC4" w:rsidRPr="00ED12CE">
        <w:t>considered minor</w:t>
      </w:r>
      <w:r w:rsidRPr="00ED12CE">
        <w:t xml:space="preserve"> when assessed against the capital costs of building or re-developing a shopping</w:t>
      </w:r>
      <w:r w:rsidR="009975BB">
        <w:t xml:space="preserve"> centre</w:t>
      </w:r>
      <w:r w:rsidR="00DB2003" w:rsidRPr="00ED12CE">
        <w:t>.</w:t>
      </w:r>
      <w:r w:rsidR="009975BB">
        <w:t xml:space="preserve"> </w:t>
      </w:r>
      <w:r w:rsidR="001A35C9">
        <w:t>It is expected that the requirements will be imposed on any new shopping centre or shopping centre re-development when the total floor space of the shopping centre a</w:t>
      </w:r>
      <w:r w:rsidR="00F8657D">
        <w:t>fter development exceeds 10,000</w:t>
      </w:r>
      <w:r w:rsidR="001A35C9" w:rsidRPr="00ED12CE">
        <w:t>m</w:t>
      </w:r>
      <w:r w:rsidR="001A35C9" w:rsidRPr="00ED12CE">
        <w:rPr>
          <w:vertAlign w:val="superscript"/>
        </w:rPr>
        <w:t>2</w:t>
      </w:r>
      <w:r w:rsidR="001A35C9">
        <w:t>, or des</w:t>
      </w:r>
      <w:r w:rsidR="004431D4">
        <w:t>ign occupancy exceeds 3,500 occupants</w:t>
      </w:r>
      <w:r w:rsidR="00BF62D7">
        <w:t>.</w:t>
      </w:r>
    </w:p>
    <w:p w:rsidR="006C7C15" w:rsidRPr="00ED12CE" w:rsidRDefault="00DB2003" w:rsidP="006117C6">
      <w:pPr>
        <w:pStyle w:val="EYBodytextwithparaspace"/>
        <w:rPr>
          <w:vertAlign w:val="superscript"/>
        </w:rPr>
      </w:pPr>
      <w:r w:rsidRPr="00ED12CE">
        <w:t xml:space="preserve">The </w:t>
      </w:r>
      <w:r w:rsidR="006C7C15" w:rsidRPr="00ED12CE">
        <w:t xml:space="preserve">final </w:t>
      </w:r>
      <w:r w:rsidR="009B0690" w:rsidRPr="00ED12CE">
        <w:t>criteri</w:t>
      </w:r>
      <w:r w:rsidR="006C7C15" w:rsidRPr="00ED12CE">
        <w:t xml:space="preserve">on considered in </w:t>
      </w:r>
      <w:r w:rsidR="00627339" w:rsidRPr="00ED12CE">
        <w:t>determin</w:t>
      </w:r>
      <w:r w:rsidR="00627339">
        <w:t>ing</w:t>
      </w:r>
      <w:r w:rsidR="00627339" w:rsidRPr="00ED12CE">
        <w:t xml:space="preserve"> </w:t>
      </w:r>
      <w:r w:rsidR="006C7C15" w:rsidRPr="00ED12CE">
        <w:t>an appropriate threshold</w:t>
      </w:r>
      <w:r w:rsidR="009B0690" w:rsidRPr="00ED12CE">
        <w:t xml:space="preserve"> </w:t>
      </w:r>
      <w:r w:rsidRPr="00ED12CE">
        <w:t>was the impact on regional Australia</w:t>
      </w:r>
      <w:r w:rsidR="006C7C15" w:rsidRPr="00ED12CE">
        <w:t xml:space="preserve">. </w:t>
      </w:r>
      <w:r w:rsidRPr="00ED12CE">
        <w:t xml:space="preserve"> </w:t>
      </w:r>
      <w:r w:rsidR="006C7C15" w:rsidRPr="00ED12CE">
        <w:t xml:space="preserve">Analysis of the database described above indicates that </w:t>
      </w:r>
      <w:r w:rsidRPr="00ED12CE">
        <w:t>setting the threshold at 10,000m</w:t>
      </w:r>
      <w:r w:rsidRPr="00ED12CE">
        <w:rPr>
          <w:vertAlign w:val="superscript"/>
        </w:rPr>
        <w:t>2</w:t>
      </w:r>
      <w:r w:rsidR="006C7C15" w:rsidRPr="00ED12CE">
        <w:rPr>
          <w:vertAlign w:val="superscript"/>
        </w:rPr>
        <w:t xml:space="preserve"> </w:t>
      </w:r>
      <w:r w:rsidR="006C7C15" w:rsidRPr="00ED12CE">
        <w:t>strikes an appropriate balance between the conflicting objectives of ensuring sufficient coverage of AACFs in regional areas, versus ensuring the cost burden does not fall unfairly on small shopping centres.</w:t>
      </w:r>
    </w:p>
    <w:p w:rsidR="00054CF8" w:rsidRPr="00ED12CE" w:rsidRDefault="000042F8" w:rsidP="006117C6">
      <w:pPr>
        <w:pStyle w:val="EYBodytextwithparaspace"/>
      </w:pPr>
      <w:r w:rsidRPr="00ED12CE">
        <w:t xml:space="preserve">In relation to </w:t>
      </w:r>
      <w:r w:rsidRPr="00145CFE">
        <w:t>museums</w:t>
      </w:r>
      <w:r w:rsidR="0005710D" w:rsidRPr="00145CFE">
        <w:t xml:space="preserve"> and art galleries</w:t>
      </w:r>
      <w:r w:rsidRPr="00ED12CE">
        <w:t xml:space="preserve">, an analysis of existing buildings revealed a spectrum of possible sizes of buildings, with a </w:t>
      </w:r>
      <w:r w:rsidR="009B0690" w:rsidRPr="00ED12CE">
        <w:t xml:space="preserve">discernible data </w:t>
      </w:r>
      <w:r w:rsidRPr="00ED12CE">
        <w:t xml:space="preserve">gap in the middle. At one end of the scale are large, primarily government owned museums, the smallest of which has an overall </w:t>
      </w:r>
      <w:r w:rsidR="007E6A42" w:rsidRPr="00ED12CE">
        <w:t>floor space</w:t>
      </w:r>
      <w:r w:rsidRPr="00ED12CE">
        <w:t xml:space="preserve"> of 6,500m</w:t>
      </w:r>
      <w:r w:rsidRPr="00ED12CE">
        <w:rPr>
          <w:vertAlign w:val="superscript"/>
        </w:rPr>
        <w:t>2</w:t>
      </w:r>
      <w:r w:rsidRPr="00ED12CE">
        <w:t>. At the other end of the scale are small, neighbourhood museums, often converted houses. These tend to be in the order of 500m</w:t>
      </w:r>
      <w:r w:rsidRPr="00ED12CE">
        <w:rPr>
          <w:vertAlign w:val="superscript"/>
        </w:rPr>
        <w:t>2</w:t>
      </w:r>
      <w:r w:rsidR="00C71707" w:rsidRPr="00ED12CE">
        <w:t>, as shown in</w:t>
      </w:r>
      <w:r w:rsidR="0051146E">
        <w:t xml:space="preserve"> </w:t>
      </w:r>
      <w:r w:rsidR="0051146E">
        <w:fldChar w:fldCharType="begin"/>
      </w:r>
      <w:r w:rsidR="0051146E">
        <w:instrText xml:space="preserve"> REF _Ref521486263 \h  \* MERGEFORMAT </w:instrText>
      </w:r>
      <w:r w:rsidR="0051146E">
        <w:fldChar w:fldCharType="separate"/>
      </w:r>
      <w:r w:rsidR="00910A73" w:rsidRPr="00566C92">
        <w:t xml:space="preserve">Table </w:t>
      </w:r>
      <w:r w:rsidR="00910A73">
        <w:t>7</w:t>
      </w:r>
      <w:r w:rsidR="00910A73" w:rsidRPr="00DD6CB8">
        <w:noBreakHyphen/>
      </w:r>
      <w:r w:rsidR="00910A73">
        <w:t>4</w:t>
      </w:r>
      <w:r w:rsidR="0051146E">
        <w:fldChar w:fldCharType="end"/>
      </w:r>
      <w:r w:rsidR="00A012FF" w:rsidRPr="00A012FF">
        <w:t>.</w:t>
      </w:r>
    </w:p>
    <w:p w:rsidR="00C71707" w:rsidRPr="00DD6CB8" w:rsidRDefault="00C71707" w:rsidP="00DD6CB8">
      <w:pPr>
        <w:pStyle w:val="Caption"/>
        <w:keepNext/>
        <w:rPr>
          <w:b w:val="0"/>
        </w:rPr>
      </w:pPr>
      <w:bookmarkStart w:id="516" w:name="_Ref521486263"/>
      <w:bookmarkStart w:id="517" w:name="_Ref519504629"/>
      <w:bookmarkStart w:id="518" w:name="_Toc525897818"/>
      <w:r w:rsidRPr="00566C92">
        <w:t xml:space="preserve">Table </w:t>
      </w:r>
      <w:r w:rsidR="00D128AA">
        <w:rPr>
          <w:noProof/>
        </w:rPr>
        <w:fldChar w:fldCharType="begin"/>
      </w:r>
      <w:r w:rsidR="00D128AA">
        <w:rPr>
          <w:noProof/>
        </w:rPr>
        <w:instrText xml:space="preserve"> STYLEREF 1 \s </w:instrText>
      </w:r>
      <w:r w:rsidR="00D128AA">
        <w:rPr>
          <w:noProof/>
        </w:rPr>
        <w:fldChar w:fldCharType="separate"/>
      </w:r>
      <w:r w:rsidR="00910A73">
        <w:rPr>
          <w:noProof/>
        </w:rPr>
        <w:t>7</w:t>
      </w:r>
      <w:r w:rsidR="00D128AA">
        <w:rPr>
          <w:noProof/>
        </w:rPr>
        <w:fldChar w:fldCharType="end"/>
      </w:r>
      <w:r w:rsidR="00325A73" w:rsidRPr="00DD6CB8">
        <w:noBreakHyphen/>
      </w:r>
      <w:r w:rsidR="00D128AA">
        <w:rPr>
          <w:noProof/>
        </w:rPr>
        <w:fldChar w:fldCharType="begin"/>
      </w:r>
      <w:r w:rsidR="00D128AA">
        <w:rPr>
          <w:noProof/>
        </w:rPr>
        <w:instrText xml:space="preserve"> SEQ Table \* ARABIC \s 1 </w:instrText>
      </w:r>
      <w:r w:rsidR="00D128AA">
        <w:rPr>
          <w:noProof/>
        </w:rPr>
        <w:fldChar w:fldCharType="separate"/>
      </w:r>
      <w:r w:rsidR="00910A73">
        <w:rPr>
          <w:noProof/>
        </w:rPr>
        <w:t>4</w:t>
      </w:r>
      <w:r w:rsidR="00D128AA">
        <w:rPr>
          <w:noProof/>
        </w:rPr>
        <w:fldChar w:fldCharType="end"/>
      </w:r>
      <w:bookmarkEnd w:id="516"/>
      <w:bookmarkEnd w:id="517"/>
      <w:r w:rsidRPr="00DD6CB8">
        <w:t xml:space="preserve">: </w:t>
      </w:r>
      <w:r w:rsidR="00C2275F" w:rsidRPr="00DD6CB8">
        <w:t>Australian museums by floor space and exhibition size</w:t>
      </w:r>
      <w:bookmarkEnd w:id="518"/>
    </w:p>
    <w:tbl>
      <w:tblPr>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Table 7 4: Australian museums by floor space and exhibition size"/>
        <w:tblDescription w:val="Selected Australian museums by floor space and exhibition size."/>
      </w:tblPr>
      <w:tblGrid>
        <w:gridCol w:w="4390"/>
        <w:gridCol w:w="2693"/>
        <w:gridCol w:w="2551"/>
      </w:tblGrid>
      <w:tr w:rsidR="00C71707" w:rsidRPr="00C71707" w:rsidTr="00DD6CB8">
        <w:trPr>
          <w:trHeight w:val="335"/>
        </w:trPr>
        <w:tc>
          <w:tcPr>
            <w:tcW w:w="4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hideMark/>
          </w:tcPr>
          <w:p w:rsidR="00054CF8" w:rsidRPr="00C83556" w:rsidRDefault="00C71707" w:rsidP="00DD6CB8">
            <w:pPr>
              <w:keepNext/>
              <w:spacing w:before="60" w:after="60" w:line="240" w:lineRule="auto"/>
              <w:jc w:val="left"/>
              <w:rPr>
                <w:rFonts w:eastAsia="Times New Roman" w:cs="Arial"/>
                <w:color w:val="FFFFFF" w:themeColor="background1"/>
                <w:sz w:val="20"/>
                <w:szCs w:val="20"/>
                <w:lang w:eastAsia="en-AU"/>
              </w:rPr>
            </w:pPr>
            <w:r w:rsidRPr="00C83556">
              <w:rPr>
                <w:rFonts w:eastAsia="Times New Roman" w:cs="Arial"/>
                <w:color w:val="FFFFFF" w:themeColor="background1"/>
                <w:sz w:val="20"/>
                <w:szCs w:val="20"/>
                <w:lang w:eastAsia="en-AU"/>
              </w:rPr>
              <w:t>Museum</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hideMark/>
          </w:tcPr>
          <w:p w:rsidR="00054CF8" w:rsidRPr="00C83556" w:rsidRDefault="00054CF8" w:rsidP="00DD6CB8">
            <w:pPr>
              <w:keepNext/>
              <w:spacing w:before="60" w:after="60" w:line="240" w:lineRule="auto"/>
              <w:jc w:val="left"/>
              <w:rPr>
                <w:rFonts w:eastAsia="Times New Roman" w:cs="Arial"/>
                <w:color w:val="FFFFFF" w:themeColor="background1"/>
                <w:sz w:val="20"/>
                <w:szCs w:val="20"/>
                <w:lang w:eastAsia="en-AU"/>
              </w:rPr>
            </w:pPr>
            <w:r w:rsidRPr="00C83556">
              <w:rPr>
                <w:rFonts w:eastAsia="Times New Roman" w:cs="Arial"/>
                <w:color w:val="FFFFFF" w:themeColor="background1"/>
                <w:sz w:val="20"/>
                <w:szCs w:val="20"/>
                <w:lang w:eastAsia="en-AU"/>
              </w:rPr>
              <w:t>Building Size</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hideMark/>
          </w:tcPr>
          <w:p w:rsidR="00054CF8" w:rsidRPr="00602F49" w:rsidRDefault="00054CF8" w:rsidP="00DD6CB8">
            <w:pPr>
              <w:keepNext/>
              <w:spacing w:before="60" w:after="60" w:line="240" w:lineRule="auto"/>
              <w:jc w:val="left"/>
              <w:rPr>
                <w:rFonts w:eastAsia="Times New Roman" w:cs="Arial"/>
                <w:color w:val="FFFFFF" w:themeColor="background1"/>
                <w:sz w:val="20"/>
                <w:szCs w:val="20"/>
                <w:lang w:eastAsia="en-AU"/>
              </w:rPr>
            </w:pPr>
            <w:r w:rsidRPr="00602F49">
              <w:rPr>
                <w:rFonts w:eastAsia="Times New Roman" w:cs="Arial"/>
                <w:color w:val="FFFFFF" w:themeColor="background1"/>
                <w:sz w:val="20"/>
                <w:szCs w:val="20"/>
                <w:lang w:eastAsia="en-AU"/>
              </w:rPr>
              <w:t>Exhibition Space</w:t>
            </w:r>
          </w:p>
        </w:tc>
      </w:tr>
      <w:tr w:rsidR="00054CF8" w:rsidRPr="00C71707" w:rsidTr="00DD6CB8">
        <w:trPr>
          <w:trHeight w:val="300"/>
        </w:trPr>
        <w:tc>
          <w:tcPr>
            <w:tcW w:w="4390" w:type="dxa"/>
            <w:tcBorders>
              <w:top w:val="single" w:sz="4" w:space="0" w:color="FFFFFF" w:themeColor="background1"/>
            </w:tcBorders>
            <w:shd w:val="clear" w:color="auto" w:fill="auto"/>
            <w:vAlign w:val="bottom"/>
            <w:hideMark/>
          </w:tcPr>
          <w:p w:rsidR="00054CF8" w:rsidRPr="00C83556" w:rsidRDefault="00054CF8" w:rsidP="00026FC4">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National Museum of Australia</w:t>
            </w:r>
          </w:p>
        </w:tc>
        <w:tc>
          <w:tcPr>
            <w:tcW w:w="2693" w:type="dxa"/>
            <w:tcBorders>
              <w:top w:val="single" w:sz="4" w:space="0" w:color="FFFFFF" w:themeColor="background1"/>
            </w:tcBorders>
            <w:shd w:val="clear" w:color="auto" w:fill="auto"/>
            <w:hideMark/>
          </w:tcPr>
          <w:p w:rsidR="00054CF8" w:rsidRPr="00C83556" w:rsidRDefault="00054CF8" w:rsidP="007E113B">
            <w:pPr>
              <w:keepNext/>
              <w:spacing w:after="0" w:line="240" w:lineRule="auto"/>
              <w:jc w:val="right"/>
              <w:rPr>
                <w:rFonts w:eastAsia="Times New Roman" w:cs="Arial"/>
                <w:color w:val="000000"/>
                <w:sz w:val="20"/>
                <w:szCs w:val="20"/>
                <w:lang w:eastAsia="en-AU"/>
              </w:rPr>
            </w:pPr>
            <w:r w:rsidRPr="00C83556">
              <w:rPr>
                <w:rFonts w:eastAsia="Times New Roman" w:cs="Arial"/>
                <w:color w:val="000000"/>
                <w:sz w:val="20"/>
                <w:szCs w:val="20"/>
                <w:lang w:eastAsia="en-AU"/>
              </w:rPr>
              <w:t>110,000</w:t>
            </w:r>
          </w:p>
        </w:tc>
        <w:tc>
          <w:tcPr>
            <w:tcW w:w="2551" w:type="dxa"/>
            <w:tcBorders>
              <w:top w:val="single" w:sz="4" w:space="0" w:color="FFFFFF" w:themeColor="background1"/>
            </w:tcBorders>
            <w:shd w:val="clear" w:color="auto" w:fill="auto"/>
            <w:hideMark/>
          </w:tcPr>
          <w:p w:rsidR="00054CF8" w:rsidRPr="00C83556" w:rsidRDefault="00054CF8" w:rsidP="007E113B">
            <w:pPr>
              <w:keepNext/>
              <w:spacing w:after="0" w:line="240" w:lineRule="auto"/>
              <w:jc w:val="right"/>
              <w:rPr>
                <w:rFonts w:eastAsia="Times New Roman" w:cs="Arial"/>
                <w:color w:val="000000"/>
                <w:sz w:val="20"/>
                <w:szCs w:val="20"/>
                <w:lang w:eastAsia="en-AU"/>
              </w:rPr>
            </w:pPr>
            <w:r w:rsidRPr="00C83556">
              <w:rPr>
                <w:rFonts w:eastAsia="Times New Roman" w:cs="Arial"/>
                <w:color w:val="000000"/>
                <w:sz w:val="20"/>
                <w:szCs w:val="20"/>
                <w:lang w:eastAsia="en-AU"/>
              </w:rPr>
              <w:t>6,600</w:t>
            </w:r>
          </w:p>
        </w:tc>
      </w:tr>
      <w:tr w:rsidR="00054CF8" w:rsidRPr="00C71707" w:rsidTr="00DD6CB8">
        <w:trPr>
          <w:trHeight w:val="300"/>
        </w:trPr>
        <w:tc>
          <w:tcPr>
            <w:tcW w:w="4390" w:type="dxa"/>
            <w:shd w:val="clear" w:color="auto" w:fill="auto"/>
            <w:vAlign w:val="bottom"/>
            <w:hideMark/>
          </w:tcPr>
          <w:p w:rsidR="00054CF8" w:rsidRPr="00C83556" w:rsidRDefault="00054CF8" w:rsidP="00026FC4">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National Gallery of Australia</w:t>
            </w:r>
          </w:p>
        </w:tc>
        <w:tc>
          <w:tcPr>
            <w:tcW w:w="2693" w:type="dxa"/>
            <w:shd w:val="clear" w:color="auto" w:fill="auto"/>
            <w:hideMark/>
          </w:tcPr>
          <w:p w:rsidR="00054CF8" w:rsidRPr="00C83556" w:rsidRDefault="00054CF8" w:rsidP="007E113B">
            <w:pPr>
              <w:keepNext/>
              <w:spacing w:after="0" w:line="240" w:lineRule="auto"/>
              <w:jc w:val="right"/>
              <w:rPr>
                <w:rFonts w:eastAsia="Times New Roman" w:cs="Arial"/>
                <w:color w:val="000000"/>
                <w:sz w:val="20"/>
                <w:szCs w:val="20"/>
                <w:lang w:eastAsia="en-AU"/>
              </w:rPr>
            </w:pPr>
            <w:r w:rsidRPr="00C83556">
              <w:rPr>
                <w:rFonts w:eastAsia="Times New Roman" w:cs="Arial"/>
                <w:color w:val="000000"/>
                <w:sz w:val="20"/>
                <w:szCs w:val="20"/>
                <w:lang w:eastAsia="en-AU"/>
              </w:rPr>
              <w:t>20,573</w:t>
            </w:r>
          </w:p>
        </w:tc>
        <w:tc>
          <w:tcPr>
            <w:tcW w:w="2551" w:type="dxa"/>
            <w:shd w:val="clear" w:color="auto" w:fill="auto"/>
            <w:hideMark/>
          </w:tcPr>
          <w:p w:rsidR="00054CF8" w:rsidRPr="00C83556" w:rsidRDefault="00054CF8" w:rsidP="007E113B">
            <w:pPr>
              <w:keepNext/>
              <w:spacing w:after="0" w:line="240" w:lineRule="auto"/>
              <w:jc w:val="right"/>
              <w:rPr>
                <w:rFonts w:eastAsia="Times New Roman" w:cs="Arial"/>
                <w:color w:val="000000"/>
                <w:sz w:val="20"/>
                <w:szCs w:val="20"/>
                <w:lang w:eastAsia="en-AU"/>
              </w:rPr>
            </w:pPr>
            <w:r w:rsidRPr="00C83556">
              <w:rPr>
                <w:rFonts w:eastAsia="Times New Roman" w:cs="Arial"/>
                <w:color w:val="000000"/>
                <w:sz w:val="20"/>
                <w:szCs w:val="20"/>
                <w:lang w:eastAsia="en-AU"/>
              </w:rPr>
              <w:t>7,000</w:t>
            </w:r>
          </w:p>
        </w:tc>
      </w:tr>
      <w:tr w:rsidR="00054CF8" w:rsidRPr="00C71707" w:rsidTr="00DD6CB8">
        <w:trPr>
          <w:trHeight w:val="314"/>
        </w:trPr>
        <w:tc>
          <w:tcPr>
            <w:tcW w:w="4390" w:type="dxa"/>
            <w:shd w:val="clear" w:color="auto" w:fill="auto"/>
            <w:vAlign w:val="bottom"/>
            <w:hideMark/>
          </w:tcPr>
          <w:p w:rsidR="00054CF8" w:rsidRPr="00C83556" w:rsidRDefault="00054CF8" w:rsidP="00026FC4">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 xml:space="preserve">National Portrait Gallery of Australia </w:t>
            </w:r>
          </w:p>
        </w:tc>
        <w:tc>
          <w:tcPr>
            <w:tcW w:w="2693" w:type="dxa"/>
            <w:shd w:val="clear" w:color="auto" w:fill="auto"/>
            <w:hideMark/>
          </w:tcPr>
          <w:p w:rsidR="00054CF8" w:rsidRPr="00C83556" w:rsidRDefault="00054CF8" w:rsidP="007E113B">
            <w:pPr>
              <w:keepNext/>
              <w:spacing w:after="0" w:line="240" w:lineRule="auto"/>
              <w:jc w:val="right"/>
              <w:rPr>
                <w:rFonts w:eastAsia="Times New Roman" w:cs="Arial"/>
                <w:color w:val="000000"/>
                <w:sz w:val="20"/>
                <w:szCs w:val="20"/>
                <w:lang w:eastAsia="en-AU"/>
              </w:rPr>
            </w:pPr>
            <w:r w:rsidRPr="00C83556">
              <w:rPr>
                <w:rFonts w:eastAsia="Times New Roman" w:cs="Arial"/>
                <w:color w:val="000000"/>
                <w:sz w:val="20"/>
                <w:szCs w:val="20"/>
                <w:lang w:eastAsia="en-AU"/>
              </w:rPr>
              <w:t>14,000</w:t>
            </w:r>
          </w:p>
        </w:tc>
        <w:tc>
          <w:tcPr>
            <w:tcW w:w="2551" w:type="dxa"/>
            <w:shd w:val="clear" w:color="auto" w:fill="auto"/>
            <w:hideMark/>
          </w:tcPr>
          <w:p w:rsidR="00054CF8" w:rsidRPr="00C83556" w:rsidRDefault="00054CF8" w:rsidP="007E113B">
            <w:pPr>
              <w:keepNext/>
              <w:spacing w:after="0" w:line="240" w:lineRule="auto"/>
              <w:jc w:val="right"/>
              <w:rPr>
                <w:rFonts w:eastAsia="Times New Roman" w:cs="Arial"/>
                <w:color w:val="000000"/>
                <w:sz w:val="20"/>
                <w:szCs w:val="20"/>
                <w:lang w:eastAsia="en-AU"/>
              </w:rPr>
            </w:pPr>
            <w:r w:rsidRPr="00C83556">
              <w:rPr>
                <w:rFonts w:eastAsia="Times New Roman" w:cs="Arial"/>
                <w:color w:val="000000"/>
                <w:sz w:val="20"/>
                <w:szCs w:val="20"/>
                <w:lang w:eastAsia="en-AU"/>
              </w:rPr>
              <w:t>-</w:t>
            </w:r>
          </w:p>
        </w:tc>
      </w:tr>
      <w:tr w:rsidR="00054CF8" w:rsidRPr="00C71707" w:rsidTr="00DD6CB8">
        <w:trPr>
          <w:trHeight w:val="300"/>
        </w:trPr>
        <w:tc>
          <w:tcPr>
            <w:tcW w:w="4390" w:type="dxa"/>
            <w:shd w:val="clear" w:color="auto" w:fill="auto"/>
            <w:vAlign w:val="bottom"/>
            <w:hideMark/>
          </w:tcPr>
          <w:p w:rsidR="00054CF8" w:rsidRPr="00C83556" w:rsidRDefault="00054CF8" w:rsidP="00026FC4">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 xml:space="preserve">Art Gallery of NSW </w:t>
            </w:r>
          </w:p>
        </w:tc>
        <w:tc>
          <w:tcPr>
            <w:tcW w:w="2693" w:type="dxa"/>
            <w:shd w:val="clear" w:color="auto" w:fill="auto"/>
            <w:hideMark/>
          </w:tcPr>
          <w:p w:rsidR="00054CF8" w:rsidRPr="00C83556" w:rsidRDefault="00054CF8" w:rsidP="007E113B">
            <w:pPr>
              <w:keepNext/>
              <w:spacing w:after="0" w:line="240" w:lineRule="auto"/>
              <w:jc w:val="right"/>
              <w:rPr>
                <w:rFonts w:eastAsia="Times New Roman" w:cs="Arial"/>
                <w:color w:val="000000"/>
                <w:sz w:val="20"/>
                <w:szCs w:val="20"/>
                <w:lang w:eastAsia="en-AU"/>
              </w:rPr>
            </w:pPr>
            <w:r w:rsidRPr="00C83556">
              <w:rPr>
                <w:rFonts w:eastAsia="Times New Roman" w:cs="Arial"/>
                <w:color w:val="000000"/>
                <w:sz w:val="20"/>
                <w:szCs w:val="20"/>
                <w:lang w:eastAsia="en-AU"/>
              </w:rPr>
              <w:t>-</w:t>
            </w:r>
          </w:p>
        </w:tc>
        <w:tc>
          <w:tcPr>
            <w:tcW w:w="2551" w:type="dxa"/>
            <w:shd w:val="clear" w:color="auto" w:fill="auto"/>
            <w:hideMark/>
          </w:tcPr>
          <w:p w:rsidR="00054CF8" w:rsidRPr="00C83556" w:rsidRDefault="00054CF8" w:rsidP="007E113B">
            <w:pPr>
              <w:keepNext/>
              <w:spacing w:after="0" w:line="240" w:lineRule="auto"/>
              <w:jc w:val="right"/>
              <w:rPr>
                <w:rFonts w:eastAsia="Times New Roman" w:cs="Arial"/>
                <w:color w:val="000000"/>
                <w:sz w:val="20"/>
                <w:szCs w:val="20"/>
                <w:lang w:eastAsia="en-AU"/>
              </w:rPr>
            </w:pPr>
            <w:r w:rsidRPr="00C83556">
              <w:rPr>
                <w:rFonts w:eastAsia="Times New Roman" w:cs="Arial"/>
                <w:color w:val="000000"/>
                <w:sz w:val="20"/>
                <w:szCs w:val="20"/>
                <w:lang w:eastAsia="en-AU"/>
              </w:rPr>
              <w:t>11,000</w:t>
            </w:r>
          </w:p>
        </w:tc>
      </w:tr>
      <w:tr w:rsidR="00054CF8" w:rsidRPr="00C71707" w:rsidTr="00DD6CB8">
        <w:trPr>
          <w:trHeight w:val="238"/>
        </w:trPr>
        <w:tc>
          <w:tcPr>
            <w:tcW w:w="4390" w:type="dxa"/>
            <w:shd w:val="clear" w:color="auto" w:fill="auto"/>
            <w:vAlign w:val="bottom"/>
            <w:hideMark/>
          </w:tcPr>
          <w:p w:rsidR="00054CF8" w:rsidRPr="00C83556" w:rsidRDefault="00054CF8" w:rsidP="00026FC4">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Australian Museum</w:t>
            </w:r>
          </w:p>
        </w:tc>
        <w:tc>
          <w:tcPr>
            <w:tcW w:w="2693" w:type="dxa"/>
            <w:shd w:val="clear" w:color="auto" w:fill="auto"/>
            <w:hideMark/>
          </w:tcPr>
          <w:p w:rsidR="00054CF8" w:rsidRPr="00C83556" w:rsidRDefault="00054CF8" w:rsidP="007E113B">
            <w:pPr>
              <w:keepNext/>
              <w:spacing w:after="0" w:line="240" w:lineRule="auto"/>
              <w:jc w:val="right"/>
              <w:rPr>
                <w:rFonts w:eastAsia="Times New Roman" w:cs="Arial"/>
                <w:color w:val="000000"/>
                <w:sz w:val="20"/>
                <w:szCs w:val="20"/>
                <w:lang w:eastAsia="en-AU"/>
              </w:rPr>
            </w:pPr>
            <w:r w:rsidRPr="00C83556">
              <w:rPr>
                <w:rFonts w:eastAsia="Times New Roman" w:cs="Arial"/>
                <w:color w:val="000000"/>
                <w:sz w:val="20"/>
                <w:szCs w:val="20"/>
                <w:lang w:eastAsia="en-AU"/>
              </w:rPr>
              <w:t>6,500</w:t>
            </w:r>
          </w:p>
        </w:tc>
        <w:tc>
          <w:tcPr>
            <w:tcW w:w="2551" w:type="dxa"/>
            <w:shd w:val="clear" w:color="auto" w:fill="auto"/>
            <w:hideMark/>
          </w:tcPr>
          <w:p w:rsidR="00054CF8" w:rsidRPr="00C83556" w:rsidRDefault="00054CF8" w:rsidP="007E113B">
            <w:pPr>
              <w:keepNext/>
              <w:spacing w:after="0" w:line="240" w:lineRule="auto"/>
              <w:jc w:val="right"/>
              <w:rPr>
                <w:rFonts w:eastAsia="Times New Roman" w:cs="Arial"/>
                <w:color w:val="000000"/>
                <w:sz w:val="20"/>
                <w:szCs w:val="20"/>
                <w:lang w:eastAsia="en-AU"/>
              </w:rPr>
            </w:pPr>
            <w:r w:rsidRPr="00C83556">
              <w:rPr>
                <w:rFonts w:eastAsia="Times New Roman" w:cs="Arial"/>
                <w:color w:val="000000"/>
                <w:sz w:val="20"/>
                <w:szCs w:val="20"/>
                <w:lang w:eastAsia="en-AU"/>
              </w:rPr>
              <w:t>-</w:t>
            </w:r>
          </w:p>
        </w:tc>
      </w:tr>
      <w:tr w:rsidR="00054CF8" w:rsidRPr="00C71707" w:rsidTr="00DD6CB8">
        <w:trPr>
          <w:trHeight w:val="590"/>
        </w:trPr>
        <w:tc>
          <w:tcPr>
            <w:tcW w:w="4390" w:type="dxa"/>
            <w:shd w:val="clear" w:color="auto" w:fill="auto"/>
            <w:vAlign w:val="bottom"/>
            <w:hideMark/>
          </w:tcPr>
          <w:p w:rsidR="00054CF8" w:rsidRPr="00C83556" w:rsidRDefault="00054CF8" w:rsidP="00026FC4">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Western Australia Museums (following redevelopment)</w:t>
            </w:r>
          </w:p>
        </w:tc>
        <w:tc>
          <w:tcPr>
            <w:tcW w:w="2693" w:type="dxa"/>
            <w:shd w:val="clear" w:color="auto" w:fill="auto"/>
            <w:noWrap/>
            <w:hideMark/>
          </w:tcPr>
          <w:p w:rsidR="00054CF8" w:rsidRPr="00C83556" w:rsidRDefault="00054CF8" w:rsidP="007E113B">
            <w:pPr>
              <w:keepNext/>
              <w:spacing w:after="0" w:line="240" w:lineRule="auto"/>
              <w:jc w:val="right"/>
              <w:rPr>
                <w:rFonts w:eastAsia="Times New Roman" w:cs="Arial"/>
                <w:color w:val="000000"/>
                <w:sz w:val="20"/>
                <w:szCs w:val="20"/>
                <w:lang w:eastAsia="en-AU"/>
              </w:rPr>
            </w:pPr>
            <w:r w:rsidRPr="00C83556">
              <w:rPr>
                <w:rFonts w:eastAsia="Times New Roman" w:cs="Arial"/>
                <w:color w:val="000000"/>
                <w:sz w:val="20"/>
                <w:szCs w:val="20"/>
                <w:lang w:eastAsia="en-AU"/>
              </w:rPr>
              <w:t xml:space="preserve"> - </w:t>
            </w:r>
          </w:p>
        </w:tc>
        <w:tc>
          <w:tcPr>
            <w:tcW w:w="2551" w:type="dxa"/>
            <w:shd w:val="clear" w:color="auto" w:fill="auto"/>
            <w:noWrap/>
            <w:hideMark/>
          </w:tcPr>
          <w:p w:rsidR="00054CF8" w:rsidRPr="00602F49" w:rsidRDefault="00054CF8" w:rsidP="007E113B">
            <w:pPr>
              <w:keepNext/>
              <w:spacing w:after="0" w:line="240" w:lineRule="auto"/>
              <w:jc w:val="right"/>
              <w:rPr>
                <w:rFonts w:eastAsia="Times New Roman" w:cs="Arial"/>
                <w:color w:val="000000"/>
                <w:sz w:val="20"/>
                <w:szCs w:val="20"/>
                <w:lang w:eastAsia="en-AU"/>
              </w:rPr>
            </w:pPr>
            <w:r w:rsidRPr="00602F49">
              <w:rPr>
                <w:rFonts w:eastAsia="Times New Roman" w:cs="Arial"/>
                <w:color w:val="000000"/>
                <w:sz w:val="20"/>
                <w:szCs w:val="20"/>
                <w:lang w:eastAsia="en-AU"/>
              </w:rPr>
              <w:t>7</w:t>
            </w:r>
            <w:r w:rsidR="00026FC4" w:rsidRPr="00602F49">
              <w:rPr>
                <w:rFonts w:eastAsia="Times New Roman" w:cs="Arial"/>
                <w:color w:val="000000"/>
                <w:sz w:val="20"/>
                <w:szCs w:val="20"/>
                <w:lang w:eastAsia="en-AU"/>
              </w:rPr>
              <w:t>,</w:t>
            </w:r>
            <w:r w:rsidRPr="00602F49">
              <w:rPr>
                <w:rFonts w:eastAsia="Times New Roman" w:cs="Arial"/>
                <w:color w:val="000000"/>
                <w:sz w:val="20"/>
                <w:szCs w:val="20"/>
                <w:lang w:eastAsia="en-AU"/>
              </w:rPr>
              <w:t>000</w:t>
            </w:r>
          </w:p>
        </w:tc>
      </w:tr>
      <w:tr w:rsidR="00054CF8" w:rsidRPr="00C71707" w:rsidTr="00DD6CB8">
        <w:trPr>
          <w:trHeight w:val="249"/>
        </w:trPr>
        <w:tc>
          <w:tcPr>
            <w:tcW w:w="4390" w:type="dxa"/>
            <w:tcBorders>
              <w:bottom w:val="single" w:sz="4" w:space="0" w:color="FFFFFF" w:themeColor="background1"/>
            </w:tcBorders>
            <w:shd w:val="clear" w:color="auto" w:fill="auto"/>
            <w:vAlign w:val="bottom"/>
            <w:hideMark/>
          </w:tcPr>
          <w:p w:rsidR="00054CF8" w:rsidRPr="00C83556" w:rsidRDefault="00054CF8" w:rsidP="00026FC4">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 xml:space="preserve">Queensland Gallery of Modern Art </w:t>
            </w:r>
          </w:p>
        </w:tc>
        <w:tc>
          <w:tcPr>
            <w:tcW w:w="2693" w:type="dxa"/>
            <w:tcBorders>
              <w:bottom w:val="single" w:sz="4" w:space="0" w:color="FFFFFF" w:themeColor="background1"/>
            </w:tcBorders>
            <w:shd w:val="clear" w:color="auto" w:fill="auto"/>
            <w:noWrap/>
            <w:hideMark/>
          </w:tcPr>
          <w:p w:rsidR="00054CF8" w:rsidRPr="00C83556" w:rsidRDefault="00054CF8" w:rsidP="007E113B">
            <w:pPr>
              <w:keepNext/>
              <w:spacing w:after="0" w:line="240" w:lineRule="auto"/>
              <w:jc w:val="right"/>
              <w:rPr>
                <w:rFonts w:eastAsia="Times New Roman" w:cs="Arial"/>
                <w:color w:val="000000"/>
                <w:sz w:val="20"/>
                <w:szCs w:val="20"/>
                <w:lang w:eastAsia="en-AU"/>
              </w:rPr>
            </w:pPr>
            <w:r w:rsidRPr="00C83556">
              <w:rPr>
                <w:rFonts w:eastAsia="Times New Roman" w:cs="Arial"/>
                <w:color w:val="000000"/>
                <w:sz w:val="20"/>
                <w:szCs w:val="20"/>
                <w:lang w:eastAsia="en-AU"/>
              </w:rPr>
              <w:t xml:space="preserve">25,000 </w:t>
            </w:r>
          </w:p>
        </w:tc>
        <w:tc>
          <w:tcPr>
            <w:tcW w:w="2551" w:type="dxa"/>
            <w:tcBorders>
              <w:bottom w:val="single" w:sz="4" w:space="0" w:color="FFFFFF" w:themeColor="background1"/>
            </w:tcBorders>
            <w:shd w:val="clear" w:color="auto" w:fill="auto"/>
            <w:noWrap/>
            <w:hideMark/>
          </w:tcPr>
          <w:p w:rsidR="00054CF8" w:rsidRPr="00C83556" w:rsidRDefault="00054CF8" w:rsidP="007E113B">
            <w:pPr>
              <w:keepNext/>
              <w:spacing w:after="0" w:line="240" w:lineRule="auto"/>
              <w:jc w:val="right"/>
              <w:rPr>
                <w:rFonts w:eastAsia="Times New Roman" w:cs="Arial"/>
                <w:color w:val="000000"/>
                <w:sz w:val="20"/>
                <w:szCs w:val="20"/>
                <w:lang w:eastAsia="en-AU"/>
              </w:rPr>
            </w:pPr>
            <w:r w:rsidRPr="00C83556">
              <w:rPr>
                <w:rFonts w:eastAsia="Times New Roman" w:cs="Arial"/>
                <w:color w:val="000000"/>
                <w:sz w:val="20"/>
                <w:szCs w:val="20"/>
                <w:lang w:eastAsia="en-AU"/>
              </w:rPr>
              <w:t xml:space="preserve"> - </w:t>
            </w:r>
          </w:p>
        </w:tc>
      </w:tr>
      <w:tr w:rsidR="00C71707" w:rsidRPr="00C71707" w:rsidTr="00DD6CB8">
        <w:trPr>
          <w:trHeight w:val="290"/>
        </w:trPr>
        <w:tc>
          <w:tcPr>
            <w:tcW w:w="4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hideMark/>
          </w:tcPr>
          <w:p w:rsidR="00054CF8" w:rsidRPr="00C83556" w:rsidRDefault="00054CF8" w:rsidP="00DD6CB8">
            <w:pPr>
              <w:keepNext/>
              <w:spacing w:before="60" w:after="60" w:line="240" w:lineRule="auto"/>
              <w:jc w:val="left"/>
              <w:rPr>
                <w:rFonts w:eastAsia="Times New Roman" w:cs="Arial"/>
                <w:color w:val="FFFFFF" w:themeColor="background1"/>
                <w:sz w:val="20"/>
                <w:szCs w:val="20"/>
                <w:lang w:eastAsia="en-AU"/>
              </w:rPr>
            </w:pPr>
            <w:r w:rsidRPr="00C83556">
              <w:rPr>
                <w:rFonts w:eastAsia="Times New Roman" w:cs="Arial"/>
                <w:color w:val="FFFFFF" w:themeColor="background1"/>
                <w:sz w:val="20"/>
                <w:szCs w:val="20"/>
                <w:lang w:eastAsia="en-AU"/>
              </w:rPr>
              <w:t>Example Local Museums</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hideMark/>
          </w:tcPr>
          <w:p w:rsidR="00054CF8" w:rsidRPr="00602F49" w:rsidRDefault="00054CF8" w:rsidP="00DD6CB8">
            <w:pPr>
              <w:keepNext/>
              <w:spacing w:before="60" w:after="60" w:line="240" w:lineRule="auto"/>
              <w:jc w:val="left"/>
              <w:rPr>
                <w:rFonts w:eastAsia="Times New Roman" w:cs="Arial"/>
                <w:color w:val="FFFFFF" w:themeColor="background1"/>
                <w:sz w:val="20"/>
                <w:szCs w:val="20"/>
                <w:lang w:eastAsia="en-AU"/>
              </w:rPr>
            </w:pPr>
            <w:r w:rsidRPr="00C83556">
              <w:rPr>
                <w:rFonts w:eastAsia="Times New Roman" w:cs="Arial"/>
                <w:color w:val="FFFFFF" w:themeColor="background1"/>
                <w:sz w:val="20"/>
                <w:szCs w:val="20"/>
                <w:lang w:eastAsia="en-AU"/>
              </w:rPr>
              <w:t> </w:t>
            </w:r>
            <w:r w:rsidR="00FC1423" w:rsidRPr="00602F49">
              <w:rPr>
                <w:rFonts w:eastAsia="Times New Roman" w:cs="Arial"/>
                <w:color w:val="FFFFFF" w:themeColor="background1"/>
                <w:sz w:val="20"/>
                <w:szCs w:val="20"/>
                <w:lang w:eastAsia="en-AU"/>
              </w:rPr>
              <w:t>Building Size</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hideMark/>
          </w:tcPr>
          <w:p w:rsidR="00054CF8" w:rsidRPr="00602F49" w:rsidRDefault="00054CF8" w:rsidP="00DD6CB8">
            <w:pPr>
              <w:keepNext/>
              <w:spacing w:before="60" w:after="60" w:line="240" w:lineRule="auto"/>
              <w:jc w:val="left"/>
              <w:rPr>
                <w:rFonts w:eastAsia="Times New Roman" w:cs="Arial"/>
                <w:color w:val="FFFFFF" w:themeColor="background1"/>
                <w:sz w:val="20"/>
                <w:szCs w:val="20"/>
                <w:lang w:eastAsia="en-AU"/>
              </w:rPr>
            </w:pPr>
            <w:r w:rsidRPr="00602F49">
              <w:rPr>
                <w:rFonts w:eastAsia="Times New Roman" w:cs="Arial"/>
                <w:color w:val="FFFFFF" w:themeColor="background1"/>
                <w:sz w:val="20"/>
                <w:szCs w:val="20"/>
                <w:lang w:eastAsia="en-AU"/>
              </w:rPr>
              <w:t>Exhibition Space</w:t>
            </w:r>
          </w:p>
        </w:tc>
      </w:tr>
      <w:tr w:rsidR="00054CF8" w:rsidRPr="00C71707" w:rsidTr="00DD6CB8">
        <w:trPr>
          <w:trHeight w:val="332"/>
        </w:trPr>
        <w:tc>
          <w:tcPr>
            <w:tcW w:w="4390" w:type="dxa"/>
            <w:tcBorders>
              <w:top w:val="single" w:sz="4" w:space="0" w:color="FFFFFF" w:themeColor="background1"/>
            </w:tcBorders>
            <w:shd w:val="clear" w:color="auto" w:fill="auto"/>
            <w:vAlign w:val="bottom"/>
            <w:hideMark/>
          </w:tcPr>
          <w:p w:rsidR="00054CF8" w:rsidRPr="00C83556" w:rsidRDefault="00054CF8" w:rsidP="00026FC4">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Bungendore Wood Works Gallery</w:t>
            </w:r>
            <w:r w:rsidR="007002F3" w:rsidRPr="00C83556">
              <w:rPr>
                <w:rFonts w:eastAsia="Times New Roman" w:cs="Arial"/>
                <w:color w:val="000000"/>
                <w:sz w:val="20"/>
                <w:szCs w:val="20"/>
                <w:lang w:eastAsia="en-AU"/>
              </w:rPr>
              <w:t xml:space="preserve"> (NSW)</w:t>
            </w:r>
          </w:p>
        </w:tc>
        <w:tc>
          <w:tcPr>
            <w:tcW w:w="2693" w:type="dxa"/>
            <w:tcBorders>
              <w:top w:val="single" w:sz="4" w:space="0" w:color="FFFFFF" w:themeColor="background1"/>
            </w:tcBorders>
            <w:shd w:val="clear" w:color="auto" w:fill="auto"/>
            <w:hideMark/>
          </w:tcPr>
          <w:p w:rsidR="00054CF8" w:rsidRPr="00602F49" w:rsidRDefault="00054CF8" w:rsidP="007E113B">
            <w:pPr>
              <w:keepNext/>
              <w:spacing w:after="0" w:line="240" w:lineRule="auto"/>
              <w:jc w:val="right"/>
              <w:rPr>
                <w:rFonts w:eastAsia="Times New Roman" w:cs="Arial"/>
                <w:color w:val="000000"/>
                <w:sz w:val="20"/>
                <w:szCs w:val="20"/>
                <w:lang w:eastAsia="en-AU"/>
              </w:rPr>
            </w:pPr>
            <w:r w:rsidRPr="00602F49">
              <w:rPr>
                <w:rFonts w:eastAsia="Times New Roman" w:cs="Arial"/>
                <w:color w:val="000000"/>
                <w:sz w:val="20"/>
                <w:szCs w:val="20"/>
                <w:lang w:eastAsia="en-AU"/>
              </w:rPr>
              <w:t>-</w:t>
            </w:r>
          </w:p>
        </w:tc>
        <w:tc>
          <w:tcPr>
            <w:tcW w:w="2551" w:type="dxa"/>
            <w:tcBorders>
              <w:top w:val="single" w:sz="4" w:space="0" w:color="FFFFFF" w:themeColor="background1"/>
            </w:tcBorders>
            <w:shd w:val="clear" w:color="auto" w:fill="auto"/>
            <w:hideMark/>
          </w:tcPr>
          <w:p w:rsidR="00054CF8" w:rsidRPr="00602F49" w:rsidRDefault="00054CF8" w:rsidP="007E113B">
            <w:pPr>
              <w:keepNext/>
              <w:spacing w:after="0" w:line="240" w:lineRule="auto"/>
              <w:jc w:val="right"/>
              <w:rPr>
                <w:rFonts w:eastAsia="Times New Roman" w:cs="Arial"/>
                <w:color w:val="000000"/>
                <w:sz w:val="20"/>
                <w:szCs w:val="20"/>
                <w:lang w:eastAsia="en-AU"/>
              </w:rPr>
            </w:pPr>
            <w:r w:rsidRPr="00602F49">
              <w:rPr>
                <w:rFonts w:eastAsia="Times New Roman" w:cs="Arial"/>
                <w:color w:val="000000"/>
                <w:sz w:val="20"/>
                <w:szCs w:val="20"/>
                <w:lang w:eastAsia="en-AU"/>
              </w:rPr>
              <w:t>500</w:t>
            </w:r>
          </w:p>
        </w:tc>
      </w:tr>
      <w:tr w:rsidR="00054CF8" w:rsidRPr="00C71707" w:rsidTr="00DD6CB8">
        <w:trPr>
          <w:trHeight w:val="290"/>
        </w:trPr>
        <w:tc>
          <w:tcPr>
            <w:tcW w:w="4390" w:type="dxa"/>
            <w:shd w:val="clear" w:color="auto" w:fill="auto"/>
            <w:vAlign w:val="bottom"/>
            <w:hideMark/>
          </w:tcPr>
          <w:p w:rsidR="00054CF8" w:rsidRPr="00C83556" w:rsidRDefault="00054CF8" w:rsidP="00026FC4">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M16 ArtSpace</w:t>
            </w:r>
            <w:r w:rsidR="004431D4" w:rsidRPr="00C83556">
              <w:rPr>
                <w:rFonts w:eastAsia="Times New Roman" w:cs="Arial"/>
                <w:color w:val="000000"/>
                <w:sz w:val="20"/>
                <w:szCs w:val="20"/>
                <w:lang w:eastAsia="en-AU"/>
              </w:rPr>
              <w:t xml:space="preserve"> (ACT)</w:t>
            </w:r>
          </w:p>
        </w:tc>
        <w:tc>
          <w:tcPr>
            <w:tcW w:w="2693" w:type="dxa"/>
            <w:shd w:val="clear" w:color="auto" w:fill="auto"/>
            <w:hideMark/>
          </w:tcPr>
          <w:p w:rsidR="00054CF8" w:rsidRPr="00602F49" w:rsidRDefault="00054CF8" w:rsidP="007E113B">
            <w:pPr>
              <w:keepNext/>
              <w:spacing w:after="0" w:line="240" w:lineRule="auto"/>
              <w:jc w:val="right"/>
              <w:rPr>
                <w:rFonts w:eastAsia="Times New Roman" w:cs="Arial"/>
                <w:color w:val="000000"/>
                <w:sz w:val="20"/>
                <w:szCs w:val="20"/>
                <w:lang w:eastAsia="en-AU"/>
              </w:rPr>
            </w:pPr>
            <w:r w:rsidRPr="00602F49">
              <w:rPr>
                <w:rFonts w:eastAsia="Times New Roman" w:cs="Arial"/>
                <w:color w:val="000000"/>
                <w:sz w:val="20"/>
                <w:szCs w:val="20"/>
                <w:lang w:eastAsia="en-AU"/>
              </w:rPr>
              <w:t>-</w:t>
            </w:r>
          </w:p>
        </w:tc>
        <w:tc>
          <w:tcPr>
            <w:tcW w:w="2551" w:type="dxa"/>
            <w:shd w:val="clear" w:color="auto" w:fill="auto"/>
            <w:hideMark/>
          </w:tcPr>
          <w:p w:rsidR="00054CF8" w:rsidRPr="00602F49" w:rsidRDefault="00054CF8" w:rsidP="007E113B">
            <w:pPr>
              <w:keepNext/>
              <w:spacing w:after="0" w:line="240" w:lineRule="auto"/>
              <w:jc w:val="right"/>
              <w:rPr>
                <w:rFonts w:eastAsia="Times New Roman" w:cs="Arial"/>
                <w:color w:val="000000"/>
                <w:sz w:val="20"/>
                <w:szCs w:val="20"/>
                <w:lang w:eastAsia="en-AU"/>
              </w:rPr>
            </w:pPr>
            <w:r w:rsidRPr="00602F49">
              <w:rPr>
                <w:rFonts w:eastAsia="Times New Roman" w:cs="Arial"/>
                <w:color w:val="000000"/>
                <w:sz w:val="20"/>
                <w:szCs w:val="20"/>
                <w:lang w:eastAsia="en-AU"/>
              </w:rPr>
              <w:t>267</w:t>
            </w:r>
          </w:p>
        </w:tc>
      </w:tr>
    </w:tbl>
    <w:p w:rsidR="000042F8" w:rsidRPr="00ED12CE" w:rsidRDefault="000042F8" w:rsidP="00ED12CE">
      <w:pPr>
        <w:pStyle w:val="EYBodytextwithparaspace"/>
        <w:keepNext/>
      </w:pPr>
      <w:r w:rsidRPr="00ED12CE">
        <w:rPr>
          <w:vertAlign w:val="superscript"/>
        </w:rPr>
        <w:t xml:space="preserve"> </w:t>
      </w:r>
      <w:r w:rsidR="00C2275F" w:rsidRPr="00ED12CE">
        <w:rPr>
          <w:vertAlign w:val="superscript"/>
        </w:rPr>
        <w:t xml:space="preserve">Source: Compiled by EY based </w:t>
      </w:r>
      <w:r w:rsidR="00375164">
        <w:rPr>
          <w:vertAlign w:val="superscript"/>
        </w:rPr>
        <w:t>on public</w:t>
      </w:r>
      <w:r w:rsidR="00C2275F" w:rsidRPr="00ED12CE">
        <w:rPr>
          <w:vertAlign w:val="superscript"/>
        </w:rPr>
        <w:t>ly available information</w:t>
      </w:r>
    </w:p>
    <w:p w:rsidR="00A270E3" w:rsidRPr="00ED12CE" w:rsidRDefault="00A270E3" w:rsidP="006117C6">
      <w:pPr>
        <w:pStyle w:val="EYBodytextwithparaspace"/>
      </w:pPr>
      <w:r w:rsidRPr="00ED12CE">
        <w:t>The cost implications of installing an AACF are unable to be assessed due to a lack of data, however it is clear that at the largest end of the spectrum</w:t>
      </w:r>
      <w:r w:rsidR="00BF62D7">
        <w:t xml:space="preserve"> they would be inconsequential.</w:t>
      </w:r>
    </w:p>
    <w:p w:rsidR="005D43EA" w:rsidRDefault="00A270E3" w:rsidP="006117C6">
      <w:pPr>
        <w:pStyle w:val="EYBodytextwithparaspace"/>
      </w:pPr>
      <w:r w:rsidRPr="00ED12CE">
        <w:t>A ‘sense check’</w:t>
      </w:r>
      <w:r w:rsidR="0063152F" w:rsidRPr="00ED12CE">
        <w:t xml:space="preserve"> of building</w:t>
      </w:r>
      <w:r w:rsidRPr="00ED12CE">
        <w:t>s</w:t>
      </w:r>
      <w:r w:rsidR="0063152F" w:rsidRPr="00ED12CE">
        <w:t xml:space="preserve"> </w:t>
      </w:r>
      <w:r w:rsidRPr="00ED12CE">
        <w:t>on both ends of the size spectrum was conducted to assess the reasonableness of mandating an AACF</w:t>
      </w:r>
      <w:r w:rsidR="004132D3">
        <w:t xml:space="preserve"> </w:t>
      </w:r>
      <w:r w:rsidRPr="00ED12CE">
        <w:t xml:space="preserve">– two options were chosen: the Australian </w:t>
      </w:r>
      <w:r w:rsidRPr="00ED12CE">
        <w:lastRenderedPageBreak/>
        <w:t>Museum with 6,500m</w:t>
      </w:r>
      <w:r w:rsidRPr="00ED12CE">
        <w:rPr>
          <w:vertAlign w:val="superscript"/>
        </w:rPr>
        <w:t>2</w:t>
      </w:r>
      <w:r w:rsidRPr="00ED12CE">
        <w:t xml:space="preserve"> in </w:t>
      </w:r>
      <w:r w:rsidR="007E6A42" w:rsidRPr="00ED12CE">
        <w:t>floor space</w:t>
      </w:r>
      <w:r w:rsidRPr="00ED12CE">
        <w:t xml:space="preserve">, and </w:t>
      </w:r>
      <w:r w:rsidR="009B0690" w:rsidRPr="00ED12CE">
        <w:t xml:space="preserve">a small </w:t>
      </w:r>
      <w:r w:rsidRPr="00ED12CE">
        <w:t>woodworks gallery with 500m</w:t>
      </w:r>
      <w:r w:rsidRPr="00ED12CE">
        <w:rPr>
          <w:vertAlign w:val="superscript"/>
        </w:rPr>
        <w:t>2</w:t>
      </w:r>
      <w:r w:rsidRPr="00ED12CE">
        <w:t xml:space="preserve"> </w:t>
      </w:r>
      <w:r w:rsidR="007E6A42" w:rsidRPr="00ED12CE">
        <w:t>floor space</w:t>
      </w:r>
      <w:r w:rsidRPr="00ED12CE">
        <w:t>.</w:t>
      </w:r>
      <w:r w:rsidR="004F7F56" w:rsidRPr="00ED12CE">
        <w:t xml:space="preserve"> An analysis (including anecdotally) of the </w:t>
      </w:r>
      <w:r w:rsidR="001A1A38" w:rsidRPr="00ED12CE">
        <w:t>purpose</w:t>
      </w:r>
      <w:r w:rsidR="004F7F56" w:rsidRPr="00ED12CE">
        <w:t xml:space="preserve"> of </w:t>
      </w:r>
      <w:r w:rsidR="001A1A38" w:rsidRPr="00ED12CE">
        <w:t>both</w:t>
      </w:r>
      <w:r w:rsidR="004F7F56" w:rsidRPr="00ED12CE">
        <w:t xml:space="preserve"> </w:t>
      </w:r>
      <w:r w:rsidR="001A1A38" w:rsidRPr="00ED12CE">
        <w:t>buildings</w:t>
      </w:r>
      <w:r w:rsidR="004F7F56" w:rsidRPr="00ED12CE">
        <w:t xml:space="preserve"> as </w:t>
      </w:r>
      <w:r w:rsidR="001A1A38" w:rsidRPr="00ED12CE">
        <w:t>well</w:t>
      </w:r>
      <w:r w:rsidR="004F7F56" w:rsidRPr="00ED12CE">
        <w:t xml:space="preserve"> as th</w:t>
      </w:r>
      <w:r w:rsidR="009B0690" w:rsidRPr="00ED12CE">
        <w:t>e</w:t>
      </w:r>
      <w:r w:rsidR="004F7F56" w:rsidRPr="00ED12CE">
        <w:t xml:space="preserve"> </w:t>
      </w:r>
      <w:r w:rsidR="001A1A38" w:rsidRPr="00ED12CE">
        <w:t>likely</w:t>
      </w:r>
      <w:r w:rsidR="004F7F56" w:rsidRPr="00ED12CE">
        <w:t xml:space="preserve"> visitation indicates that whereas mandating an AACF in the former would </w:t>
      </w:r>
      <w:r w:rsidR="002F3856" w:rsidRPr="00ED12CE">
        <w:t xml:space="preserve">certainly </w:t>
      </w:r>
      <w:r w:rsidR="004F7F56" w:rsidRPr="00ED12CE">
        <w:t xml:space="preserve">be warranted, </w:t>
      </w:r>
      <w:r w:rsidR="004F7F56" w:rsidRPr="009114F6">
        <w:t>in the latter it likely would not.</w:t>
      </w:r>
    </w:p>
    <w:p w:rsidR="00BF079B" w:rsidRPr="00145D1B" w:rsidRDefault="00BF079B" w:rsidP="00765A21">
      <w:pPr>
        <w:pStyle w:val="Caption"/>
        <w:keepNext/>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color w:val="auto"/>
          <w:szCs w:val="24"/>
        </w:rPr>
      </w:pPr>
      <w:r>
        <w:rPr>
          <w:rFonts w:cs="Arial"/>
          <w:color w:val="auto"/>
          <w:szCs w:val="24"/>
        </w:rPr>
        <w:t>Consultation q</w:t>
      </w:r>
      <w:r w:rsidRPr="00145D1B">
        <w:rPr>
          <w:rFonts w:cs="Arial"/>
          <w:color w:val="auto"/>
          <w:szCs w:val="24"/>
        </w:rPr>
        <w:t>uestion</w:t>
      </w:r>
      <w:r>
        <w:rPr>
          <w:rFonts w:cs="Arial"/>
          <w:color w:val="auto"/>
          <w:szCs w:val="24"/>
        </w:rPr>
        <w:t>s</w:t>
      </w:r>
    </w:p>
    <w:p w:rsidR="00BF079B" w:rsidRDefault="00BF079B" w:rsidP="00A15416">
      <w:pPr>
        <w:pStyle w:val="EYBodytextwithparaspace"/>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ind w:hanging="720"/>
        <w:rPr>
          <w:noProof/>
          <w:color w:val="000000"/>
          <w:lang w:eastAsia="en-AU"/>
        </w:rPr>
      </w:pPr>
      <w:r w:rsidRPr="001E5FAC">
        <w:rPr>
          <w:noProof/>
          <w:color w:val="000000"/>
          <w:lang w:eastAsia="en-AU"/>
        </w:rPr>
        <w:t xml:space="preserve">Do you agree with the preliminary finding that </w:t>
      </w:r>
      <w:r>
        <w:rPr>
          <w:noProof/>
          <w:color w:val="000000"/>
          <w:lang w:eastAsia="en-AU"/>
        </w:rPr>
        <w:t xml:space="preserve">an </w:t>
      </w:r>
      <w:r w:rsidRPr="001E5FAC">
        <w:rPr>
          <w:noProof/>
          <w:color w:val="000000"/>
          <w:lang w:eastAsia="en-AU"/>
        </w:rPr>
        <w:t>AACF be provided in Class 6 shopping centres larger than 10,000m</w:t>
      </w:r>
      <w:r w:rsidR="00E569A7" w:rsidRPr="00145CFE">
        <w:rPr>
          <w:noProof/>
          <w:color w:val="000000"/>
          <w:vertAlign w:val="superscript"/>
          <w:lang w:eastAsia="en-AU"/>
        </w:rPr>
        <w:t>2</w:t>
      </w:r>
      <w:r w:rsidRPr="001E5FAC">
        <w:rPr>
          <w:noProof/>
          <w:color w:val="000000"/>
          <w:lang w:eastAsia="en-AU"/>
        </w:rPr>
        <w:t xml:space="preserve"> and Class 9b assembly buildings?</w:t>
      </w:r>
    </w:p>
    <w:p w:rsidR="00BF079B" w:rsidRDefault="00BF079B" w:rsidP="00A15416">
      <w:pPr>
        <w:pStyle w:val="EYBodytextwithparaspace"/>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ind w:hanging="720"/>
        <w:rPr>
          <w:noProof/>
          <w:color w:val="000000"/>
          <w:lang w:eastAsia="en-AU"/>
        </w:rPr>
      </w:pPr>
      <w:r w:rsidRPr="001E5FAC">
        <w:rPr>
          <w:noProof/>
          <w:color w:val="000000"/>
          <w:lang w:eastAsia="en-AU"/>
        </w:rPr>
        <w:t>Should AACFs be mandated for museums and stadiums? If so, what should the ‘cut-off’ thresholds be for incorporation into the NCC</w:t>
      </w:r>
      <w:r>
        <w:rPr>
          <w:noProof/>
          <w:color w:val="000000"/>
          <w:lang w:eastAsia="en-AU"/>
        </w:rPr>
        <w:t>?</w:t>
      </w:r>
    </w:p>
    <w:p w:rsidR="00BF079B" w:rsidRDefault="00BF079B" w:rsidP="00A15416">
      <w:pPr>
        <w:pStyle w:val="EYBodytextwithparaspace"/>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ind w:hanging="720"/>
        <w:rPr>
          <w:noProof/>
          <w:color w:val="000000"/>
          <w:lang w:eastAsia="en-AU"/>
        </w:rPr>
      </w:pPr>
      <w:r w:rsidRPr="001E5FAC">
        <w:rPr>
          <w:noProof/>
          <w:color w:val="000000"/>
          <w:lang w:eastAsia="en-AU"/>
        </w:rPr>
        <w:t>Are there any other thresholds apart from design occupancy/seating capacity that could be used to trigger the requirement for an AACF?</w:t>
      </w:r>
    </w:p>
    <w:p w:rsidR="00A24CE9" w:rsidRPr="009114F6" w:rsidRDefault="00A24CE9" w:rsidP="00A3785D">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pPr>
      <w:r w:rsidRPr="009114F6">
        <w:t>Stakeholder feedback</w:t>
      </w:r>
    </w:p>
    <w:p w:rsidR="00A24CE9" w:rsidRPr="009114F6" w:rsidRDefault="00A24CE9" w:rsidP="003E07DF">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9114F6">
        <w:rPr>
          <w:b w:val="0"/>
        </w:rPr>
        <w:t xml:space="preserve">There was a general consensus among </w:t>
      </w:r>
      <w:r w:rsidR="00026FC4" w:rsidRPr="009114F6">
        <w:rPr>
          <w:b w:val="0"/>
        </w:rPr>
        <w:t>stakeholders</w:t>
      </w:r>
      <w:r w:rsidRPr="009114F6">
        <w:rPr>
          <w:b w:val="0"/>
        </w:rPr>
        <w:t xml:space="preserve"> that AACFs should be mandated for </w:t>
      </w:r>
      <w:r w:rsidRPr="00BF62D7">
        <w:rPr>
          <w:b w:val="0"/>
        </w:rPr>
        <w:t>shopping centres</w:t>
      </w:r>
      <w:r w:rsidRPr="009114F6">
        <w:rPr>
          <w:b w:val="0"/>
        </w:rPr>
        <w:t xml:space="preserve"> with a design occupancy </w:t>
      </w:r>
      <w:r w:rsidR="006460EC">
        <w:rPr>
          <w:b w:val="0"/>
        </w:rPr>
        <w:t>threshold</w:t>
      </w:r>
      <w:r w:rsidRPr="009114F6">
        <w:rPr>
          <w:b w:val="0"/>
        </w:rPr>
        <w:t xml:space="preserve">. Shoalhaven City </w:t>
      </w:r>
      <w:r w:rsidR="00E569A7">
        <w:rPr>
          <w:b w:val="0"/>
        </w:rPr>
        <w:t xml:space="preserve">Council </w:t>
      </w:r>
      <w:r w:rsidRPr="009114F6">
        <w:rPr>
          <w:b w:val="0"/>
        </w:rPr>
        <w:t>noted this threshold should be reduced to 600 people given regulatory requirements while a disability advocate noted the threshold should be removed in favour of a requirement for AACF</w:t>
      </w:r>
      <w:r w:rsidR="009F4D2D">
        <w:rPr>
          <w:b w:val="0"/>
        </w:rPr>
        <w:t xml:space="preserve">s in all new public buildings. </w:t>
      </w:r>
      <w:r w:rsidRPr="009114F6">
        <w:rPr>
          <w:b w:val="0"/>
        </w:rPr>
        <w:t xml:space="preserve">A </w:t>
      </w:r>
      <w:r w:rsidR="00A80EDC">
        <w:rPr>
          <w:b w:val="0"/>
        </w:rPr>
        <w:t xml:space="preserve">member </w:t>
      </w:r>
      <w:r w:rsidRPr="009114F6">
        <w:rPr>
          <w:b w:val="0"/>
        </w:rPr>
        <w:t>of the Association of Consultants in Access Australia noted their agreement with the design occupancy in excess of 2,000 people threshold on the proviso that consideration be given to concessions for retro-fits. Based on the additional analysis described above, it is recommended that the threshold for shopping centres be</w:t>
      </w:r>
      <w:r w:rsidR="00F8657D">
        <w:rPr>
          <w:b w:val="0"/>
        </w:rPr>
        <w:t xml:space="preserve"> set at a floor space of 10,000</w:t>
      </w:r>
      <w:r w:rsidR="00DB1162" w:rsidRPr="009114F6">
        <w:rPr>
          <w:b w:val="0"/>
        </w:rPr>
        <w:t>m</w:t>
      </w:r>
      <w:r w:rsidR="00DB1162" w:rsidRPr="009114F6">
        <w:rPr>
          <w:b w:val="0"/>
          <w:vertAlign w:val="superscript"/>
        </w:rPr>
        <w:t>2</w:t>
      </w:r>
      <w:r w:rsidRPr="009114F6">
        <w:rPr>
          <w:b w:val="0"/>
        </w:rPr>
        <w:t>, which represents a design occupancy of approximately 3,500.</w:t>
      </w:r>
    </w:p>
    <w:p w:rsidR="00A24CE9" w:rsidRPr="009114F6" w:rsidRDefault="00A24CE9" w:rsidP="003B3AD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9114F6">
        <w:rPr>
          <w:b w:val="0"/>
        </w:rPr>
        <w:t xml:space="preserve">There was wide agreement among responses that AACFs should be mandated for </w:t>
      </w:r>
      <w:r w:rsidRPr="009F4D2D">
        <w:rPr>
          <w:b w:val="0"/>
        </w:rPr>
        <w:t>stadiums and museums.</w:t>
      </w:r>
      <w:r w:rsidRPr="009114F6">
        <w:rPr>
          <w:b w:val="0"/>
        </w:rPr>
        <w:t xml:space="preserve"> Some specific comments include:</w:t>
      </w:r>
    </w:p>
    <w:p w:rsidR="00A24CE9" w:rsidRPr="009114F6" w:rsidRDefault="00A24CE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9114F6">
        <w:rPr>
          <w:rFonts w:ascii="Verdana" w:hAnsi="Verdana"/>
          <w:b w:val="0"/>
        </w:rPr>
        <w:t>●</w:t>
      </w:r>
      <w:r w:rsidRPr="009114F6">
        <w:rPr>
          <w:b w:val="0"/>
        </w:rPr>
        <w:t xml:space="preserve"> “</w:t>
      </w:r>
      <w:r w:rsidRPr="009114F6">
        <w:rPr>
          <w:b w:val="0"/>
          <w:i/>
        </w:rPr>
        <w:t>Larger museums and stadiums with a capacity of 35,000 or more and for major public museums and galleries in capital cities and regional centres.</w:t>
      </w:r>
      <w:r w:rsidRPr="009114F6">
        <w:rPr>
          <w:b w:val="0"/>
        </w:rPr>
        <w:t xml:space="preserve">” – </w:t>
      </w:r>
      <w:r w:rsidR="000324F9">
        <w:rPr>
          <w:b w:val="0"/>
        </w:rPr>
        <w:t xml:space="preserve">Victorian </w:t>
      </w:r>
      <w:r w:rsidR="005A7F77">
        <w:rPr>
          <w:b w:val="0"/>
        </w:rPr>
        <w:t>HHS</w:t>
      </w:r>
      <w:r w:rsidR="000324F9">
        <w:rPr>
          <w:b w:val="0"/>
        </w:rPr>
        <w:t>BA</w:t>
      </w:r>
      <w:r w:rsidR="00551276">
        <w:rPr>
          <w:b w:val="0"/>
        </w:rPr>
        <w:t>.</w:t>
      </w:r>
    </w:p>
    <w:p w:rsidR="00A24CE9" w:rsidRPr="009114F6" w:rsidRDefault="00A24CE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9114F6">
        <w:rPr>
          <w:rFonts w:ascii="Verdana" w:hAnsi="Verdana"/>
          <w:b w:val="0"/>
        </w:rPr>
        <w:t>●</w:t>
      </w:r>
      <w:r w:rsidRPr="009114F6">
        <w:rPr>
          <w:b w:val="0"/>
        </w:rPr>
        <w:t xml:space="preserve"> “</w:t>
      </w:r>
      <w:r w:rsidRPr="009114F6">
        <w:rPr>
          <w:b w:val="0"/>
          <w:i/>
        </w:rPr>
        <w:t>One per museum. Two for venues such as the Royal Agricultural Showground in New South Wales. Three for venues such as the Melbourne Cricket Ground, where access between sections of the complex is not readily available.</w:t>
      </w:r>
      <w:r w:rsidRPr="009114F6">
        <w:rPr>
          <w:b w:val="0"/>
        </w:rPr>
        <w:t xml:space="preserve">” – </w:t>
      </w:r>
      <w:r w:rsidR="002C4FE8">
        <w:rPr>
          <w:b w:val="0"/>
        </w:rPr>
        <w:t>Accredited Member</w:t>
      </w:r>
      <w:r w:rsidRPr="009114F6">
        <w:rPr>
          <w:b w:val="0"/>
        </w:rPr>
        <w:t xml:space="preserve"> of Association of Consultants in Access Australia</w:t>
      </w:r>
      <w:r w:rsidR="00551276">
        <w:rPr>
          <w:b w:val="0"/>
        </w:rPr>
        <w:t>.</w:t>
      </w:r>
      <w:r w:rsidRPr="009114F6">
        <w:rPr>
          <w:b w:val="0"/>
        </w:rPr>
        <w:t xml:space="preserve"> </w:t>
      </w:r>
    </w:p>
    <w:p w:rsidR="00A24CE9" w:rsidRPr="009114F6" w:rsidRDefault="00A24CE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9114F6">
        <w:rPr>
          <w:rFonts w:ascii="Verdana" w:hAnsi="Verdana"/>
          <w:b w:val="0"/>
        </w:rPr>
        <w:t xml:space="preserve">● </w:t>
      </w:r>
      <w:r w:rsidRPr="009114F6">
        <w:rPr>
          <w:b w:val="0"/>
        </w:rPr>
        <w:t>“</w:t>
      </w:r>
      <w:r w:rsidRPr="009114F6">
        <w:rPr>
          <w:b w:val="0"/>
          <w:i/>
        </w:rPr>
        <w:t xml:space="preserve">I would have added an extra element being the ‘likely’ period that someone would be at / using the building in order to apply a factor </w:t>
      </w:r>
      <w:r w:rsidR="006460EC">
        <w:rPr>
          <w:b w:val="0"/>
          <w:i/>
        </w:rPr>
        <w:t>of</w:t>
      </w:r>
      <w:r w:rsidR="006460EC" w:rsidRPr="009114F6">
        <w:rPr>
          <w:b w:val="0"/>
          <w:i/>
        </w:rPr>
        <w:t xml:space="preserve"> </w:t>
      </w:r>
      <w:r w:rsidRPr="009114F6">
        <w:rPr>
          <w:b w:val="0"/>
          <w:i/>
        </w:rPr>
        <w:t>need i.e. if people are generally at a place for three or more hours (cricket stadium, cinema), then it is more likely a change facility would be needed. Conversely, an art gallery or museum may have a typical attendance period of say less than two hours</w:t>
      </w:r>
      <w:r w:rsidRPr="009114F6">
        <w:rPr>
          <w:b w:val="0"/>
        </w:rPr>
        <w:t xml:space="preserve">.” – </w:t>
      </w:r>
      <w:r w:rsidR="00695371">
        <w:rPr>
          <w:b w:val="0"/>
        </w:rPr>
        <w:t>Disability advocate</w:t>
      </w:r>
      <w:r w:rsidR="00551276">
        <w:rPr>
          <w:b w:val="0"/>
        </w:rPr>
        <w:t>.</w:t>
      </w:r>
    </w:p>
    <w:p w:rsidR="00A24CE9" w:rsidRPr="009114F6" w:rsidRDefault="00A24CE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9114F6">
        <w:rPr>
          <w:b w:val="0"/>
        </w:rPr>
        <w:t xml:space="preserve">The incompatibility of a threshold with the principles of equity and accessibility for public buildings was also noted by disability advocates </w:t>
      </w:r>
      <w:r w:rsidR="006C7873">
        <w:rPr>
          <w:b w:val="0"/>
        </w:rPr>
        <w:t>in response to this question.</w:t>
      </w:r>
    </w:p>
    <w:p w:rsidR="00A24CE9" w:rsidRPr="009114F6" w:rsidRDefault="00A24CE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9114F6">
        <w:rPr>
          <w:b w:val="0"/>
        </w:rPr>
        <w:lastRenderedPageBreak/>
        <w:t>A number of stakeholders also provide</w:t>
      </w:r>
      <w:r w:rsidR="00E569A7">
        <w:rPr>
          <w:b w:val="0"/>
        </w:rPr>
        <w:t>d</w:t>
      </w:r>
      <w:r w:rsidRPr="009114F6">
        <w:rPr>
          <w:b w:val="0"/>
        </w:rPr>
        <w:t xml:space="preserve"> commentary on a range of alternative or complementary thresholds apart from design occupancy / seating capacity: </w:t>
      </w:r>
    </w:p>
    <w:p w:rsidR="00A24CE9" w:rsidRPr="009114F6" w:rsidRDefault="00A24CE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9114F6">
        <w:rPr>
          <w:rFonts w:ascii="Verdana" w:hAnsi="Verdana"/>
          <w:b w:val="0"/>
        </w:rPr>
        <w:t xml:space="preserve">● </w:t>
      </w:r>
      <w:r w:rsidRPr="009114F6">
        <w:rPr>
          <w:b w:val="0"/>
        </w:rPr>
        <w:t>“</w:t>
      </w:r>
      <w:r w:rsidRPr="009114F6">
        <w:rPr>
          <w:b w:val="0"/>
          <w:i/>
        </w:rPr>
        <w:t>Consideration could be given to the number of visitors per year for venues such as tourist destinations and transport buildings that don’t have significant seating capacity but have high numbers of people using the building</w:t>
      </w:r>
      <w:r w:rsidRPr="009114F6">
        <w:rPr>
          <w:b w:val="0"/>
        </w:rPr>
        <w:t>.” – Victorian</w:t>
      </w:r>
      <w:r w:rsidR="00A90058">
        <w:rPr>
          <w:b w:val="0"/>
        </w:rPr>
        <w:t xml:space="preserve"> </w:t>
      </w:r>
      <w:r w:rsidR="005A7F77">
        <w:rPr>
          <w:b w:val="0"/>
        </w:rPr>
        <w:t>HHS</w:t>
      </w:r>
      <w:r w:rsidR="00A90058">
        <w:rPr>
          <w:b w:val="0"/>
        </w:rPr>
        <w:t>BA</w:t>
      </w:r>
      <w:r w:rsidR="00551276">
        <w:rPr>
          <w:b w:val="0"/>
        </w:rPr>
        <w:t>.</w:t>
      </w:r>
    </w:p>
    <w:p w:rsidR="00A24CE9" w:rsidRPr="009114F6" w:rsidRDefault="00A24CE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9114F6">
        <w:rPr>
          <w:rFonts w:ascii="Verdana" w:hAnsi="Verdana"/>
          <w:b w:val="0"/>
        </w:rPr>
        <w:t xml:space="preserve">● </w:t>
      </w:r>
      <w:r w:rsidRPr="009114F6">
        <w:rPr>
          <w:b w:val="0"/>
        </w:rPr>
        <w:t>“</w:t>
      </w:r>
      <w:r w:rsidRPr="009114F6">
        <w:rPr>
          <w:b w:val="0"/>
          <w:i/>
        </w:rPr>
        <w:t xml:space="preserve">The time that individuals would spend at a location should also be a factor. Where time is minimal, as with train stations, the rail industry recommends that this would not support </w:t>
      </w:r>
      <w:r w:rsidR="006460EC" w:rsidRPr="009114F6">
        <w:rPr>
          <w:b w:val="0"/>
          <w:i/>
        </w:rPr>
        <w:t>th</w:t>
      </w:r>
      <w:r w:rsidR="006460EC">
        <w:rPr>
          <w:b w:val="0"/>
          <w:i/>
        </w:rPr>
        <w:t>e</w:t>
      </w:r>
      <w:r w:rsidR="006460EC" w:rsidRPr="009114F6">
        <w:rPr>
          <w:b w:val="0"/>
          <w:i/>
        </w:rPr>
        <w:t xml:space="preserve"> </w:t>
      </w:r>
      <w:r w:rsidRPr="009114F6">
        <w:rPr>
          <w:b w:val="0"/>
          <w:i/>
        </w:rPr>
        <w:t>inclusion of an AACF. In addition, consideration should be given as to whether other AACFs already exist nearby that may negate the need for an additional AACF in a certain location</w:t>
      </w:r>
      <w:r w:rsidRPr="009114F6">
        <w:rPr>
          <w:b w:val="0"/>
        </w:rPr>
        <w:t>.” – Australasian Railway Association</w:t>
      </w:r>
      <w:r w:rsidR="00551276">
        <w:rPr>
          <w:b w:val="0"/>
        </w:rPr>
        <w:t>.</w:t>
      </w:r>
    </w:p>
    <w:p w:rsidR="00A24CE9" w:rsidRPr="009114F6" w:rsidRDefault="00A24CE9">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9114F6">
        <w:rPr>
          <w:rFonts w:ascii="Verdana" w:hAnsi="Verdana"/>
          <w:b w:val="0"/>
        </w:rPr>
        <w:t xml:space="preserve">● </w:t>
      </w:r>
      <w:r w:rsidRPr="009114F6">
        <w:rPr>
          <w:b w:val="0"/>
        </w:rPr>
        <w:t>“</w:t>
      </w:r>
      <w:r w:rsidRPr="009114F6">
        <w:rPr>
          <w:b w:val="0"/>
          <w:i/>
        </w:rPr>
        <w:t>The frequency and variety of uses. The provision for activities which involve people who use a wheelchair</w:t>
      </w:r>
      <w:r w:rsidRPr="009114F6">
        <w:rPr>
          <w:b w:val="0"/>
        </w:rPr>
        <w:t xml:space="preserve">.” – </w:t>
      </w:r>
      <w:r w:rsidR="002C4FE8">
        <w:rPr>
          <w:b w:val="0"/>
        </w:rPr>
        <w:t>Accredited Member</w:t>
      </w:r>
      <w:r w:rsidRPr="009114F6">
        <w:rPr>
          <w:b w:val="0"/>
        </w:rPr>
        <w:t xml:space="preserve"> of Association of Consultants in Access Australia</w:t>
      </w:r>
      <w:r w:rsidR="00551276">
        <w:rPr>
          <w:b w:val="0"/>
        </w:rPr>
        <w:t>.</w:t>
      </w:r>
      <w:r w:rsidRPr="009114F6">
        <w:rPr>
          <w:b w:val="0"/>
        </w:rPr>
        <w:t xml:space="preserve"> </w:t>
      </w:r>
    </w:p>
    <w:p w:rsidR="00317572" w:rsidRDefault="00A24CE9" w:rsidP="00317572">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9114F6">
        <w:rPr>
          <w:rFonts w:ascii="Verdana" w:hAnsi="Verdana"/>
          <w:b w:val="0"/>
        </w:rPr>
        <w:t>●</w:t>
      </w:r>
      <w:r w:rsidRPr="009114F6">
        <w:rPr>
          <w:b w:val="0"/>
        </w:rPr>
        <w:t xml:space="preserve"> “</w:t>
      </w:r>
      <w:r w:rsidRPr="009114F6">
        <w:rPr>
          <w:b w:val="0"/>
          <w:i/>
        </w:rPr>
        <w:t>Rural and remote issues should also be considered when determining thresholds. Premises in regional and rural areas may be designed for smaller markets. Despite smaller occupancy levels, these premises should be inclusive of people with disability. Particularly as these facilities may be the only available option for people with disability in these areas</w:t>
      </w:r>
      <w:r w:rsidRPr="009114F6">
        <w:rPr>
          <w:b w:val="0"/>
        </w:rPr>
        <w:t>.” – Australian Human Rights Commission</w:t>
      </w:r>
      <w:r w:rsidR="00551276">
        <w:rPr>
          <w:b w:val="0"/>
        </w:rPr>
        <w:t>.</w:t>
      </w:r>
    </w:p>
    <w:p w:rsidR="00317572" w:rsidRDefault="00A24CE9" w:rsidP="00317572">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9114F6">
        <w:rPr>
          <w:rFonts w:ascii="Verdana" w:hAnsi="Verdana"/>
          <w:b w:val="0"/>
        </w:rPr>
        <w:t>●</w:t>
      </w:r>
      <w:r w:rsidRPr="009114F6">
        <w:rPr>
          <w:b w:val="0"/>
        </w:rPr>
        <w:t xml:space="preserve"> “</w:t>
      </w:r>
      <w:r w:rsidRPr="009114F6">
        <w:rPr>
          <w:b w:val="0"/>
          <w:i/>
        </w:rPr>
        <w:t xml:space="preserve">The whole question of thresholds and capacities depends on the universality of the L&amp;C facility, its cost and the space it occupies. If Changing </w:t>
      </w:r>
      <w:r w:rsidR="00220B56">
        <w:rPr>
          <w:b w:val="0"/>
          <w:i/>
        </w:rPr>
        <w:t>P</w:t>
      </w:r>
      <w:r w:rsidRPr="009114F6">
        <w:rPr>
          <w:b w:val="0"/>
          <w:i/>
        </w:rPr>
        <w:t xml:space="preserve">laces designs are used there certainly needs to </w:t>
      </w:r>
      <w:r w:rsidR="00220B56">
        <w:rPr>
          <w:b w:val="0"/>
          <w:i/>
        </w:rPr>
        <w:t xml:space="preserve">be </w:t>
      </w:r>
      <w:r w:rsidRPr="009114F6">
        <w:rPr>
          <w:b w:val="0"/>
          <w:i/>
        </w:rPr>
        <w:t>thresholds. The more low key and universal the facilities are, the lower the threshold</w:t>
      </w:r>
      <w:r w:rsidRPr="009114F6">
        <w:rPr>
          <w:b w:val="0"/>
        </w:rPr>
        <w:t>.” – Disability advocate</w:t>
      </w:r>
      <w:r w:rsidR="00551276">
        <w:rPr>
          <w:b w:val="0"/>
        </w:rPr>
        <w:t>.</w:t>
      </w:r>
      <w:r w:rsidRPr="009114F6">
        <w:rPr>
          <w:b w:val="0"/>
        </w:rPr>
        <w:t xml:space="preserve"> </w:t>
      </w:r>
    </w:p>
    <w:p w:rsidR="00317572" w:rsidRDefault="00A24CE9" w:rsidP="00317572">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9114F6">
        <w:rPr>
          <w:rFonts w:ascii="Verdana" w:hAnsi="Verdana"/>
          <w:b w:val="0"/>
        </w:rPr>
        <w:t>●</w:t>
      </w:r>
      <w:r w:rsidRPr="009114F6">
        <w:rPr>
          <w:b w:val="0"/>
        </w:rPr>
        <w:t xml:space="preserve"> “</w:t>
      </w:r>
      <w:r w:rsidRPr="009114F6">
        <w:rPr>
          <w:b w:val="0"/>
          <w:i/>
        </w:rPr>
        <w:t xml:space="preserve">A threshold is not necessary, all new public accessible buildings should have an adult </w:t>
      </w:r>
      <w:r w:rsidRPr="00400534">
        <w:rPr>
          <w:b w:val="0"/>
          <w:i/>
        </w:rPr>
        <w:t>change facility</w:t>
      </w:r>
      <w:r w:rsidRPr="00400534">
        <w:rPr>
          <w:b w:val="0"/>
        </w:rPr>
        <w:t>.” – Disability advocate</w:t>
      </w:r>
      <w:r w:rsidR="00551276">
        <w:rPr>
          <w:b w:val="0"/>
        </w:rPr>
        <w:t>.</w:t>
      </w:r>
    </w:p>
    <w:p w:rsidR="00317572" w:rsidRDefault="006B112B" w:rsidP="00317572">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400534">
        <w:rPr>
          <w:b w:val="0"/>
        </w:rPr>
        <w:t xml:space="preserve">While it is acknowledged that a number of submissions advocated removal of the threshold, these submissions were based largely on </w:t>
      </w:r>
      <w:r w:rsidR="006F4AD3">
        <w:rPr>
          <w:b w:val="0"/>
        </w:rPr>
        <w:t>individual</w:t>
      </w:r>
      <w:r w:rsidR="006F4AD3" w:rsidRPr="00400534">
        <w:rPr>
          <w:b w:val="0"/>
        </w:rPr>
        <w:t xml:space="preserve"> </w:t>
      </w:r>
      <w:r w:rsidRPr="00400534">
        <w:rPr>
          <w:b w:val="0"/>
        </w:rPr>
        <w:t>benefits which must also be balanced against economic factors.</w:t>
      </w:r>
      <w:r w:rsidR="0067087F">
        <w:rPr>
          <w:b w:val="0"/>
        </w:rPr>
        <w:t xml:space="preserve"> From an economic perspective, visitation to a building must be sufficiently high for the overall benefits (being the benefits on a per trip basis multiplied by the estimated number of trips made to a building by a person with a complex disability as a result of an AACF being installed) to outweigh the costs.</w:t>
      </w:r>
    </w:p>
    <w:p w:rsidR="00317572" w:rsidRDefault="00400534" w:rsidP="00317572">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602F49">
        <w:rPr>
          <w:b w:val="0"/>
        </w:rPr>
        <w:t>F</w:t>
      </w:r>
      <w:r w:rsidR="006B112B" w:rsidRPr="00DD6CB8">
        <w:rPr>
          <w:b w:val="0"/>
        </w:rPr>
        <w:t xml:space="preserve">or example in the case of </w:t>
      </w:r>
      <w:r w:rsidR="006F4AD3">
        <w:rPr>
          <w:b w:val="0"/>
        </w:rPr>
        <w:t xml:space="preserve">smaller </w:t>
      </w:r>
      <w:r w:rsidR="006B112B" w:rsidRPr="00DD6CB8">
        <w:rPr>
          <w:b w:val="0"/>
        </w:rPr>
        <w:t>shopping centres, given the</w:t>
      </w:r>
      <w:r w:rsidR="006F4AD3">
        <w:rPr>
          <w:b w:val="0"/>
        </w:rPr>
        <w:t>ir</w:t>
      </w:r>
      <w:r w:rsidR="006B112B" w:rsidRPr="00DD6CB8">
        <w:rPr>
          <w:b w:val="0"/>
        </w:rPr>
        <w:t xml:space="preserve"> large</w:t>
      </w:r>
      <w:r w:rsidR="006F4AD3">
        <w:rPr>
          <w:b w:val="0"/>
        </w:rPr>
        <w:t>r</w:t>
      </w:r>
      <w:r w:rsidR="006B112B" w:rsidRPr="00DD6CB8">
        <w:rPr>
          <w:b w:val="0"/>
        </w:rPr>
        <w:t xml:space="preserve"> number </w:t>
      </w:r>
      <w:r w:rsidR="004B6AD8">
        <w:rPr>
          <w:b w:val="0"/>
        </w:rPr>
        <w:t>and</w:t>
      </w:r>
      <w:r w:rsidR="006B112B" w:rsidRPr="00DD6CB8">
        <w:rPr>
          <w:b w:val="0"/>
        </w:rPr>
        <w:t xml:space="preserve"> </w:t>
      </w:r>
      <w:r w:rsidR="00647EEE" w:rsidRPr="00DD6CB8">
        <w:rPr>
          <w:b w:val="0"/>
        </w:rPr>
        <w:t>low</w:t>
      </w:r>
      <w:r w:rsidR="00D66082">
        <w:rPr>
          <w:b w:val="0"/>
        </w:rPr>
        <w:t>er</w:t>
      </w:r>
      <w:r w:rsidR="00647EEE" w:rsidRPr="00DD6CB8">
        <w:rPr>
          <w:b w:val="0"/>
        </w:rPr>
        <w:t xml:space="preserve"> expected visitation</w:t>
      </w:r>
      <w:r w:rsidR="00220B56">
        <w:rPr>
          <w:b w:val="0"/>
        </w:rPr>
        <w:t>,</w:t>
      </w:r>
      <w:r w:rsidR="00647EEE" w:rsidRPr="00DD6CB8">
        <w:rPr>
          <w:b w:val="0"/>
        </w:rPr>
        <w:t xml:space="preserve"> the expected benefits do not outweigh the costs of installing an AACF</w:t>
      </w:r>
      <w:r w:rsidR="00F34F0A">
        <w:rPr>
          <w:b w:val="0"/>
        </w:rPr>
        <w:t xml:space="preserve"> (</w:t>
      </w:r>
      <w:r w:rsidR="00D66082">
        <w:rPr>
          <w:b w:val="0"/>
        </w:rPr>
        <w:t>using</w:t>
      </w:r>
      <w:r w:rsidR="00F34F0A">
        <w:rPr>
          <w:b w:val="0"/>
        </w:rPr>
        <w:t xml:space="preserve"> the ‘break-even’ analysis described in </w:t>
      </w:r>
      <w:r w:rsidR="007C69BF">
        <w:rPr>
          <w:b w:val="0"/>
        </w:rPr>
        <w:t xml:space="preserve">Section </w:t>
      </w:r>
      <w:r w:rsidR="00F34F0A">
        <w:rPr>
          <w:b w:val="0"/>
        </w:rPr>
        <w:fldChar w:fldCharType="begin"/>
      </w:r>
      <w:r w:rsidR="00F34F0A">
        <w:rPr>
          <w:b w:val="0"/>
        </w:rPr>
        <w:instrText xml:space="preserve"> REF _Ref523139856 \n \h </w:instrText>
      </w:r>
      <w:r w:rsidR="00F34F0A">
        <w:rPr>
          <w:b w:val="0"/>
        </w:rPr>
      </w:r>
      <w:r w:rsidR="00F34F0A">
        <w:rPr>
          <w:b w:val="0"/>
        </w:rPr>
        <w:fldChar w:fldCharType="separate"/>
      </w:r>
      <w:r w:rsidR="00910A73">
        <w:rPr>
          <w:b w:val="0"/>
        </w:rPr>
        <w:t>6.2.1</w:t>
      </w:r>
      <w:r w:rsidR="00F34F0A">
        <w:rPr>
          <w:b w:val="0"/>
        </w:rPr>
        <w:fldChar w:fldCharType="end"/>
      </w:r>
      <w:r w:rsidR="00D66082">
        <w:rPr>
          <w:b w:val="0"/>
        </w:rPr>
        <w:t>)</w:t>
      </w:r>
      <w:r w:rsidR="00220B56">
        <w:rPr>
          <w:b w:val="0"/>
        </w:rPr>
        <w:t>.</w:t>
      </w:r>
      <w:r w:rsidR="00647EEE" w:rsidRPr="00DD6CB8">
        <w:rPr>
          <w:b w:val="0"/>
        </w:rPr>
        <w:t xml:space="preserve"> </w:t>
      </w:r>
      <w:r w:rsidR="00D66082">
        <w:rPr>
          <w:b w:val="0"/>
        </w:rPr>
        <w:t>I</w:t>
      </w:r>
      <w:r w:rsidR="006B112B" w:rsidRPr="00DD6CB8">
        <w:rPr>
          <w:b w:val="0"/>
        </w:rPr>
        <w:t>t is c</w:t>
      </w:r>
      <w:r w:rsidR="00D66082">
        <w:rPr>
          <w:b w:val="0"/>
        </w:rPr>
        <w:t xml:space="preserve">alculated </w:t>
      </w:r>
      <w:r w:rsidR="006B112B" w:rsidRPr="00DD6CB8">
        <w:rPr>
          <w:b w:val="0"/>
        </w:rPr>
        <w:t>that a</w:t>
      </w:r>
      <w:r w:rsidR="006F4AD3">
        <w:rPr>
          <w:b w:val="0"/>
        </w:rPr>
        <w:t>t a</w:t>
      </w:r>
      <w:r w:rsidR="006B112B" w:rsidRPr="00DD6CB8">
        <w:rPr>
          <w:b w:val="0"/>
        </w:rPr>
        <w:t xml:space="preserve"> threshold of 10,000m</w:t>
      </w:r>
      <w:r w:rsidR="006B112B" w:rsidRPr="00DD6CB8">
        <w:rPr>
          <w:b w:val="0"/>
          <w:vertAlign w:val="superscript"/>
        </w:rPr>
        <w:t>2</w:t>
      </w:r>
      <w:r w:rsidR="006B112B" w:rsidRPr="00DD6CB8">
        <w:rPr>
          <w:b w:val="0"/>
        </w:rPr>
        <w:t xml:space="preserve"> </w:t>
      </w:r>
      <w:r w:rsidR="006F4AD3" w:rsidRPr="0030017E">
        <w:rPr>
          <w:b w:val="0"/>
        </w:rPr>
        <w:t xml:space="preserve">the </w:t>
      </w:r>
      <w:r w:rsidR="00D66082" w:rsidRPr="0030017E">
        <w:rPr>
          <w:b w:val="0"/>
        </w:rPr>
        <w:t>benefits balanc</w:t>
      </w:r>
      <w:r w:rsidR="006F4AD3" w:rsidRPr="0030017E">
        <w:rPr>
          <w:b w:val="0"/>
        </w:rPr>
        <w:t xml:space="preserve">e </w:t>
      </w:r>
      <w:r w:rsidR="00D66082">
        <w:rPr>
          <w:b w:val="0"/>
        </w:rPr>
        <w:t xml:space="preserve">the likely </w:t>
      </w:r>
      <w:r w:rsidR="00391453">
        <w:rPr>
          <w:b w:val="0"/>
        </w:rPr>
        <w:t xml:space="preserve">financial consequences of requiring AACF in </w:t>
      </w:r>
      <w:r w:rsidR="00D66082">
        <w:rPr>
          <w:b w:val="0"/>
        </w:rPr>
        <w:t xml:space="preserve">all </w:t>
      </w:r>
      <w:r w:rsidR="006B112B" w:rsidRPr="00DD6CB8">
        <w:rPr>
          <w:b w:val="0"/>
        </w:rPr>
        <w:t>centres.</w:t>
      </w:r>
      <w:r w:rsidR="00D66082">
        <w:rPr>
          <w:b w:val="0"/>
        </w:rPr>
        <w:t xml:space="preserve"> </w:t>
      </w:r>
      <w:r w:rsidR="006B112B" w:rsidRPr="00C6753F">
        <w:rPr>
          <w:b w:val="0"/>
        </w:rPr>
        <w:t>Although data were not available to separately model museums and stadiums</w:t>
      </w:r>
      <w:r w:rsidR="00647EEE">
        <w:rPr>
          <w:b w:val="0"/>
        </w:rPr>
        <w:t xml:space="preserve"> to the same extent as was the case for shopping centres</w:t>
      </w:r>
      <w:r w:rsidR="006B112B" w:rsidRPr="00C6753F">
        <w:rPr>
          <w:b w:val="0"/>
        </w:rPr>
        <w:t>, it is considered that the logic for thresholds</w:t>
      </w:r>
      <w:r w:rsidR="006B112B">
        <w:rPr>
          <w:b w:val="0"/>
        </w:rPr>
        <w:t xml:space="preserve"> for these buildings</w:t>
      </w:r>
      <w:r w:rsidR="0000071D">
        <w:rPr>
          <w:b w:val="0"/>
        </w:rPr>
        <w:t xml:space="preserve"> is similarly justified.</w:t>
      </w:r>
    </w:p>
    <w:p w:rsidR="00FD5AB3" w:rsidRPr="00F9722F" w:rsidRDefault="00FD5AB3" w:rsidP="00F9722F">
      <w:pPr>
        <w:pStyle w:val="Caption"/>
        <w:pBdr>
          <w:top w:val="single" w:sz="4" w:space="1" w:color="auto"/>
          <w:left w:val="single" w:sz="4" w:space="1" w:color="auto"/>
          <w:bottom w:val="single" w:sz="4" w:space="1" w:color="auto"/>
          <w:right w:val="single" w:sz="4" w:space="1" w:color="auto"/>
        </w:pBdr>
        <w:shd w:val="clear" w:color="auto" w:fill="F2F2F2" w:themeFill="background1" w:themeFillShade="F2"/>
        <w:rPr>
          <w:b w:val="0"/>
        </w:rPr>
      </w:pPr>
      <w:r w:rsidRPr="00C16672">
        <w:rPr>
          <w:b w:val="0"/>
        </w:rPr>
        <w:t xml:space="preserve">Class 6 and 9b buildings by their nature of use are more </w:t>
      </w:r>
      <w:r w:rsidR="006F4AD3">
        <w:rPr>
          <w:b w:val="0"/>
        </w:rPr>
        <w:t>likely</w:t>
      </w:r>
      <w:r w:rsidRPr="00C16672">
        <w:rPr>
          <w:b w:val="0"/>
        </w:rPr>
        <w:t xml:space="preserve"> to be built in urban areas with demand from a local geographic area to support their operation. Bearing in mind that two thirds of the estimated core cohort live in capital cities (refer </w:t>
      </w:r>
      <w:r w:rsidRPr="00DE5D49">
        <w:rPr>
          <w:b w:val="0"/>
        </w:rPr>
        <w:t xml:space="preserve">to </w:t>
      </w:r>
      <w:r w:rsidRPr="00DE5D49">
        <w:rPr>
          <w:b w:val="0"/>
        </w:rPr>
        <w:fldChar w:fldCharType="begin"/>
      </w:r>
      <w:r w:rsidRPr="00DE5D49">
        <w:rPr>
          <w:b w:val="0"/>
        </w:rPr>
        <w:instrText xml:space="preserve"> REF _Ref520814157 \h </w:instrText>
      </w:r>
      <w:r w:rsidR="00B54305">
        <w:rPr>
          <w:b w:val="0"/>
        </w:rPr>
        <w:instrText xml:space="preserve"> \* MERGEFORMAT </w:instrText>
      </w:r>
      <w:r w:rsidRPr="00DE5D49">
        <w:rPr>
          <w:b w:val="0"/>
        </w:rPr>
      </w:r>
      <w:r w:rsidRPr="00DE5D49">
        <w:rPr>
          <w:b w:val="0"/>
        </w:rPr>
        <w:fldChar w:fldCharType="separate"/>
      </w:r>
      <w:r w:rsidR="00910A73" w:rsidRPr="00910A73">
        <w:rPr>
          <w:b w:val="0"/>
        </w:rPr>
        <w:t>Table 2</w:t>
      </w:r>
      <w:r w:rsidR="00910A73" w:rsidRPr="00910A73">
        <w:rPr>
          <w:b w:val="0"/>
        </w:rPr>
        <w:noBreakHyphen/>
        <w:t>1</w:t>
      </w:r>
      <w:r w:rsidRPr="00DE5D49">
        <w:rPr>
          <w:b w:val="0"/>
        </w:rPr>
        <w:fldChar w:fldCharType="end"/>
      </w:r>
      <w:r w:rsidRPr="00DE5D49">
        <w:rPr>
          <w:b w:val="0"/>
        </w:rPr>
        <w:t xml:space="preserve">), the </w:t>
      </w:r>
      <w:r w:rsidRPr="00C16672">
        <w:rPr>
          <w:b w:val="0"/>
        </w:rPr>
        <w:t xml:space="preserve">imposition </w:t>
      </w:r>
      <w:r w:rsidR="00B54305" w:rsidRPr="00C16672">
        <w:rPr>
          <w:b w:val="0"/>
        </w:rPr>
        <w:t>of</w:t>
      </w:r>
      <w:r w:rsidR="00F8657D">
        <w:rPr>
          <w:b w:val="0"/>
        </w:rPr>
        <w:t xml:space="preserve"> a 10,000</w:t>
      </w:r>
      <w:r w:rsidR="00B54305" w:rsidRPr="00C16672">
        <w:rPr>
          <w:b w:val="0"/>
        </w:rPr>
        <w:t>m</w:t>
      </w:r>
      <w:r w:rsidR="00B54305" w:rsidRPr="00C16672">
        <w:rPr>
          <w:b w:val="0"/>
          <w:vertAlign w:val="superscript"/>
        </w:rPr>
        <w:t>2</w:t>
      </w:r>
      <w:r w:rsidR="00B54305" w:rsidRPr="00C16672">
        <w:rPr>
          <w:b w:val="0"/>
        </w:rPr>
        <w:t xml:space="preserve"> </w:t>
      </w:r>
      <w:r w:rsidRPr="00C16672">
        <w:rPr>
          <w:b w:val="0"/>
        </w:rPr>
        <w:t>threshold is expected to cover the majority of prospective AACF users</w:t>
      </w:r>
      <w:r w:rsidR="00DE5D49">
        <w:rPr>
          <w:b w:val="0"/>
        </w:rPr>
        <w:t>.</w:t>
      </w:r>
      <w:r w:rsidRPr="00C16672">
        <w:rPr>
          <w:b w:val="0"/>
        </w:rPr>
        <w:t xml:space="preserve"> </w:t>
      </w:r>
      <w:r w:rsidR="009F6A42">
        <w:rPr>
          <w:b w:val="0"/>
        </w:rPr>
        <w:t>The</w:t>
      </w:r>
      <w:r w:rsidR="00FD2259">
        <w:rPr>
          <w:b w:val="0"/>
        </w:rPr>
        <w:t xml:space="preserve"> imposition of threshold</w:t>
      </w:r>
      <w:r w:rsidR="009F6A42">
        <w:rPr>
          <w:b w:val="0"/>
        </w:rPr>
        <w:t>s</w:t>
      </w:r>
      <w:r w:rsidR="00FD2259">
        <w:rPr>
          <w:b w:val="0"/>
        </w:rPr>
        <w:t xml:space="preserve"> is</w:t>
      </w:r>
      <w:r w:rsidR="00391453">
        <w:rPr>
          <w:b w:val="0"/>
        </w:rPr>
        <w:t xml:space="preserve"> also</w:t>
      </w:r>
      <w:r w:rsidR="00FD2259">
        <w:rPr>
          <w:b w:val="0"/>
        </w:rPr>
        <w:t xml:space="preserve"> location agnostic, and is made on the basis of </w:t>
      </w:r>
      <w:r w:rsidR="00FD2259">
        <w:rPr>
          <w:b w:val="0"/>
        </w:rPr>
        <w:lastRenderedPageBreak/>
        <w:t xml:space="preserve">projected visitation and not the location of prospective buildings. It is acknowledged that this </w:t>
      </w:r>
      <w:r w:rsidR="00B54305" w:rsidRPr="00C16672">
        <w:rPr>
          <w:b w:val="0"/>
        </w:rPr>
        <w:t xml:space="preserve">will result in some prospective </w:t>
      </w:r>
      <w:r w:rsidR="00391453">
        <w:rPr>
          <w:b w:val="0"/>
        </w:rPr>
        <w:t>developments</w:t>
      </w:r>
      <w:r w:rsidR="00B54305" w:rsidRPr="00C16672">
        <w:rPr>
          <w:b w:val="0"/>
        </w:rPr>
        <w:t xml:space="preserve"> not being captured by the </w:t>
      </w:r>
      <w:r w:rsidR="00220B56">
        <w:rPr>
          <w:b w:val="0"/>
        </w:rPr>
        <w:t>proposed</w:t>
      </w:r>
      <w:r w:rsidR="00220B56" w:rsidRPr="00C16672">
        <w:rPr>
          <w:b w:val="0"/>
        </w:rPr>
        <w:t xml:space="preserve"> </w:t>
      </w:r>
      <w:r w:rsidR="00B54305" w:rsidRPr="00C16672">
        <w:rPr>
          <w:b w:val="0"/>
        </w:rPr>
        <w:t xml:space="preserve">regulatory </w:t>
      </w:r>
      <w:r w:rsidR="00220B56">
        <w:rPr>
          <w:b w:val="0"/>
        </w:rPr>
        <w:t>requirement</w:t>
      </w:r>
      <w:r w:rsidR="006F4AD3">
        <w:rPr>
          <w:b w:val="0"/>
        </w:rPr>
        <w:t xml:space="preserve">. However, </w:t>
      </w:r>
      <w:r w:rsidR="00391453">
        <w:rPr>
          <w:b w:val="0"/>
        </w:rPr>
        <w:t>g</w:t>
      </w:r>
      <w:r w:rsidRPr="00C16672">
        <w:rPr>
          <w:b w:val="0"/>
        </w:rPr>
        <w:t xml:space="preserve">iven that </w:t>
      </w:r>
      <w:r w:rsidR="006F4AD3">
        <w:rPr>
          <w:b w:val="0"/>
        </w:rPr>
        <w:t>population</w:t>
      </w:r>
      <w:r w:rsidRPr="00C16672">
        <w:rPr>
          <w:b w:val="0"/>
        </w:rPr>
        <w:t xml:space="preserve"> is not able to be separately considered within the confines of the NCC, thresholds are not able to be estimated separately for regional areas. Such matters are better considered through</w:t>
      </w:r>
      <w:r w:rsidR="00467D99">
        <w:rPr>
          <w:b w:val="0"/>
        </w:rPr>
        <w:t xml:space="preserve"> market forces,</w:t>
      </w:r>
      <w:r w:rsidRPr="00C16672">
        <w:rPr>
          <w:b w:val="0"/>
        </w:rPr>
        <w:t xml:space="preserve"> local planning regulations or as the remit of a community decision on need such as is currently the case.</w:t>
      </w:r>
    </w:p>
    <w:p w:rsidR="00582BE5" w:rsidRDefault="00582BE5" w:rsidP="00DB1504">
      <w:pPr>
        <w:pStyle w:val="Heading3"/>
      </w:pPr>
      <w:r>
        <w:t xml:space="preserve">Estimating the number of </w:t>
      </w:r>
      <w:r w:rsidR="00FD0417">
        <w:t>facilities / buildings</w:t>
      </w:r>
    </w:p>
    <w:p w:rsidR="00FD0417" w:rsidRDefault="00FD0417" w:rsidP="004A5772">
      <w:pPr>
        <w:pStyle w:val="EYBodytextwithparaspace"/>
      </w:pPr>
      <w:r>
        <w:t xml:space="preserve">Estimating the total costs and benefits of a regulatory proposal such as this involves first estimating the number of prospective buildings that would be subject to the regulation. </w:t>
      </w:r>
      <w:r w:rsidR="00294921">
        <w:t>For these buildings, t</w:t>
      </w:r>
      <w:r>
        <w:t>his is an inherently difficult task, as data showing the number of new shopping centres, museums, stadiums</w:t>
      </w:r>
      <w:r w:rsidR="00EB4550">
        <w:t>, airports and public aquatic facilities</w:t>
      </w:r>
      <w:r>
        <w:t xml:space="preserve"> likely to be constructed in the future is limited.</w:t>
      </w:r>
    </w:p>
    <w:p w:rsidR="009114F6" w:rsidRPr="0068071B" w:rsidRDefault="00EB169B" w:rsidP="001B3AA5">
      <w:pPr>
        <w:pStyle w:val="EYBodytextwithparaspace"/>
        <w:rPr>
          <w:highlight w:val="yellow"/>
        </w:rPr>
      </w:pPr>
      <w:r>
        <w:t>The most reliable and consistent data set identified</w:t>
      </w:r>
      <w:r w:rsidR="007B67E6">
        <w:t xml:space="preserve"> for new shopping centres, museums and stadiums</w:t>
      </w:r>
      <w:r>
        <w:t xml:space="preserve"> is IBIS</w:t>
      </w:r>
      <w:r w:rsidR="00D70217">
        <w:t>W</w:t>
      </w:r>
      <w:r>
        <w:t xml:space="preserve">orld which contains projections of the number of </w:t>
      </w:r>
      <w:r w:rsidR="001C301E">
        <w:t xml:space="preserve">shopping </w:t>
      </w:r>
      <w:r>
        <w:t>centres</w:t>
      </w:r>
      <w:r w:rsidR="001C301E">
        <w:t>,</w:t>
      </w:r>
      <w:r>
        <w:t xml:space="preserve"> museums and stadiums over </w:t>
      </w:r>
      <w:r w:rsidR="001C301E">
        <w:t xml:space="preserve">a five year projection period. </w:t>
      </w:r>
      <w:r>
        <w:t>We have therefore adopted this as the ‘base’ estimate of the number of new facilities</w:t>
      </w:r>
      <w:r w:rsidR="00225776">
        <w:t xml:space="preserve"> and</w:t>
      </w:r>
      <w:r>
        <w:t xml:space="preserve"> cross referenced where appropriate with knowledge on specific investment projects.</w:t>
      </w:r>
    </w:p>
    <w:p w:rsidR="001B3AA5" w:rsidRPr="009114F6" w:rsidRDefault="001B3AA5" w:rsidP="00400534">
      <w:pPr>
        <w:pStyle w:val="EYBulletedText1"/>
      </w:pPr>
      <w:r w:rsidRPr="009114F6">
        <w:t xml:space="preserve">For shopping centres, the number of </w:t>
      </w:r>
      <w:r w:rsidR="00755786" w:rsidRPr="009114F6">
        <w:t xml:space="preserve">new </w:t>
      </w:r>
      <w:r w:rsidRPr="009114F6">
        <w:t xml:space="preserve">centres with a </w:t>
      </w:r>
      <w:r w:rsidR="007E6A42" w:rsidRPr="009114F6">
        <w:t>floor space</w:t>
      </w:r>
      <w:r w:rsidRPr="009114F6">
        <w:t xml:space="preserve"> of less than 10,000m</w:t>
      </w:r>
      <w:r w:rsidRPr="009114F6">
        <w:rPr>
          <w:vertAlign w:val="superscript"/>
        </w:rPr>
        <w:t xml:space="preserve">2 </w:t>
      </w:r>
      <w:r w:rsidRPr="009114F6">
        <w:t>has been estimated on the basis of information provided by the Shopping Centre Council of Australia (SCCA).</w:t>
      </w:r>
    </w:p>
    <w:p w:rsidR="001B3AA5" w:rsidRPr="009114F6" w:rsidRDefault="001B3AA5" w:rsidP="00400534">
      <w:pPr>
        <w:pStyle w:val="EYBulletedText1"/>
      </w:pPr>
      <w:r w:rsidRPr="009114F6">
        <w:t>For indoor swimming pools, a ‘base’ figure of 1,000 is taken from the Royal Lifesaving Society Report, and it is assumed that the number of swimming pools grows in line with population growth. This results in a figure of approximately 20 ‘new’ swimming pools each year.</w:t>
      </w:r>
    </w:p>
    <w:p w:rsidR="008A1470" w:rsidRPr="009114F6" w:rsidRDefault="001B3AA5" w:rsidP="00400534">
      <w:pPr>
        <w:pStyle w:val="EYBulletedText1"/>
      </w:pPr>
      <w:r w:rsidRPr="009114F6">
        <w:t>Finally, it is acknowledged that the requirements will extend not only to new development</w:t>
      </w:r>
      <w:r w:rsidR="00294921" w:rsidRPr="009114F6">
        <w:t>s</w:t>
      </w:r>
      <w:r w:rsidRPr="009114F6">
        <w:t xml:space="preserve"> but also to redevelopments alterations and additions. For shopping centres, t</w:t>
      </w:r>
      <w:r w:rsidR="008A1470" w:rsidRPr="009114F6">
        <w:t>he number of additions or redevelopments is based on information by the S</w:t>
      </w:r>
      <w:r w:rsidR="00220B56">
        <w:t>CCA</w:t>
      </w:r>
      <w:r w:rsidR="008A1470" w:rsidRPr="009114F6">
        <w:t xml:space="preserve"> which indicates that the average shopping centre undergoes a major redevelopment on average every seven to ten years.</w:t>
      </w:r>
      <w:r w:rsidR="008A1470" w:rsidRPr="00C133AC">
        <w:rPr>
          <w:rStyle w:val="FootnoteReference"/>
          <w:sz w:val="24"/>
          <w:szCs w:val="24"/>
        </w:rPr>
        <w:footnoteReference w:id="90"/>
      </w:r>
    </w:p>
    <w:p w:rsidR="00F75EBA" w:rsidRDefault="003311E1" w:rsidP="008A1470">
      <w:pPr>
        <w:pStyle w:val="EYBodytextwithparaspace"/>
      </w:pPr>
      <w:r w:rsidRPr="009114F6">
        <w:t xml:space="preserve">Alterations and additions are not modelled for museums, stadiums or swimming pools. It is worth noting however that, provided a prospective alteration or addition will result in a building exceeding the threshold, then the installation of an AACF </w:t>
      </w:r>
      <w:r w:rsidR="00294921" w:rsidRPr="009114F6">
        <w:t>is</w:t>
      </w:r>
      <w:r w:rsidRPr="009114F6">
        <w:t xml:space="preserve"> </w:t>
      </w:r>
      <w:r w:rsidR="00294921" w:rsidRPr="009114F6">
        <w:t xml:space="preserve">considered </w:t>
      </w:r>
      <w:r w:rsidRPr="009114F6">
        <w:t xml:space="preserve">warranted </w:t>
      </w:r>
      <w:r w:rsidR="00294921" w:rsidRPr="009114F6">
        <w:t>(in addition to the vast social benefits that would accrue</w:t>
      </w:r>
      <w:r w:rsidR="007E6A42" w:rsidRPr="009114F6">
        <w:t>) from</w:t>
      </w:r>
      <w:r w:rsidRPr="009114F6">
        <w:t xml:space="preserve"> a cost benefit perspective.</w:t>
      </w:r>
    </w:p>
    <w:p w:rsidR="000A6962" w:rsidRDefault="00EB169B" w:rsidP="00DB1504">
      <w:pPr>
        <w:pStyle w:val="Heading3"/>
      </w:pPr>
      <w:bookmarkStart w:id="519" w:name="_Ref504380660"/>
      <w:r>
        <w:t>Estimating the costs and benefits</w:t>
      </w:r>
      <w:bookmarkEnd w:id="519"/>
    </w:p>
    <w:p w:rsidR="00FD0417" w:rsidRDefault="00FD0417" w:rsidP="004A5772">
      <w:pPr>
        <w:pStyle w:val="EYBodytextwithparaspace"/>
      </w:pPr>
      <w:r>
        <w:t>In estimating the costs and benefits the following important assumptions need to be kept in mind:</w:t>
      </w:r>
    </w:p>
    <w:p w:rsidR="00FD0417" w:rsidRPr="009114F6" w:rsidRDefault="00FD0417" w:rsidP="004A5772">
      <w:pPr>
        <w:pStyle w:val="EYBulletedText1"/>
      </w:pPr>
      <w:r>
        <w:t>It is assumed that each ‘new’ building will incur costs and benefits for a ten year period. In other words, a building constructed in 2018 will incur costs</w:t>
      </w:r>
      <w:r w:rsidR="00CB0712">
        <w:t xml:space="preserve"> (</w:t>
      </w:r>
      <w:r w:rsidR="0020534A">
        <w:t>operating</w:t>
      </w:r>
      <w:r w:rsidR="00CB0712">
        <w:t xml:space="preserve"> costs)</w:t>
      </w:r>
      <w:r>
        <w:t xml:space="preserve"> </w:t>
      </w:r>
      <w:r>
        <w:lastRenderedPageBreak/>
        <w:t xml:space="preserve">and benefits until 2027, while a building built in 2027 will incur costs </w:t>
      </w:r>
      <w:r w:rsidR="0020534A">
        <w:t xml:space="preserve">(operating costs) </w:t>
      </w:r>
      <w:r w:rsidRPr="009114F6">
        <w:t>and benefits until 2036. The estimated number of ‘new’ buildings constructed in both the regulatory and non-regulatory scenarios are shown in</w:t>
      </w:r>
      <w:r w:rsidR="003F1FA5" w:rsidRPr="009114F6">
        <w:t xml:space="preserve"> </w:t>
      </w:r>
      <w:r w:rsidRPr="009114F6">
        <w:t>Appendix A.</w:t>
      </w:r>
    </w:p>
    <w:p w:rsidR="00397BF7" w:rsidRPr="009114F6" w:rsidRDefault="00A94D02" w:rsidP="004A5772">
      <w:pPr>
        <w:pStyle w:val="EYBulletedText1"/>
      </w:pPr>
      <w:r w:rsidRPr="009114F6">
        <w:t>The benefit for a single trip to an aquatic facility is assumed to be $26 per trip, as described earlier.</w:t>
      </w:r>
    </w:p>
    <w:p w:rsidR="00A94D02" w:rsidRPr="009114F6" w:rsidRDefault="00A94D02" w:rsidP="004A5772">
      <w:pPr>
        <w:pStyle w:val="EYBulletedText1"/>
      </w:pPr>
      <w:r w:rsidRPr="009114F6">
        <w:t xml:space="preserve">Given a lack of information about prospective benefits per trip in relation to airport developments, </w:t>
      </w:r>
      <w:r w:rsidR="00CC6F6D" w:rsidRPr="009114F6">
        <w:t>whole</w:t>
      </w:r>
      <w:r w:rsidR="00CC6F6D">
        <w:t>-</w:t>
      </w:r>
      <w:r w:rsidR="00CC6F6D" w:rsidRPr="009114F6">
        <w:t>of</w:t>
      </w:r>
      <w:r w:rsidR="00CC6F6D">
        <w:t>-</w:t>
      </w:r>
      <w:r w:rsidRPr="009114F6">
        <w:t xml:space="preserve">economy results are not provided for airports. </w:t>
      </w:r>
      <w:r w:rsidR="00294921" w:rsidRPr="009114F6">
        <w:t>T</w:t>
      </w:r>
      <w:r w:rsidRPr="009114F6">
        <w:t>he break</w:t>
      </w:r>
      <w:r w:rsidR="001440BA">
        <w:t>-</w:t>
      </w:r>
      <w:r w:rsidRPr="009114F6">
        <w:t xml:space="preserve">even figures are considered sufficiently low so as </w:t>
      </w:r>
      <w:r w:rsidR="00CA3BF0" w:rsidRPr="009114F6">
        <w:t>to</w:t>
      </w:r>
      <w:r w:rsidRPr="009114F6">
        <w:t xml:space="preserve"> </w:t>
      </w:r>
      <w:r w:rsidR="00CA3BF0" w:rsidRPr="009114F6">
        <w:t>easily</w:t>
      </w:r>
      <w:r w:rsidRPr="009114F6">
        <w:t xml:space="preserve"> </w:t>
      </w:r>
      <w:r w:rsidR="00CA3BF0" w:rsidRPr="009114F6">
        <w:t>w</w:t>
      </w:r>
      <w:r w:rsidRPr="009114F6">
        <w:t>arran</w:t>
      </w:r>
      <w:r w:rsidR="00CA3BF0" w:rsidRPr="009114F6">
        <w:t>t</w:t>
      </w:r>
      <w:r w:rsidRPr="009114F6">
        <w:t xml:space="preserve"> the mandating of facilities. It is also worth noting that over the next ten years the </w:t>
      </w:r>
      <w:r w:rsidR="00CA3BF0" w:rsidRPr="009114F6">
        <w:t>number</w:t>
      </w:r>
      <w:r w:rsidRPr="009114F6">
        <w:t xml:space="preserve"> </w:t>
      </w:r>
      <w:r w:rsidR="00CA3BF0" w:rsidRPr="009114F6">
        <w:t>of</w:t>
      </w:r>
      <w:r w:rsidRPr="009114F6">
        <w:t xml:space="preserve"> prospective buildings is </w:t>
      </w:r>
      <w:r w:rsidR="0020534A" w:rsidRPr="009114F6">
        <w:t xml:space="preserve">expected to be </w:t>
      </w:r>
      <w:r w:rsidR="00A72A14" w:rsidRPr="009114F6">
        <w:t>relatively</w:t>
      </w:r>
      <w:r w:rsidR="0020534A" w:rsidRPr="009114F6">
        <w:t xml:space="preserve"> low</w:t>
      </w:r>
      <w:r w:rsidR="00A72A14" w:rsidRPr="009114F6">
        <w:t>.</w:t>
      </w:r>
    </w:p>
    <w:p w:rsidR="00FD0417" w:rsidRDefault="00FD0417" w:rsidP="004A5772">
      <w:pPr>
        <w:pStyle w:val="EYBulletedText1"/>
      </w:pPr>
      <w:r>
        <w:t>The modelling results for the non-regulatory and regulatory scenario should be interpreted as being additional to the status quo.</w:t>
      </w:r>
      <w:r w:rsidR="002608C9" w:rsidRPr="00C133AC">
        <w:rPr>
          <w:rStyle w:val="FootnoteReference"/>
          <w:sz w:val="24"/>
          <w:szCs w:val="24"/>
        </w:rPr>
        <w:footnoteReference w:id="91"/>
      </w:r>
    </w:p>
    <w:p w:rsidR="00837600" w:rsidRDefault="00837600" w:rsidP="004A5772">
      <w:pPr>
        <w:pStyle w:val="EYBulletedText1"/>
      </w:pPr>
      <w:r>
        <w:t>The modelling results do not assume any form of diminishing marginal returns. To the extent that the estimated development pipeline is relatively narrow, this is likely a reasonable assumption</w:t>
      </w:r>
      <w:r w:rsidR="00FA1C06">
        <w:t>.</w:t>
      </w:r>
    </w:p>
    <w:p w:rsidR="008A1470" w:rsidRPr="009114F6" w:rsidRDefault="00A72A14" w:rsidP="008A1470">
      <w:pPr>
        <w:pStyle w:val="Heading3"/>
      </w:pPr>
      <w:bookmarkStart w:id="520" w:name="_Ref521502148"/>
      <w:r w:rsidRPr="009114F6">
        <w:t>Regulatory Options A and B – co-located and separate AACFs</w:t>
      </w:r>
      <w:bookmarkEnd w:id="520"/>
    </w:p>
    <w:p w:rsidR="008A1470" w:rsidRPr="009114F6" w:rsidRDefault="008A1470" w:rsidP="00985280">
      <w:pPr>
        <w:pStyle w:val="EYBodytextwithparaspace"/>
      </w:pPr>
      <w:r w:rsidRPr="009114F6">
        <w:t>The costs of the regulatory option can be influenced by whether an AACF could also be counted as a</w:t>
      </w:r>
      <w:r w:rsidR="00A72A14" w:rsidRPr="009114F6">
        <w:t>n</w:t>
      </w:r>
      <w:r w:rsidRPr="009114F6">
        <w:t xml:space="preserve"> SASF for the purposes of assessing compliance with the existing Premises Standards and NCC requirements for the provision of accessible sanitary facilities. Based on the DCWC report, </w:t>
      </w:r>
      <w:r w:rsidR="00A72A14" w:rsidRPr="009114F6">
        <w:t>separate AACFs have an estimated capital cost of</w:t>
      </w:r>
      <w:r w:rsidRPr="009114F6">
        <w:t xml:space="preserve"> $46,200 </w:t>
      </w:r>
      <w:r w:rsidR="00A72A14" w:rsidRPr="009114F6">
        <w:t>while for co-located AACF’s the estimated capital cost is</w:t>
      </w:r>
      <w:r w:rsidR="0000071D">
        <w:t xml:space="preserve"> $28,500.</w:t>
      </w:r>
    </w:p>
    <w:p w:rsidR="008A1470" w:rsidRPr="009114F6" w:rsidRDefault="00F80435" w:rsidP="00985280">
      <w:pPr>
        <w:pStyle w:val="EYBodytextwithparaspace"/>
      </w:pPr>
      <w:r w:rsidRPr="009114F6">
        <w:t>The co-located</w:t>
      </w:r>
      <w:r w:rsidR="008A1470" w:rsidRPr="009114F6">
        <w:t xml:space="preserve"> facility would have a lesser impact in terms of required floor space (which has an economic value) than a stand-alone facility. In a building where only one SASF is currently required, it would in effect be </w:t>
      </w:r>
      <w:r w:rsidR="008C37E5" w:rsidRPr="009114F6">
        <w:t xml:space="preserve">incorporated </w:t>
      </w:r>
      <w:r w:rsidR="008A1470" w:rsidRPr="009114F6">
        <w:t xml:space="preserve">with an AACF. </w:t>
      </w:r>
      <w:r w:rsidR="008C37E5" w:rsidRPr="009114F6">
        <w:t>Since the Consultation RIS, t</w:t>
      </w:r>
      <w:r w:rsidR="008A1470" w:rsidRPr="009114F6">
        <w:t xml:space="preserve">he technical specifications for </w:t>
      </w:r>
      <w:r w:rsidR="00220B56">
        <w:t>AACFs</w:t>
      </w:r>
      <w:r w:rsidR="008A1470" w:rsidRPr="009114F6">
        <w:t xml:space="preserve"> </w:t>
      </w:r>
      <w:r w:rsidR="008C37E5" w:rsidRPr="009114F6">
        <w:t xml:space="preserve">have been revised to </w:t>
      </w:r>
      <w:r w:rsidR="008A1470" w:rsidRPr="009114F6">
        <w:t>ensure the in</w:t>
      </w:r>
      <w:r w:rsidR="0000071D">
        <w:t>tended dual purpose can be met.</w:t>
      </w:r>
    </w:p>
    <w:p w:rsidR="00F80435" w:rsidRPr="009114F6" w:rsidRDefault="001344CC" w:rsidP="00985280">
      <w:pPr>
        <w:pStyle w:val="EYBodytextwithparaspace"/>
      </w:pPr>
      <w:r w:rsidRPr="009114F6">
        <w:t>In the</w:t>
      </w:r>
      <w:r w:rsidR="008A1470" w:rsidRPr="009114F6">
        <w:t xml:space="preserve"> Consultation RIS, it was assumed that the AACF would be constructed in addition to </w:t>
      </w:r>
      <w:r w:rsidRPr="009114F6">
        <w:t xml:space="preserve">a </w:t>
      </w:r>
      <w:r w:rsidR="00220B56">
        <w:t>SASF</w:t>
      </w:r>
      <w:r w:rsidR="00D3437E">
        <w:t xml:space="preserve"> </w:t>
      </w:r>
      <w:r w:rsidR="00D3437E">
        <w:rPr>
          <w:rFonts w:ascii="Verdana" w:hAnsi="Verdana"/>
        </w:rPr>
        <w:t>─</w:t>
      </w:r>
      <w:r w:rsidR="00F80435" w:rsidRPr="009114F6">
        <w:t xml:space="preserve"> in other words, a separate facility was deemed preferable to a co-located facility</w:t>
      </w:r>
      <w:r w:rsidRPr="009114F6">
        <w:t xml:space="preserve">. </w:t>
      </w:r>
      <w:r w:rsidR="007E6A42" w:rsidRPr="009114F6">
        <w:t>The</w:t>
      </w:r>
      <w:r w:rsidRPr="009114F6">
        <w:t xml:space="preserve"> option to </w:t>
      </w:r>
      <w:r w:rsidR="007E6A42" w:rsidRPr="009114F6">
        <w:t>provide separate</w:t>
      </w:r>
      <w:r w:rsidRPr="009114F6">
        <w:t xml:space="preserve"> facilities was </w:t>
      </w:r>
      <w:r w:rsidR="00F80435" w:rsidRPr="009114F6">
        <w:t>considered</w:t>
      </w:r>
      <w:r w:rsidRPr="009114F6">
        <w:t xml:space="preserve"> preferable owing to a concern that usage of co-located facilities would result in those with complex disabilities occupying the facility for large </w:t>
      </w:r>
      <w:r w:rsidR="00220B56">
        <w:t>periods</w:t>
      </w:r>
      <w:r w:rsidR="00220B56" w:rsidRPr="009114F6">
        <w:t xml:space="preserve"> </w:t>
      </w:r>
      <w:r w:rsidRPr="009114F6">
        <w:t xml:space="preserve">of time. </w:t>
      </w:r>
    </w:p>
    <w:p w:rsidR="00E66B2D" w:rsidRPr="009114F6" w:rsidRDefault="00F80435" w:rsidP="00985280">
      <w:pPr>
        <w:pStyle w:val="EYBodytextwithparaspace"/>
      </w:pPr>
      <w:r w:rsidRPr="009114F6">
        <w:t>However, s</w:t>
      </w:r>
      <w:r w:rsidR="001344CC" w:rsidRPr="009114F6">
        <w:t xml:space="preserve">takeholder feedback and </w:t>
      </w:r>
      <w:r w:rsidR="008A1470" w:rsidRPr="009114F6">
        <w:t xml:space="preserve">data </w:t>
      </w:r>
      <w:r w:rsidR="009D553C">
        <w:t xml:space="preserve">was </w:t>
      </w:r>
      <w:r w:rsidR="008A1470" w:rsidRPr="009114F6">
        <w:t xml:space="preserve">provided on the use of existing AACFs and suggests </w:t>
      </w:r>
      <w:r w:rsidR="001344CC" w:rsidRPr="009114F6">
        <w:t xml:space="preserve">such issues are likely to be negligible for </w:t>
      </w:r>
      <w:r w:rsidR="00A72A14" w:rsidRPr="009114F6">
        <w:t>a number of</w:t>
      </w:r>
      <w:r w:rsidR="001344CC" w:rsidRPr="009114F6">
        <w:t xml:space="preserve"> reasons</w:t>
      </w:r>
      <w:r w:rsidR="008A1470" w:rsidRPr="009114F6">
        <w:t>.</w:t>
      </w:r>
    </w:p>
    <w:p w:rsidR="00E66B2D" w:rsidRPr="009114F6" w:rsidRDefault="00E66B2D" w:rsidP="00985280">
      <w:pPr>
        <w:pStyle w:val="EYBodytextwithparaspace"/>
      </w:pPr>
      <w:r w:rsidRPr="009114F6">
        <w:t>First</w:t>
      </w:r>
      <w:r w:rsidR="0044072A" w:rsidRPr="009114F6">
        <w:t>ly</w:t>
      </w:r>
      <w:r w:rsidRPr="009114F6">
        <w:t xml:space="preserve">, it was commented that usage of AACFs </w:t>
      </w:r>
      <w:r w:rsidR="0044072A" w:rsidRPr="009114F6">
        <w:t xml:space="preserve">for some populations </w:t>
      </w:r>
      <w:r w:rsidRPr="009114F6">
        <w:t xml:space="preserve">meaning the time occupied by those using the AACFs is not </w:t>
      </w:r>
      <w:r w:rsidR="00CD292B" w:rsidRPr="009114F6">
        <w:t>likely</w:t>
      </w:r>
      <w:r w:rsidRPr="009114F6">
        <w:t xml:space="preserve"> to be significant</w:t>
      </w:r>
      <w:r w:rsidR="00A72A14" w:rsidRPr="009114F6">
        <w:t xml:space="preserve"> </w:t>
      </w:r>
      <w:r w:rsidR="00087C28">
        <w:rPr>
          <w:rFonts w:ascii="Verdana" w:hAnsi="Verdana"/>
        </w:rPr>
        <w:t>─</w:t>
      </w:r>
      <w:r w:rsidR="00A72A14" w:rsidRPr="009114F6">
        <w:t xml:space="preserve"> the facility at Flinders </w:t>
      </w:r>
      <w:r w:rsidR="00A72A14" w:rsidRPr="009114F6">
        <w:lastRenderedPageBreak/>
        <w:t>Street Station</w:t>
      </w:r>
      <w:r w:rsidR="00F04476">
        <w:t xml:space="preserve"> in Melbourne</w:t>
      </w:r>
      <w:r w:rsidR="00A72A14" w:rsidRPr="009114F6">
        <w:t>, a railway station with daily passenger throughput in excess of 100,000 per day, was commented to be used on average only three times per day</w:t>
      </w:r>
      <w:r w:rsidR="008A457C">
        <w:t>.</w:t>
      </w:r>
    </w:p>
    <w:p w:rsidR="00E66B2D" w:rsidRPr="009114F6" w:rsidRDefault="00E66B2D" w:rsidP="00985280">
      <w:pPr>
        <w:pStyle w:val="EYBodytextwithparaspace"/>
      </w:pPr>
      <w:r w:rsidRPr="009114F6">
        <w:t>Second</w:t>
      </w:r>
      <w:r w:rsidR="00A72A14" w:rsidRPr="009114F6">
        <w:t>ly</w:t>
      </w:r>
      <w:r w:rsidRPr="009114F6">
        <w:t xml:space="preserve">, one disability advocate commented that separation </w:t>
      </w:r>
      <w:r w:rsidR="001344CC" w:rsidRPr="009114F6">
        <w:t>o</w:t>
      </w:r>
      <w:r w:rsidRPr="009114F6">
        <w:t xml:space="preserve">f the facility could have other unintended consequences. </w:t>
      </w:r>
    </w:p>
    <w:p w:rsidR="002040E4" w:rsidRPr="009114F6" w:rsidRDefault="006528C2" w:rsidP="00985280">
      <w:pPr>
        <w:pStyle w:val="EYBodytextwithparaspace"/>
        <w:ind w:left="720"/>
      </w:pPr>
      <w:r w:rsidRPr="00985280">
        <w:rPr>
          <w:i/>
        </w:rPr>
        <w:t>“</w:t>
      </w:r>
      <w:r w:rsidR="008A1470" w:rsidRPr="00985280">
        <w:rPr>
          <w:i/>
        </w:rPr>
        <w:t>Today you regularly see a queue outside a standard accessible toilet, while the huge changing places next door is locked. This scenario is going to create division within and animosity towards the disabled community. If you want to add benefit, moderate the size</w:t>
      </w:r>
      <w:r w:rsidR="008A1470" w:rsidRPr="009114F6">
        <w:t xml:space="preserve"> </w:t>
      </w:r>
      <w:r w:rsidR="008A1470" w:rsidRPr="00145CFE">
        <w:rPr>
          <w:i/>
        </w:rPr>
        <w:t>and expense of L&amp;C, and make them universal."</w:t>
      </w:r>
      <w:r w:rsidR="008A1470" w:rsidRPr="009114F6">
        <w:t xml:space="preserve">  </w:t>
      </w:r>
    </w:p>
    <w:p w:rsidR="009D553C" w:rsidRDefault="009D553C" w:rsidP="00145CFE">
      <w:pPr>
        <w:pStyle w:val="EYBulletnoparaspace"/>
        <w:numPr>
          <w:ilvl w:val="0"/>
          <w:numId w:val="0"/>
        </w:numPr>
      </w:pPr>
    </w:p>
    <w:p w:rsidR="00E66B2D" w:rsidRPr="009114F6" w:rsidRDefault="001344CC" w:rsidP="00145CFE">
      <w:pPr>
        <w:pStyle w:val="EYBulletnoparaspace"/>
        <w:numPr>
          <w:ilvl w:val="0"/>
          <w:numId w:val="0"/>
        </w:numPr>
      </w:pPr>
      <w:r w:rsidRPr="009114F6">
        <w:t>Thirdly installation of separate SASF and AACF facilit</w:t>
      </w:r>
      <w:r w:rsidR="00F04476">
        <w:t>ies</w:t>
      </w:r>
      <w:r w:rsidRPr="009114F6">
        <w:t xml:space="preserve"> would not be prevented by the NCC. It is anticipated that this configuration will be the case where required</w:t>
      </w:r>
      <w:r w:rsidR="00F04476">
        <w:t>.</w:t>
      </w:r>
      <w:r w:rsidRPr="009114F6">
        <w:t xml:space="preserve"> However, owners may choose to separate facilities, and incur</w:t>
      </w:r>
      <w:r w:rsidR="006528C2" w:rsidRPr="009114F6">
        <w:t xml:space="preserve"> higher costs of constructing a separate facility, </w:t>
      </w:r>
      <w:r w:rsidRPr="009114F6">
        <w:t xml:space="preserve">and accept an overall lower, yet still positive </w:t>
      </w:r>
      <w:r w:rsidR="006528C2" w:rsidRPr="009114F6">
        <w:t>net benefit.</w:t>
      </w:r>
    </w:p>
    <w:p w:rsidR="001344CC" w:rsidRDefault="001344CC" w:rsidP="00985280">
      <w:pPr>
        <w:pStyle w:val="EYBodytextwithparaspace"/>
      </w:pPr>
      <w:r w:rsidRPr="009114F6">
        <w:t xml:space="preserve">Finally, </w:t>
      </w:r>
      <w:r w:rsidR="0044072A" w:rsidRPr="009114F6">
        <w:t>the presence of</w:t>
      </w:r>
      <w:r w:rsidR="00A72A14" w:rsidRPr="009114F6">
        <w:t xml:space="preserve"> an</w:t>
      </w:r>
      <w:r w:rsidR="0044072A" w:rsidRPr="009114F6">
        <w:t xml:space="preserve"> alternative SAS</w:t>
      </w:r>
      <w:r w:rsidR="00A72A14" w:rsidRPr="009114F6">
        <w:t>F</w:t>
      </w:r>
      <w:r w:rsidR="0044072A" w:rsidRPr="009114F6">
        <w:t xml:space="preserve"> is more likely in buildings with occupancy that exceed the suggested thresholds. Therefore, an AACF will only be co-located at one of a number of alternative </w:t>
      </w:r>
      <w:r w:rsidRPr="009114F6">
        <w:t>SA</w:t>
      </w:r>
      <w:r w:rsidR="00A72A14" w:rsidRPr="009114F6">
        <w:t>SF</w:t>
      </w:r>
      <w:r w:rsidRPr="009114F6">
        <w:t xml:space="preserve"> </w:t>
      </w:r>
      <w:r w:rsidR="0044072A" w:rsidRPr="009114F6">
        <w:t xml:space="preserve">locations that will remain unaffected by the proposed change. </w:t>
      </w:r>
    </w:p>
    <w:p w:rsidR="00E66B2D" w:rsidRPr="00391453" w:rsidRDefault="00E66B2D" w:rsidP="00391453">
      <w:pPr>
        <w:pStyle w:val="Heading3"/>
        <w:rPr>
          <w:rFonts w:ascii="Segoe UI" w:hAnsi="Segoe UI" w:cs="Segoe UI"/>
          <w:color w:val="000000"/>
        </w:rPr>
      </w:pPr>
      <w:r w:rsidRPr="009114F6">
        <w:t xml:space="preserve">Regulatory Option </w:t>
      </w:r>
      <w:r w:rsidR="00CB0712" w:rsidRPr="009114F6">
        <w:t xml:space="preserve">C </w:t>
      </w:r>
      <w:r w:rsidRPr="009114F6">
        <w:t>– Changing Places</w:t>
      </w:r>
    </w:p>
    <w:p w:rsidR="00E66B2D" w:rsidRPr="009114F6" w:rsidRDefault="00991510" w:rsidP="00985280">
      <w:pPr>
        <w:pStyle w:val="EYBodytextwithparaspace"/>
      </w:pPr>
      <w:r w:rsidRPr="009114F6">
        <w:t xml:space="preserve">For completeness, the </w:t>
      </w:r>
      <w:r w:rsidR="00E85C27" w:rsidRPr="009114F6">
        <w:t>second option (</w:t>
      </w:r>
      <w:r w:rsidR="0044072A" w:rsidRPr="009114F6">
        <w:t>O</w:t>
      </w:r>
      <w:r w:rsidRPr="009114F6">
        <w:t>ption</w:t>
      </w:r>
      <w:r w:rsidR="0044072A" w:rsidRPr="009114F6">
        <w:t xml:space="preserve"> B</w:t>
      </w:r>
      <w:r w:rsidR="00E85C27" w:rsidRPr="009114F6">
        <w:t>)</w:t>
      </w:r>
      <w:r w:rsidR="0044072A" w:rsidRPr="009114F6">
        <w:t xml:space="preserve"> tested in</w:t>
      </w:r>
      <w:r w:rsidRPr="009114F6">
        <w:t xml:space="preserve"> the Consultation RIS</w:t>
      </w:r>
      <w:r w:rsidR="002118BF">
        <w:t xml:space="preserve"> </w:t>
      </w:r>
      <w:r w:rsidR="0044072A" w:rsidRPr="009114F6">
        <w:t>–</w:t>
      </w:r>
      <w:r w:rsidRPr="009114F6">
        <w:t xml:space="preserve"> to mandate the provision of full specification Changing Places facilities</w:t>
      </w:r>
      <w:r w:rsidR="0044072A" w:rsidRPr="009114F6">
        <w:t xml:space="preserve"> –</w:t>
      </w:r>
      <w:r w:rsidRPr="009114F6">
        <w:t xml:space="preserve"> </w:t>
      </w:r>
      <w:r w:rsidR="0044072A" w:rsidRPr="009114F6">
        <w:t xml:space="preserve">is </w:t>
      </w:r>
      <w:r w:rsidR="0095079E" w:rsidRPr="009114F6">
        <w:t xml:space="preserve">also </w:t>
      </w:r>
      <w:r w:rsidR="0044072A" w:rsidRPr="009114F6">
        <w:t>discussed</w:t>
      </w:r>
      <w:r w:rsidR="00CB0712" w:rsidRPr="009114F6">
        <w:t xml:space="preserve"> and is now Option C in th</w:t>
      </w:r>
      <w:r w:rsidR="00F04476">
        <w:t>is</w:t>
      </w:r>
      <w:r w:rsidR="00CB0712" w:rsidRPr="009114F6">
        <w:t xml:space="preserve"> Final RIS</w:t>
      </w:r>
      <w:r w:rsidRPr="009114F6">
        <w:t>.</w:t>
      </w:r>
    </w:p>
    <w:p w:rsidR="00A7038D" w:rsidRPr="009114F6" w:rsidRDefault="00991510" w:rsidP="00985280">
      <w:pPr>
        <w:pStyle w:val="EYBodytextwithparaspace"/>
      </w:pPr>
      <w:r w:rsidRPr="009114F6">
        <w:t xml:space="preserve">This </w:t>
      </w:r>
      <w:r w:rsidR="00A7038D" w:rsidRPr="009114F6">
        <w:t>option</w:t>
      </w:r>
      <w:r w:rsidRPr="009114F6">
        <w:t xml:space="preserve"> is not </w:t>
      </w:r>
      <w:r w:rsidR="0044072A" w:rsidRPr="009114F6">
        <w:t xml:space="preserve">the central case </w:t>
      </w:r>
      <w:r w:rsidRPr="009114F6">
        <w:t xml:space="preserve">for the following </w:t>
      </w:r>
      <w:r w:rsidR="00A7038D" w:rsidRPr="009114F6">
        <w:t>reasons</w:t>
      </w:r>
      <w:r w:rsidRPr="009114F6">
        <w:t>:</w:t>
      </w:r>
    </w:p>
    <w:p w:rsidR="00A7038D" w:rsidRPr="009114F6" w:rsidRDefault="0044072A" w:rsidP="006117C6">
      <w:pPr>
        <w:pStyle w:val="EYBulletedText1"/>
      </w:pPr>
      <w:r w:rsidRPr="009114F6">
        <w:t>I</w:t>
      </w:r>
      <w:r w:rsidR="00991510" w:rsidRPr="009114F6">
        <w:t xml:space="preserve">t is </w:t>
      </w:r>
      <w:r w:rsidRPr="009114F6">
        <w:t xml:space="preserve">less </w:t>
      </w:r>
      <w:r w:rsidR="00991510" w:rsidRPr="009114F6">
        <w:t>desirable</w:t>
      </w:r>
      <w:r w:rsidRPr="009114F6">
        <w:t xml:space="preserve"> from a cost benefit perspective</w:t>
      </w:r>
      <w:r w:rsidR="00991510" w:rsidRPr="009114F6">
        <w:t xml:space="preserve">, since the minimum </w:t>
      </w:r>
      <w:r w:rsidR="00A7038D" w:rsidRPr="009114F6">
        <w:t>necessary</w:t>
      </w:r>
      <w:r w:rsidR="00991510" w:rsidRPr="009114F6">
        <w:t xml:space="preserve"> </w:t>
      </w:r>
      <w:r w:rsidR="00A7038D" w:rsidRPr="009114F6">
        <w:t>specifications</w:t>
      </w:r>
      <w:r w:rsidR="00991510" w:rsidRPr="009114F6">
        <w:t xml:space="preserve"> </w:t>
      </w:r>
      <w:r w:rsidR="00A7038D" w:rsidRPr="009114F6">
        <w:t xml:space="preserve">are sufficient for the benefits to be generated. </w:t>
      </w:r>
    </w:p>
    <w:p w:rsidR="00A7038D" w:rsidRPr="009114F6" w:rsidRDefault="00A7038D" w:rsidP="006117C6">
      <w:pPr>
        <w:pStyle w:val="EYBulletedText1"/>
      </w:pPr>
      <w:r w:rsidRPr="009114F6">
        <w:t xml:space="preserve">Stakeholders were unanimous in their commentary that regulation should only mandate the ‘basic’ </w:t>
      </w:r>
      <w:r w:rsidR="007B7E1B" w:rsidRPr="009114F6">
        <w:t>facilities</w:t>
      </w:r>
      <w:r w:rsidRPr="009114F6">
        <w:t xml:space="preserve">, as </w:t>
      </w:r>
      <w:r w:rsidR="007B7E1B" w:rsidRPr="009114F6">
        <w:t>illustrated</w:t>
      </w:r>
      <w:r w:rsidRPr="009114F6">
        <w:t xml:space="preserve"> by the following excerpt from </w:t>
      </w:r>
      <w:r w:rsidR="007B7E1B" w:rsidRPr="009114F6">
        <w:t>a disability advocate’s submission.</w:t>
      </w:r>
    </w:p>
    <w:p w:rsidR="00991510" w:rsidRPr="009114F6" w:rsidRDefault="00A7038D" w:rsidP="00145CFE">
      <w:pPr>
        <w:pStyle w:val="EYBulletedText2"/>
        <w:numPr>
          <w:ilvl w:val="0"/>
          <w:numId w:val="0"/>
        </w:numPr>
        <w:ind w:left="850"/>
        <w:rPr>
          <w:i/>
        </w:rPr>
      </w:pPr>
      <w:r w:rsidRPr="009114F6">
        <w:rPr>
          <w:i/>
        </w:rPr>
        <w:t>“The basic facilities mandated by regulation should be adequate for the job, not top shelf</w:t>
      </w:r>
      <w:r w:rsidR="002118BF">
        <w:rPr>
          <w:i/>
        </w:rPr>
        <w:t>.</w:t>
      </w:r>
      <w:r w:rsidRPr="009114F6">
        <w:rPr>
          <w:i/>
        </w:rPr>
        <w:t>”</w:t>
      </w:r>
    </w:p>
    <w:p w:rsidR="00E66B2D" w:rsidRPr="009114F6" w:rsidRDefault="00A7038D" w:rsidP="00EB0012">
      <w:pPr>
        <w:pStyle w:val="EYBulletedText1"/>
      </w:pPr>
      <w:r w:rsidRPr="009114F6">
        <w:t xml:space="preserve">It was also commented that the peninsula toilets specified in the Changing Places </w:t>
      </w:r>
      <w:r w:rsidR="0044072A" w:rsidRPr="009114F6">
        <w:t xml:space="preserve">specification </w:t>
      </w:r>
      <w:r w:rsidRPr="009114F6">
        <w:t>would actually serve to exclude certain people</w:t>
      </w:r>
      <w:r w:rsidR="007B7E1B" w:rsidRPr="009114F6">
        <w:t xml:space="preserve"> in need of an AACF</w:t>
      </w:r>
      <w:r w:rsidR="0044072A" w:rsidRPr="009114F6">
        <w:t xml:space="preserve"> or SASF</w:t>
      </w:r>
      <w:r w:rsidR="007B7E1B" w:rsidRPr="009114F6">
        <w:t xml:space="preserve"> </w:t>
      </w:r>
      <w:r w:rsidR="0044072A" w:rsidRPr="009114F6">
        <w:t>(those unable to use a</w:t>
      </w:r>
      <w:r w:rsidR="0058549A">
        <w:t xml:space="preserve"> peninsula</w:t>
      </w:r>
      <w:r w:rsidR="007B7E1B" w:rsidRPr="009114F6">
        <w:t xml:space="preserve"> toilet</w:t>
      </w:r>
      <w:r w:rsidR="0044072A" w:rsidRPr="009114F6">
        <w:t>)</w:t>
      </w:r>
      <w:r w:rsidR="007B7E1B" w:rsidRPr="009114F6">
        <w:t>. Shoalhaven City Council stated in its submission:</w:t>
      </w:r>
      <w:r w:rsidRPr="009114F6">
        <w:t xml:space="preserve"> </w:t>
      </w:r>
    </w:p>
    <w:p w:rsidR="006F68B6" w:rsidRPr="006F68B6" w:rsidRDefault="007B7E1B" w:rsidP="006F68B6">
      <w:pPr>
        <w:pStyle w:val="EYBodytextwithparaspace"/>
        <w:ind w:left="425"/>
        <w:rPr>
          <w:b/>
          <w:i/>
        </w:rPr>
      </w:pPr>
      <w:r w:rsidRPr="006F68B6">
        <w:rPr>
          <w:i/>
        </w:rPr>
        <w:t>“Local wheelchair users who self-transfer to the toilet tell us that they are prevented from using the</w:t>
      </w:r>
      <w:r w:rsidR="0058549A">
        <w:rPr>
          <w:i/>
        </w:rPr>
        <w:t xml:space="preserve"> peninsula</w:t>
      </w:r>
      <w:r w:rsidRPr="006F68B6">
        <w:rPr>
          <w:i/>
        </w:rPr>
        <w:t xml:space="preserve"> style toilets because the lift away handrails do not provide adequate support and stability for them to use the toilet independently. Further investigation is needed as to design of peninsula toilet. There may be a perception of segregating persons with disabilities whereas there is an opportunity for inclusivity by enabling all to use the one facility</w:t>
      </w:r>
      <w:r w:rsidR="007E1DA3" w:rsidRPr="006F68B6">
        <w:rPr>
          <w:i/>
        </w:rPr>
        <w:t>.</w:t>
      </w:r>
      <w:r w:rsidRPr="006F68B6">
        <w:rPr>
          <w:i/>
        </w:rPr>
        <w:t>”</w:t>
      </w:r>
      <w:r w:rsidR="00391453" w:rsidRPr="006F68B6">
        <w:rPr>
          <w:i/>
        </w:rPr>
        <w:t xml:space="preserve"> </w:t>
      </w:r>
      <w:bookmarkStart w:id="521" w:name="_Ref519511169"/>
    </w:p>
    <w:p w:rsidR="009975BB" w:rsidRPr="00400534" w:rsidRDefault="009975BB" w:rsidP="00366EBC">
      <w:pPr>
        <w:pStyle w:val="Modifiedheading3"/>
        <w:rPr>
          <w:b/>
        </w:rPr>
      </w:pPr>
      <w:r w:rsidRPr="00400534">
        <w:rPr>
          <w:b/>
        </w:rPr>
        <w:lastRenderedPageBreak/>
        <w:t>Non-regulatory option</w:t>
      </w:r>
      <w:bookmarkEnd w:id="521"/>
    </w:p>
    <w:p w:rsidR="00366EBC" w:rsidRDefault="00366EBC" w:rsidP="00366EBC">
      <w:pPr>
        <w:pStyle w:val="EYBodytextwithparaspace"/>
      </w:pPr>
      <w:r>
        <w:t xml:space="preserve">Our analysis assumes that </w:t>
      </w:r>
      <w:r w:rsidR="00F04476">
        <w:t>g</w:t>
      </w:r>
      <w:r>
        <w:t>overnment</w:t>
      </w:r>
      <w:r w:rsidR="00F04476">
        <w:t>s</w:t>
      </w:r>
      <w:r>
        <w:t xml:space="preserve"> incentivise the construction of AACFs by way of direct financial subsidies that are assumed to cover the entire capital costs. These would be in addition to the financial subsidies that already exist. In this instance we have assumed that governments will meet all the capital costs of the AACF, whereby the operator of the building will then meet ongoing operating costs. </w:t>
      </w:r>
    </w:p>
    <w:p w:rsidR="00366EBC" w:rsidRDefault="00366EBC" w:rsidP="00985280">
      <w:pPr>
        <w:pStyle w:val="EYBodytextwithparaspace"/>
      </w:pPr>
      <w:r>
        <w:t xml:space="preserve">The estimated building profile under both the regulatory and non-regulatory scenarios is presented in </w:t>
      </w:r>
      <w:r>
        <w:fldChar w:fldCharType="begin"/>
      </w:r>
      <w:r>
        <w:instrText xml:space="preserve"> REF _Ref506302826 \n \h </w:instrText>
      </w:r>
      <w:r>
        <w:fldChar w:fldCharType="separate"/>
      </w:r>
      <w:r w:rsidR="00910A73">
        <w:t>Appendix B</w:t>
      </w:r>
      <w:r>
        <w:fldChar w:fldCharType="end"/>
      </w:r>
      <w:r>
        <w:t>. For the non-regulatory scenario, it is necessary to define the proportion of prospective buildings assumed to install a f</w:t>
      </w:r>
      <w:r w:rsidR="0000071D">
        <w:t xml:space="preserve">acility under a grants system. </w:t>
      </w:r>
      <w:r>
        <w:t>This was estimated as follows:</w:t>
      </w:r>
    </w:p>
    <w:p w:rsidR="00366EBC" w:rsidRDefault="00366EBC" w:rsidP="00985280">
      <w:pPr>
        <w:pStyle w:val="EYBulletedText1"/>
      </w:pPr>
      <w:r>
        <w:t xml:space="preserve">It is noted that Victoria has 52 AACFs which, given facilities started to come on line from around 2010, equates to approximately 6 facilities per year. </w:t>
      </w:r>
    </w:p>
    <w:p w:rsidR="00366EBC" w:rsidRDefault="00366EBC" w:rsidP="00985280">
      <w:pPr>
        <w:pStyle w:val="EYBulletedText1"/>
      </w:pPr>
      <w:r>
        <w:t xml:space="preserve">Using this figure for other states (factoring up by the proportional difference in the core cohort population), gives an estimated total of 22 AACFs per year.  </w:t>
      </w:r>
    </w:p>
    <w:p w:rsidR="00366EBC" w:rsidRDefault="00366EBC" w:rsidP="00985280">
      <w:pPr>
        <w:pStyle w:val="EYBulletedText1"/>
      </w:pPr>
      <w:r>
        <w:t>Assuming one facility per building, this equates to, on average, around 60% of the estimated total from IBIS World. Thus, it is assumed that under the non-regulatory option 60% of projected buildings will install an AACF.</w:t>
      </w:r>
    </w:p>
    <w:p w:rsidR="00366EBC" w:rsidRDefault="00366EBC" w:rsidP="00985280">
      <w:pPr>
        <w:pStyle w:val="EYBulletedText1"/>
      </w:pPr>
      <w:r>
        <w:t>Finally, an adjustment is made to ensure whole numbers – for example, a figure of 3.6 is rounded down to 3.</w:t>
      </w:r>
    </w:p>
    <w:p w:rsidR="00366EBC" w:rsidRPr="00400534" w:rsidRDefault="00366EBC" w:rsidP="00400534">
      <w:pPr>
        <w:pStyle w:val="EYBodytextwithparaspace"/>
      </w:pPr>
      <w:r w:rsidRPr="00421747">
        <w:t xml:space="preserve">The estimated costs under the non-regulatory option </w:t>
      </w:r>
      <w:r w:rsidRPr="00E14718">
        <w:t>are provided in</w:t>
      </w:r>
      <w:r w:rsidR="006A6843">
        <w:t xml:space="preserve"> </w:t>
      </w:r>
      <w:r w:rsidR="006A6843">
        <w:fldChar w:fldCharType="begin"/>
      </w:r>
      <w:r w:rsidR="006A6843">
        <w:instrText xml:space="preserve"> REF _Ref521486349 \h </w:instrText>
      </w:r>
      <w:r w:rsidR="006A6843">
        <w:fldChar w:fldCharType="separate"/>
      </w:r>
      <w:r w:rsidR="00910A73" w:rsidRPr="0036126D">
        <w:t xml:space="preserve">Table </w:t>
      </w:r>
      <w:r w:rsidR="00910A73">
        <w:rPr>
          <w:noProof/>
        </w:rPr>
        <w:t>7</w:t>
      </w:r>
      <w:r w:rsidR="00910A73">
        <w:noBreakHyphen/>
      </w:r>
      <w:r w:rsidR="00910A73">
        <w:rPr>
          <w:noProof/>
        </w:rPr>
        <w:t>5</w:t>
      </w:r>
      <w:r w:rsidR="006A6843">
        <w:fldChar w:fldCharType="end"/>
      </w:r>
      <w:r w:rsidRPr="00400534">
        <w:t>.</w:t>
      </w:r>
    </w:p>
    <w:p w:rsidR="00366EBC" w:rsidRPr="0036126D" w:rsidRDefault="00366EBC" w:rsidP="00366EBC">
      <w:pPr>
        <w:pStyle w:val="Caption"/>
        <w:keepNext/>
      </w:pPr>
      <w:bookmarkStart w:id="522" w:name="_Ref521486349"/>
      <w:bookmarkStart w:id="523" w:name="_Ref519510871"/>
      <w:bookmarkStart w:id="524" w:name="_Ref523150587"/>
      <w:bookmarkStart w:id="525" w:name="_Toc525897819"/>
      <w:r w:rsidRPr="0036126D">
        <w:t xml:space="preserve">Table </w:t>
      </w:r>
      <w:r w:rsidR="00D128AA">
        <w:rPr>
          <w:noProof/>
        </w:rPr>
        <w:fldChar w:fldCharType="begin"/>
      </w:r>
      <w:r w:rsidR="00D128AA">
        <w:rPr>
          <w:noProof/>
        </w:rPr>
        <w:instrText xml:space="preserve"> STYLEREF 1 \s </w:instrText>
      </w:r>
      <w:r w:rsidR="00D128AA">
        <w:rPr>
          <w:noProof/>
        </w:rPr>
        <w:fldChar w:fldCharType="separate"/>
      </w:r>
      <w:r w:rsidR="00910A73">
        <w:rPr>
          <w:noProof/>
        </w:rPr>
        <w:t>7</w:t>
      </w:r>
      <w:r w:rsidR="00D128AA">
        <w:rPr>
          <w:noProof/>
        </w:rPr>
        <w:fldChar w:fldCharType="end"/>
      </w:r>
      <w:r w:rsidR="00325A73">
        <w:noBreakHyphen/>
      </w:r>
      <w:r w:rsidR="00D128AA">
        <w:rPr>
          <w:noProof/>
        </w:rPr>
        <w:fldChar w:fldCharType="begin"/>
      </w:r>
      <w:r w:rsidR="00D128AA">
        <w:rPr>
          <w:noProof/>
        </w:rPr>
        <w:instrText xml:space="preserve"> SEQ Table \* ARABIC \s 1 </w:instrText>
      </w:r>
      <w:r w:rsidR="00D128AA">
        <w:rPr>
          <w:noProof/>
        </w:rPr>
        <w:fldChar w:fldCharType="separate"/>
      </w:r>
      <w:r w:rsidR="00910A73">
        <w:rPr>
          <w:noProof/>
        </w:rPr>
        <w:t>5</w:t>
      </w:r>
      <w:r w:rsidR="00D128AA">
        <w:rPr>
          <w:noProof/>
        </w:rPr>
        <w:fldChar w:fldCharType="end"/>
      </w:r>
      <w:bookmarkEnd w:id="522"/>
      <w:bookmarkEnd w:id="523"/>
      <w:r w:rsidRPr="0036126D">
        <w:t xml:space="preserve">: Modelling results for </w:t>
      </w:r>
      <w:r>
        <w:t>non-regulatory scenario</w:t>
      </w:r>
      <w:bookmarkEnd w:id="524"/>
      <w:bookmarkEnd w:id="525"/>
      <w:r w:rsidRPr="0036126D">
        <w:t xml:space="preserve"> </w:t>
      </w:r>
    </w:p>
    <w:tbl>
      <w:tblPr>
        <w:tblW w:w="9629" w:type="dxa"/>
        <w:tblLook w:val="04A0" w:firstRow="1" w:lastRow="0" w:firstColumn="1" w:lastColumn="0" w:noHBand="0" w:noVBand="1"/>
        <w:tblCaption w:val="Table 7 5: Modelling results for non-regulatory scenario"/>
        <w:tblDescription w:val="Modelling results for the non-regulatory scenario."/>
      </w:tblPr>
      <w:tblGrid>
        <w:gridCol w:w="2684"/>
        <w:gridCol w:w="1440"/>
        <w:gridCol w:w="1562"/>
        <w:gridCol w:w="2101"/>
        <w:gridCol w:w="1842"/>
      </w:tblGrid>
      <w:tr w:rsidR="00366EBC" w:rsidRPr="00366EBC" w:rsidTr="00DD6CB8">
        <w:trPr>
          <w:trHeight w:val="300"/>
        </w:trPr>
        <w:tc>
          <w:tcPr>
            <w:tcW w:w="2684" w:type="dxa"/>
            <w:tcBorders>
              <w:top w:val="single" w:sz="8" w:space="0" w:color="C0C0C0"/>
              <w:left w:val="single" w:sz="8" w:space="0" w:color="C0C0C0"/>
              <w:bottom w:val="single" w:sz="8" w:space="0" w:color="C0C0C0"/>
              <w:right w:val="single" w:sz="8" w:space="0" w:color="C0C0C0"/>
            </w:tcBorders>
            <w:shd w:val="clear" w:color="000000" w:fill="808080"/>
            <w:noWrap/>
            <w:vAlign w:val="center"/>
            <w:hideMark/>
          </w:tcPr>
          <w:p w:rsidR="00366EBC" w:rsidRPr="00DD6CB8" w:rsidRDefault="00366EBC" w:rsidP="00DD6CB8">
            <w:pPr>
              <w:spacing w:before="60" w:after="60" w:line="240" w:lineRule="auto"/>
              <w:jc w:val="left"/>
              <w:rPr>
                <w:rFonts w:eastAsia="Times New Roman" w:cs="Arial"/>
                <w:color w:val="FFFFFF"/>
                <w:sz w:val="20"/>
                <w:szCs w:val="20"/>
                <w:lang w:eastAsia="en-AU"/>
              </w:rPr>
            </w:pPr>
            <w:r w:rsidRPr="00DD6CB8">
              <w:rPr>
                <w:rFonts w:eastAsia="Times New Roman" w:cs="Arial"/>
                <w:color w:val="FFFFFF"/>
                <w:sz w:val="20"/>
                <w:szCs w:val="20"/>
                <w:lang w:eastAsia="en-AU"/>
              </w:rPr>
              <w:t>Change in costs ($million)</w:t>
            </w:r>
          </w:p>
        </w:tc>
        <w:tc>
          <w:tcPr>
            <w:tcW w:w="1440" w:type="dxa"/>
            <w:tcBorders>
              <w:top w:val="single" w:sz="8" w:space="0" w:color="C0C0C0"/>
              <w:left w:val="nil"/>
              <w:bottom w:val="single" w:sz="8" w:space="0" w:color="C0C0C0"/>
              <w:right w:val="single" w:sz="8" w:space="0" w:color="C0C0C0"/>
            </w:tcBorders>
            <w:shd w:val="clear" w:color="000000" w:fill="808080"/>
            <w:noWrap/>
            <w:vAlign w:val="center"/>
            <w:hideMark/>
          </w:tcPr>
          <w:p w:rsidR="00366EBC" w:rsidRPr="00DD6CB8" w:rsidRDefault="00366EBC" w:rsidP="00DD6CB8">
            <w:pPr>
              <w:spacing w:before="60" w:after="60" w:line="240" w:lineRule="auto"/>
              <w:jc w:val="left"/>
              <w:rPr>
                <w:rFonts w:eastAsia="Times New Roman" w:cs="Arial"/>
                <w:color w:val="FFFFFF"/>
                <w:sz w:val="20"/>
                <w:szCs w:val="20"/>
                <w:lang w:eastAsia="en-AU"/>
              </w:rPr>
            </w:pPr>
            <w:r w:rsidRPr="00DD6CB8">
              <w:rPr>
                <w:rFonts w:eastAsia="Times New Roman" w:cs="Arial"/>
                <w:color w:val="FFFFFF"/>
                <w:sz w:val="20"/>
                <w:szCs w:val="20"/>
                <w:lang w:eastAsia="en-AU"/>
              </w:rPr>
              <w:t>Business</w:t>
            </w:r>
          </w:p>
        </w:tc>
        <w:tc>
          <w:tcPr>
            <w:tcW w:w="1562" w:type="dxa"/>
            <w:tcBorders>
              <w:top w:val="single" w:sz="8" w:space="0" w:color="C0C0C0"/>
              <w:left w:val="nil"/>
              <w:bottom w:val="single" w:sz="8" w:space="0" w:color="C0C0C0"/>
              <w:right w:val="single" w:sz="8" w:space="0" w:color="C0C0C0"/>
            </w:tcBorders>
            <w:shd w:val="clear" w:color="000000" w:fill="808080"/>
            <w:noWrap/>
            <w:vAlign w:val="center"/>
            <w:hideMark/>
          </w:tcPr>
          <w:p w:rsidR="00366EBC" w:rsidRPr="00DD6CB8" w:rsidRDefault="00366EBC" w:rsidP="00DD6CB8">
            <w:pPr>
              <w:spacing w:before="60" w:after="60" w:line="240" w:lineRule="auto"/>
              <w:jc w:val="left"/>
              <w:rPr>
                <w:rFonts w:eastAsia="Times New Roman" w:cs="Arial"/>
                <w:color w:val="FFFFFF"/>
                <w:sz w:val="20"/>
                <w:szCs w:val="20"/>
                <w:lang w:eastAsia="en-AU"/>
              </w:rPr>
            </w:pPr>
            <w:r w:rsidRPr="00DD6CB8">
              <w:rPr>
                <w:rFonts w:eastAsia="Times New Roman" w:cs="Arial"/>
                <w:color w:val="FFFFFF"/>
                <w:sz w:val="20"/>
                <w:szCs w:val="20"/>
                <w:lang w:eastAsia="en-AU"/>
              </w:rPr>
              <w:t>Government</w:t>
            </w:r>
          </w:p>
        </w:tc>
        <w:tc>
          <w:tcPr>
            <w:tcW w:w="2101" w:type="dxa"/>
            <w:tcBorders>
              <w:top w:val="single" w:sz="8" w:space="0" w:color="C0C0C0"/>
              <w:left w:val="nil"/>
              <w:bottom w:val="single" w:sz="8" w:space="0" w:color="C0C0C0"/>
              <w:right w:val="single" w:sz="8" w:space="0" w:color="C0C0C0"/>
            </w:tcBorders>
            <w:shd w:val="clear" w:color="000000" w:fill="808080"/>
            <w:noWrap/>
            <w:vAlign w:val="center"/>
            <w:hideMark/>
          </w:tcPr>
          <w:p w:rsidR="00366EBC" w:rsidRPr="00DD6CB8" w:rsidRDefault="00366EBC" w:rsidP="00DD6CB8">
            <w:pPr>
              <w:spacing w:before="60" w:after="60" w:line="240" w:lineRule="auto"/>
              <w:jc w:val="left"/>
              <w:rPr>
                <w:rFonts w:eastAsia="Times New Roman" w:cs="Arial"/>
                <w:color w:val="FFFFFF"/>
                <w:sz w:val="20"/>
                <w:szCs w:val="20"/>
                <w:lang w:eastAsia="en-AU"/>
              </w:rPr>
            </w:pPr>
            <w:r w:rsidRPr="00DD6CB8">
              <w:rPr>
                <w:rFonts w:eastAsia="Times New Roman" w:cs="Arial"/>
                <w:color w:val="FFFFFF"/>
                <w:sz w:val="20"/>
                <w:szCs w:val="20"/>
                <w:lang w:eastAsia="en-AU"/>
              </w:rPr>
              <w:t>Individuals</w:t>
            </w:r>
          </w:p>
        </w:tc>
        <w:tc>
          <w:tcPr>
            <w:tcW w:w="1842" w:type="dxa"/>
            <w:tcBorders>
              <w:top w:val="single" w:sz="8" w:space="0" w:color="C0C0C0"/>
              <w:left w:val="nil"/>
              <w:bottom w:val="single" w:sz="8" w:space="0" w:color="C0C0C0"/>
              <w:right w:val="single" w:sz="8" w:space="0" w:color="C0C0C0"/>
            </w:tcBorders>
            <w:shd w:val="clear" w:color="000000" w:fill="808080"/>
            <w:noWrap/>
            <w:vAlign w:val="center"/>
            <w:hideMark/>
          </w:tcPr>
          <w:p w:rsidR="00366EBC" w:rsidRPr="00DD6CB8" w:rsidRDefault="00366EBC" w:rsidP="00DD6CB8">
            <w:pPr>
              <w:spacing w:before="60" w:after="60" w:line="240" w:lineRule="auto"/>
              <w:jc w:val="left"/>
              <w:rPr>
                <w:rFonts w:eastAsia="Times New Roman" w:cs="Arial"/>
                <w:color w:val="FFFFFF"/>
                <w:sz w:val="20"/>
                <w:szCs w:val="20"/>
                <w:lang w:eastAsia="en-AU"/>
              </w:rPr>
            </w:pPr>
            <w:r w:rsidRPr="00DD6CB8">
              <w:rPr>
                <w:rFonts w:eastAsia="Times New Roman" w:cs="Arial"/>
                <w:color w:val="FFFFFF"/>
                <w:sz w:val="20"/>
                <w:szCs w:val="20"/>
                <w:lang w:eastAsia="en-AU"/>
              </w:rPr>
              <w:t>Total cost</w:t>
            </w:r>
          </w:p>
        </w:tc>
      </w:tr>
      <w:tr w:rsidR="00835216" w:rsidRPr="00366EBC" w:rsidTr="00DD6CB8">
        <w:trPr>
          <w:trHeight w:val="300"/>
        </w:trPr>
        <w:tc>
          <w:tcPr>
            <w:tcW w:w="2684" w:type="dxa"/>
            <w:tcBorders>
              <w:top w:val="nil"/>
              <w:left w:val="single" w:sz="8" w:space="0" w:color="C0C0C0"/>
              <w:bottom w:val="single" w:sz="8" w:space="0" w:color="C0C0C0"/>
              <w:right w:val="single" w:sz="8" w:space="0" w:color="C0C0C0"/>
            </w:tcBorders>
            <w:shd w:val="clear" w:color="auto" w:fill="auto"/>
            <w:noWrap/>
            <w:vAlign w:val="center"/>
            <w:hideMark/>
          </w:tcPr>
          <w:p w:rsidR="00835216" w:rsidRPr="00DD6CB8" w:rsidRDefault="00835216" w:rsidP="00602F49">
            <w:pPr>
              <w:spacing w:after="0" w:line="240" w:lineRule="auto"/>
              <w:jc w:val="left"/>
              <w:rPr>
                <w:rFonts w:eastAsia="Times New Roman" w:cs="Arial"/>
                <w:color w:val="000000"/>
                <w:sz w:val="20"/>
                <w:szCs w:val="20"/>
                <w:lang w:eastAsia="en-AU"/>
              </w:rPr>
            </w:pPr>
            <w:r w:rsidRPr="00DD6CB8">
              <w:rPr>
                <w:rFonts w:eastAsia="Times New Roman" w:cs="Arial"/>
                <w:color w:val="000000"/>
                <w:sz w:val="20"/>
                <w:szCs w:val="20"/>
                <w:lang w:eastAsia="en-AU"/>
              </w:rPr>
              <w:t>Non-regulatory option</w:t>
            </w:r>
          </w:p>
        </w:tc>
        <w:tc>
          <w:tcPr>
            <w:tcW w:w="1440" w:type="dxa"/>
            <w:tcBorders>
              <w:top w:val="nil"/>
              <w:left w:val="nil"/>
              <w:bottom w:val="single" w:sz="8" w:space="0" w:color="C0C0C0"/>
              <w:right w:val="single" w:sz="8" w:space="0" w:color="C0C0C0"/>
            </w:tcBorders>
            <w:shd w:val="clear" w:color="auto" w:fill="auto"/>
            <w:noWrap/>
            <w:vAlign w:val="center"/>
            <w:hideMark/>
          </w:tcPr>
          <w:p w:rsidR="00835216" w:rsidRPr="00DD6CB8" w:rsidRDefault="00835216" w:rsidP="007E113B">
            <w:pPr>
              <w:spacing w:after="0" w:line="240" w:lineRule="auto"/>
              <w:jc w:val="right"/>
              <w:rPr>
                <w:rFonts w:eastAsia="Times New Roman" w:cs="Arial"/>
                <w:color w:val="000000"/>
                <w:sz w:val="20"/>
                <w:szCs w:val="20"/>
                <w:lang w:eastAsia="en-AU"/>
              </w:rPr>
            </w:pPr>
            <w:r w:rsidRPr="00DD6CB8">
              <w:rPr>
                <w:rFonts w:eastAsia="Times New Roman" w:cs="Arial"/>
                <w:color w:val="000000"/>
                <w:sz w:val="20"/>
                <w:szCs w:val="20"/>
                <w:lang w:eastAsia="en-AU"/>
              </w:rPr>
              <w:t>$8,920,008</w:t>
            </w:r>
          </w:p>
        </w:tc>
        <w:tc>
          <w:tcPr>
            <w:tcW w:w="1562" w:type="dxa"/>
            <w:tcBorders>
              <w:top w:val="nil"/>
              <w:left w:val="nil"/>
              <w:bottom w:val="single" w:sz="8" w:space="0" w:color="C0C0C0"/>
              <w:right w:val="single" w:sz="8" w:space="0" w:color="C0C0C0"/>
            </w:tcBorders>
            <w:shd w:val="clear" w:color="auto" w:fill="auto"/>
            <w:noWrap/>
            <w:vAlign w:val="center"/>
            <w:hideMark/>
          </w:tcPr>
          <w:p w:rsidR="00835216" w:rsidRPr="00DD6CB8" w:rsidRDefault="00835216" w:rsidP="007E113B">
            <w:pPr>
              <w:spacing w:after="0" w:line="240" w:lineRule="auto"/>
              <w:jc w:val="right"/>
              <w:rPr>
                <w:rFonts w:eastAsia="Times New Roman" w:cs="Arial"/>
                <w:color w:val="000000"/>
                <w:sz w:val="20"/>
                <w:szCs w:val="20"/>
                <w:lang w:eastAsia="en-AU"/>
              </w:rPr>
            </w:pPr>
            <w:r w:rsidRPr="00DD6CB8">
              <w:rPr>
                <w:rFonts w:cs="Arial"/>
                <w:color w:val="000000"/>
                <w:sz w:val="20"/>
                <w:szCs w:val="20"/>
              </w:rPr>
              <w:t>$16,330,981</w:t>
            </w:r>
          </w:p>
        </w:tc>
        <w:tc>
          <w:tcPr>
            <w:tcW w:w="2101" w:type="dxa"/>
            <w:tcBorders>
              <w:top w:val="nil"/>
              <w:left w:val="nil"/>
              <w:bottom w:val="single" w:sz="8" w:space="0" w:color="C0C0C0"/>
              <w:right w:val="single" w:sz="8" w:space="0" w:color="C0C0C0"/>
            </w:tcBorders>
            <w:shd w:val="clear" w:color="auto" w:fill="auto"/>
            <w:noWrap/>
            <w:vAlign w:val="center"/>
            <w:hideMark/>
          </w:tcPr>
          <w:p w:rsidR="00835216" w:rsidRPr="00DD6CB8" w:rsidRDefault="00835216" w:rsidP="007E113B">
            <w:pPr>
              <w:spacing w:after="0" w:line="240" w:lineRule="auto"/>
              <w:jc w:val="right"/>
              <w:rPr>
                <w:rFonts w:eastAsia="Times New Roman" w:cs="Arial"/>
                <w:color w:val="000000"/>
                <w:sz w:val="20"/>
                <w:szCs w:val="20"/>
                <w:lang w:eastAsia="en-AU"/>
              </w:rPr>
            </w:pPr>
            <w:r w:rsidRPr="00DD6CB8">
              <w:rPr>
                <w:rFonts w:cs="Arial"/>
                <w:color w:val="000000"/>
                <w:sz w:val="20"/>
                <w:szCs w:val="20"/>
              </w:rPr>
              <w:t>$0</w:t>
            </w:r>
          </w:p>
        </w:tc>
        <w:tc>
          <w:tcPr>
            <w:tcW w:w="1842" w:type="dxa"/>
            <w:tcBorders>
              <w:top w:val="nil"/>
              <w:left w:val="nil"/>
              <w:bottom w:val="single" w:sz="8" w:space="0" w:color="C0C0C0"/>
              <w:right w:val="single" w:sz="8" w:space="0" w:color="C0C0C0"/>
            </w:tcBorders>
            <w:shd w:val="clear" w:color="auto" w:fill="auto"/>
            <w:noWrap/>
            <w:vAlign w:val="center"/>
            <w:hideMark/>
          </w:tcPr>
          <w:p w:rsidR="00835216" w:rsidRPr="00DD6CB8" w:rsidRDefault="00835216" w:rsidP="007E113B">
            <w:pPr>
              <w:spacing w:after="0" w:line="240" w:lineRule="auto"/>
              <w:jc w:val="right"/>
              <w:rPr>
                <w:rFonts w:eastAsia="Times New Roman" w:cs="Arial"/>
                <w:color w:val="000000"/>
                <w:sz w:val="20"/>
                <w:szCs w:val="20"/>
                <w:lang w:eastAsia="en-AU"/>
              </w:rPr>
            </w:pPr>
            <w:r w:rsidRPr="00DD6CB8">
              <w:rPr>
                <w:rFonts w:cs="Arial"/>
                <w:color w:val="000000"/>
                <w:sz w:val="20"/>
                <w:szCs w:val="20"/>
              </w:rPr>
              <w:t>$25,250,989</w:t>
            </w:r>
          </w:p>
        </w:tc>
      </w:tr>
    </w:tbl>
    <w:p w:rsidR="00787A46" w:rsidRPr="00DD6CB8" w:rsidRDefault="00787A46" w:rsidP="00DD6CB8">
      <w:pPr>
        <w:autoSpaceDE w:val="0"/>
        <w:autoSpaceDN w:val="0"/>
        <w:spacing w:after="0" w:line="240" w:lineRule="auto"/>
        <w:rPr>
          <w:rFonts w:ascii="Calibri" w:hAnsi="Calibri"/>
          <w:sz w:val="22"/>
          <w:highlight w:val="yellow"/>
        </w:rPr>
      </w:pPr>
    </w:p>
    <w:p w:rsidR="0089652B" w:rsidRPr="009114F6" w:rsidRDefault="0089652B" w:rsidP="00E14718">
      <w:pPr>
        <w:pStyle w:val="Modifiedheading3"/>
      </w:pPr>
      <w:r w:rsidRPr="00421747">
        <w:rPr>
          <w:b/>
        </w:rPr>
        <w:t>Estimat</w:t>
      </w:r>
      <w:r w:rsidR="007C5647" w:rsidRPr="00421747">
        <w:rPr>
          <w:b/>
        </w:rPr>
        <w:t>ing the</w:t>
      </w:r>
      <w:r w:rsidRPr="00421747">
        <w:rPr>
          <w:b/>
        </w:rPr>
        <w:t xml:space="preserve"> </w:t>
      </w:r>
      <w:r w:rsidR="00CC6F6D" w:rsidRPr="00421747">
        <w:rPr>
          <w:b/>
        </w:rPr>
        <w:t>whole</w:t>
      </w:r>
      <w:r w:rsidR="00CC6F6D">
        <w:rPr>
          <w:b/>
        </w:rPr>
        <w:t>-</w:t>
      </w:r>
      <w:r w:rsidR="00CC6F6D" w:rsidRPr="00421747">
        <w:rPr>
          <w:b/>
        </w:rPr>
        <w:t>of</w:t>
      </w:r>
      <w:r w:rsidR="00CC6F6D">
        <w:rPr>
          <w:b/>
        </w:rPr>
        <w:t>-</w:t>
      </w:r>
      <w:r w:rsidRPr="00421747">
        <w:rPr>
          <w:b/>
        </w:rPr>
        <w:t>economy impact</w:t>
      </w:r>
      <w:r w:rsidR="007C5647" w:rsidRPr="00421747">
        <w:rPr>
          <w:b/>
        </w:rPr>
        <w:t>s of the regulatory proposal</w:t>
      </w:r>
      <w:r w:rsidR="0095079E" w:rsidRPr="00421747">
        <w:rPr>
          <w:b/>
        </w:rPr>
        <w:t xml:space="preserve"> </w:t>
      </w:r>
    </w:p>
    <w:p w:rsidR="00FD0417" w:rsidRPr="009114F6" w:rsidRDefault="00FA1C06" w:rsidP="00985280">
      <w:pPr>
        <w:pStyle w:val="EYBodytextwithparaspace"/>
        <w:rPr>
          <w:bCs/>
          <w:color w:val="000000" w:themeColor="text1"/>
          <w:szCs w:val="18"/>
        </w:rPr>
      </w:pPr>
      <w:r w:rsidRPr="009114F6">
        <w:t xml:space="preserve">Consistent with the approach used for the case studies, the </w:t>
      </w:r>
      <w:r w:rsidR="00CC6F6D" w:rsidRPr="009114F6">
        <w:t>whole</w:t>
      </w:r>
      <w:r w:rsidR="00CC6F6D">
        <w:t>-</w:t>
      </w:r>
      <w:r w:rsidR="00CC6F6D" w:rsidRPr="009114F6">
        <w:t>of</w:t>
      </w:r>
      <w:r w:rsidR="00CC6F6D">
        <w:t>-</w:t>
      </w:r>
      <w:r w:rsidR="00535998" w:rsidRPr="009114F6">
        <w:t>economy impacts for</w:t>
      </w:r>
      <w:r w:rsidR="00294F6A" w:rsidRPr="009114F6">
        <w:t xml:space="preserve"> </w:t>
      </w:r>
      <w:r w:rsidR="00B5070A" w:rsidRPr="00145CFE">
        <w:t>shopping centres, museums and stadiums</w:t>
      </w:r>
      <w:r w:rsidR="00B5070A" w:rsidRPr="009114F6">
        <w:t xml:space="preserve"> </w:t>
      </w:r>
      <w:r w:rsidR="002A5F43" w:rsidRPr="009114F6">
        <w:t>were</w:t>
      </w:r>
      <w:r w:rsidR="00363EB8" w:rsidRPr="009114F6">
        <w:t xml:space="preserve"> developed in the following way:</w:t>
      </w:r>
    </w:p>
    <w:p w:rsidR="002A5F43" w:rsidRPr="009114F6" w:rsidRDefault="002A5F43" w:rsidP="00985280">
      <w:pPr>
        <w:pStyle w:val="EYBulletedText1"/>
      </w:pPr>
      <w:r w:rsidRPr="009114F6">
        <w:t>A break</w:t>
      </w:r>
      <w:r w:rsidR="001440BA">
        <w:t>-</w:t>
      </w:r>
      <w:r w:rsidRPr="009114F6">
        <w:t xml:space="preserve">even unit cost was calculated by applying the number of total visits </w:t>
      </w:r>
      <w:r w:rsidR="00B95DE0" w:rsidRPr="009114F6">
        <w:t xml:space="preserve">(the process of estimating which is described in </w:t>
      </w:r>
      <w:r w:rsidR="00B95DE0" w:rsidRPr="009114F6">
        <w:fldChar w:fldCharType="begin"/>
      </w:r>
      <w:r w:rsidR="00B95DE0" w:rsidRPr="009114F6">
        <w:instrText xml:space="preserve"> REF _Ref506811113 \r \h </w:instrText>
      </w:r>
      <w:r w:rsidR="0068071B" w:rsidRPr="009114F6">
        <w:instrText xml:space="preserve"> \* MERGEFORMAT </w:instrText>
      </w:r>
      <w:r w:rsidR="00B95DE0" w:rsidRPr="009114F6">
        <w:fldChar w:fldCharType="separate"/>
      </w:r>
      <w:r w:rsidR="00910A73">
        <w:t>Appendix A</w:t>
      </w:r>
      <w:r w:rsidR="00B95DE0" w:rsidRPr="009114F6">
        <w:fldChar w:fldCharType="end"/>
      </w:r>
      <w:r w:rsidR="00B95DE0" w:rsidRPr="009114F6">
        <w:t xml:space="preserve">) </w:t>
      </w:r>
      <w:r w:rsidRPr="009114F6">
        <w:t xml:space="preserve">to the present value of the total costs. This provides an indication of the minimum level </w:t>
      </w:r>
      <w:r w:rsidR="00FA1C06" w:rsidRPr="009114F6">
        <w:t>of</w:t>
      </w:r>
      <w:r w:rsidRPr="009114F6">
        <w:t xml:space="preserve"> benefit</w:t>
      </w:r>
      <w:r w:rsidR="00FA1C06" w:rsidRPr="009114F6">
        <w:t xml:space="preserve"> that</w:t>
      </w:r>
      <w:r w:rsidRPr="009114F6">
        <w:t xml:space="preserve"> would need to be </w:t>
      </w:r>
      <w:r w:rsidR="00521536" w:rsidRPr="009114F6">
        <w:t xml:space="preserve">generated </w:t>
      </w:r>
      <w:r w:rsidRPr="009114F6">
        <w:t xml:space="preserve">to </w:t>
      </w:r>
      <w:r w:rsidR="00FA1C06" w:rsidRPr="009114F6">
        <w:t>cover</w:t>
      </w:r>
      <w:r w:rsidRPr="009114F6">
        <w:t xml:space="preserve"> the costs. Any benefit above this would generate net benefits overall.</w:t>
      </w:r>
    </w:p>
    <w:p w:rsidR="002A5F43" w:rsidRPr="009114F6" w:rsidRDefault="00A8335F" w:rsidP="00985280">
      <w:pPr>
        <w:pStyle w:val="EYBulletedText1"/>
      </w:pPr>
      <w:r w:rsidRPr="009114F6">
        <w:t>For shopping centres, museums and stadiums, a</w:t>
      </w:r>
      <w:r w:rsidR="002A5F43" w:rsidRPr="009114F6">
        <w:t xml:space="preserve">n estimated </w:t>
      </w:r>
      <w:r w:rsidR="00FA1C06" w:rsidRPr="009114F6">
        <w:t>‘</w:t>
      </w:r>
      <w:r w:rsidR="002A5F43" w:rsidRPr="009114F6">
        <w:t>willingness to pay</w:t>
      </w:r>
      <w:r w:rsidR="00FA1C06" w:rsidRPr="009114F6">
        <w:t>’</w:t>
      </w:r>
      <w:r w:rsidR="002A5F43" w:rsidRPr="009114F6">
        <w:t xml:space="preserve"> </w:t>
      </w:r>
      <w:r w:rsidR="00FA1C06" w:rsidRPr="009114F6">
        <w:t xml:space="preserve">figure </w:t>
      </w:r>
      <w:r w:rsidR="002A5F43" w:rsidRPr="009114F6">
        <w:t xml:space="preserve">was calculated </w:t>
      </w:r>
      <w:r w:rsidR="00FA1C06" w:rsidRPr="009114F6">
        <w:t xml:space="preserve">in the same manner as for the case studies. </w:t>
      </w:r>
      <w:r w:rsidR="002A5F43" w:rsidRPr="009114F6">
        <w:t xml:space="preserve">This was </w:t>
      </w:r>
      <w:r w:rsidR="007E6A42" w:rsidRPr="009114F6">
        <w:t xml:space="preserve">determined </w:t>
      </w:r>
      <w:r w:rsidR="00391181" w:rsidRPr="009114F6">
        <w:t xml:space="preserve">by </w:t>
      </w:r>
      <w:r w:rsidR="00391181" w:rsidRPr="009114F6">
        <w:lastRenderedPageBreak/>
        <w:t>estimat</w:t>
      </w:r>
      <w:r w:rsidR="007E6A42" w:rsidRPr="009114F6">
        <w:t>ing the</w:t>
      </w:r>
      <w:r w:rsidR="00391181" w:rsidRPr="009114F6">
        <w:t xml:space="preserve"> travel costs and entrance fee, where applicable, of the relevant buildings</w:t>
      </w:r>
      <w:r w:rsidR="00787A46">
        <w:t>.</w:t>
      </w:r>
      <w:r w:rsidR="002A5F43" w:rsidRPr="00C133AC">
        <w:rPr>
          <w:rStyle w:val="FootnoteReference"/>
          <w:sz w:val="24"/>
          <w:szCs w:val="24"/>
        </w:rPr>
        <w:footnoteReference w:id="92"/>
      </w:r>
    </w:p>
    <w:p w:rsidR="0089652B" w:rsidRPr="00CC7900" w:rsidRDefault="0089652B" w:rsidP="00985280">
      <w:pPr>
        <w:pStyle w:val="EYBodytextwithparaspace"/>
      </w:pPr>
      <w:r w:rsidRPr="009114F6">
        <w:t xml:space="preserve">The </w:t>
      </w:r>
      <w:r w:rsidR="00CC6F6D" w:rsidRPr="009114F6">
        <w:t>whole</w:t>
      </w:r>
      <w:r w:rsidR="00CC6F6D">
        <w:t>-</w:t>
      </w:r>
      <w:r w:rsidR="00CC6F6D" w:rsidRPr="009114F6">
        <w:t>of</w:t>
      </w:r>
      <w:r w:rsidR="00CC6F6D">
        <w:t>-</w:t>
      </w:r>
      <w:r w:rsidRPr="009114F6">
        <w:t xml:space="preserve">economy impacts for </w:t>
      </w:r>
      <w:r w:rsidR="00CC7900" w:rsidRPr="00145CFE">
        <w:t>public aquatic facilities</w:t>
      </w:r>
      <w:r w:rsidR="00CC7900" w:rsidRPr="009114F6">
        <w:t xml:space="preserve"> was generated with reference to the assumed benefit per trip of $26.32, as described in </w:t>
      </w:r>
      <w:r w:rsidR="005311A3">
        <w:t>S</w:t>
      </w:r>
      <w:r w:rsidR="00CC7900" w:rsidRPr="009114F6">
        <w:t>ection</w:t>
      </w:r>
      <w:r w:rsidR="00FD0A2D">
        <w:t xml:space="preserve"> </w:t>
      </w:r>
      <w:r w:rsidR="00FD0A2D">
        <w:fldChar w:fldCharType="begin"/>
      </w:r>
      <w:r w:rsidR="00FD0A2D">
        <w:instrText xml:space="preserve"> REF _Ref505945913 \r \h </w:instrText>
      </w:r>
      <w:r w:rsidR="00FD0A2D">
        <w:fldChar w:fldCharType="separate"/>
      </w:r>
      <w:r w:rsidR="00910A73">
        <w:t>7.1</w:t>
      </w:r>
      <w:r w:rsidR="00FD0A2D">
        <w:fldChar w:fldCharType="end"/>
      </w:r>
      <w:r w:rsidR="00CC7900" w:rsidRPr="009114F6">
        <w:t xml:space="preserve">. </w:t>
      </w:r>
      <w:r w:rsidR="007A02CA" w:rsidRPr="009114F6">
        <w:t>In</w:t>
      </w:r>
      <w:r w:rsidR="00CC7900" w:rsidRPr="009114F6">
        <w:t xml:space="preserve"> order to generate an estimate of the potential benefits, the </w:t>
      </w:r>
      <w:r w:rsidR="007A02CA" w:rsidRPr="009114F6">
        <w:t>central</w:t>
      </w:r>
      <w:r w:rsidR="00CC7900" w:rsidRPr="009114F6">
        <w:t xml:space="preserve"> case was assumed </w:t>
      </w:r>
      <w:r w:rsidR="007A02CA" w:rsidRPr="009114F6">
        <w:t>to</w:t>
      </w:r>
      <w:r w:rsidR="00CC7900" w:rsidRPr="009114F6">
        <w:t xml:space="preserve"> be a feeder population of 15,000</w:t>
      </w:r>
      <w:r w:rsidR="00BE6F2F" w:rsidRPr="009114F6">
        <w:t>.</w:t>
      </w:r>
      <w:r w:rsidR="0095079E" w:rsidRPr="009114F6">
        <w:t xml:space="preserve"> </w:t>
      </w:r>
      <w:r w:rsidR="003B6BB0" w:rsidRPr="009114F6">
        <w:t>Insufficient data exist to definitively test this assumption. In order to provide an anecdotal ‘sense check</w:t>
      </w:r>
      <w:r w:rsidR="008E4970">
        <w:t>’</w:t>
      </w:r>
      <w:r w:rsidR="003B6BB0" w:rsidRPr="009114F6">
        <w:t xml:space="preserve"> as to the voracity of the 15,000 feeder population assumption, a database was developed of indoor public </w:t>
      </w:r>
      <w:r w:rsidR="00F04476">
        <w:t xml:space="preserve">swimming </w:t>
      </w:r>
      <w:r w:rsidR="003B6BB0" w:rsidRPr="009114F6">
        <w:t>pools within Canberra</w:t>
      </w:r>
      <w:r w:rsidR="00F04476">
        <w:t>.</w:t>
      </w:r>
      <w:r w:rsidR="003B6BB0" w:rsidRPr="009114F6">
        <w:t xml:space="preserve"> </w:t>
      </w:r>
      <w:r w:rsidR="00F04476">
        <w:t>O</w:t>
      </w:r>
      <w:r w:rsidR="003B6BB0" w:rsidRPr="009114F6">
        <w:t xml:space="preserve">ur analysis revealed there are 20 indoor </w:t>
      </w:r>
      <w:r w:rsidR="00F04476">
        <w:t xml:space="preserve">swimming </w:t>
      </w:r>
      <w:r w:rsidR="003B6BB0" w:rsidRPr="009114F6">
        <w:t xml:space="preserve">pools. For a total Canberra population of approximately 400,000, this implies a feeder population per </w:t>
      </w:r>
      <w:r w:rsidR="00311261">
        <w:t xml:space="preserve">swimming </w:t>
      </w:r>
      <w:r w:rsidR="003B6BB0" w:rsidRPr="009114F6">
        <w:t>pool of 20,000</w:t>
      </w:r>
      <w:r w:rsidR="00CC7900" w:rsidRPr="009114F6">
        <w:t>.</w:t>
      </w:r>
    </w:p>
    <w:p w:rsidR="007C5647" w:rsidRPr="009114F6" w:rsidRDefault="007C5647" w:rsidP="007C5647">
      <w:pPr>
        <w:pStyle w:val="Modifiedheading3"/>
      </w:pPr>
      <w:bookmarkStart w:id="526" w:name="_Ref518580920"/>
      <w:r w:rsidRPr="009114F6">
        <w:rPr>
          <w:b/>
        </w:rPr>
        <w:t xml:space="preserve">Estimated </w:t>
      </w:r>
      <w:r w:rsidR="006305FB" w:rsidRPr="009114F6">
        <w:rPr>
          <w:b/>
        </w:rPr>
        <w:t>whole</w:t>
      </w:r>
      <w:r w:rsidR="006305FB">
        <w:rPr>
          <w:b/>
        </w:rPr>
        <w:t>-</w:t>
      </w:r>
      <w:r w:rsidR="006305FB" w:rsidRPr="009114F6">
        <w:rPr>
          <w:b/>
        </w:rPr>
        <w:t>of</w:t>
      </w:r>
      <w:r w:rsidR="006305FB">
        <w:rPr>
          <w:b/>
        </w:rPr>
        <w:t>-</w:t>
      </w:r>
      <w:r w:rsidRPr="009114F6">
        <w:rPr>
          <w:b/>
        </w:rPr>
        <w:t>economy impacts of the regulatory proposal</w:t>
      </w:r>
      <w:bookmarkEnd w:id="526"/>
    </w:p>
    <w:p w:rsidR="007C5647" w:rsidRPr="009114F6" w:rsidRDefault="007C5647" w:rsidP="00CC2143">
      <w:pPr>
        <w:pStyle w:val="EYBodytextwithparaspace"/>
      </w:pPr>
      <w:r w:rsidRPr="009114F6">
        <w:t xml:space="preserve">The estimated </w:t>
      </w:r>
      <w:r w:rsidR="00CC6F6D" w:rsidRPr="009114F6">
        <w:t>whole</w:t>
      </w:r>
      <w:r w:rsidR="00CC6F6D">
        <w:t>-</w:t>
      </w:r>
      <w:r w:rsidR="00CC6F6D" w:rsidRPr="009114F6">
        <w:t>of</w:t>
      </w:r>
      <w:r w:rsidR="00CC6F6D">
        <w:t>-</w:t>
      </w:r>
      <w:r w:rsidRPr="009114F6">
        <w:t>economy impacts for shopping centres, museums, stadiums, airports and public aquatic facilities are shown in</w:t>
      </w:r>
      <w:r w:rsidR="00264C23">
        <w:t xml:space="preserve"> </w:t>
      </w:r>
      <w:r w:rsidR="00264C23">
        <w:fldChar w:fldCharType="begin"/>
      </w:r>
      <w:r w:rsidR="00264C23">
        <w:instrText xml:space="preserve"> REF _Ref521491289 \h </w:instrText>
      </w:r>
      <w:r w:rsidR="00264C23">
        <w:fldChar w:fldCharType="separate"/>
      </w:r>
      <w:r w:rsidR="00910A73" w:rsidRPr="008B18B7">
        <w:rPr>
          <w:rFonts w:eastAsiaTheme="minorHAnsi" w:cstheme="minorBidi"/>
          <w:bCs/>
          <w:color w:val="000000" w:themeColor="text1"/>
          <w:szCs w:val="18"/>
        </w:rPr>
        <w:t xml:space="preserve">Table </w:t>
      </w:r>
      <w:r w:rsidR="00910A73">
        <w:rPr>
          <w:rFonts w:eastAsiaTheme="minorHAnsi" w:cstheme="minorBidi"/>
          <w:bCs/>
          <w:noProof/>
          <w:color w:val="000000" w:themeColor="text1"/>
          <w:szCs w:val="18"/>
        </w:rPr>
        <w:t>7</w:t>
      </w:r>
      <w:r w:rsidR="00910A73" w:rsidRPr="008B18B7">
        <w:rPr>
          <w:rFonts w:eastAsiaTheme="minorHAnsi" w:cstheme="minorBidi"/>
          <w:bCs/>
          <w:color w:val="000000" w:themeColor="text1"/>
          <w:szCs w:val="18"/>
        </w:rPr>
        <w:noBreakHyphen/>
      </w:r>
      <w:r w:rsidR="00910A73">
        <w:rPr>
          <w:rFonts w:eastAsiaTheme="minorHAnsi" w:cstheme="minorBidi"/>
          <w:bCs/>
          <w:noProof/>
          <w:color w:val="000000" w:themeColor="text1"/>
          <w:szCs w:val="18"/>
        </w:rPr>
        <w:t>10</w:t>
      </w:r>
      <w:r w:rsidR="00264C23">
        <w:fldChar w:fldCharType="end"/>
      </w:r>
      <w:r w:rsidRPr="009114F6">
        <w:t>.</w:t>
      </w:r>
    </w:p>
    <w:p w:rsidR="00FD0417" w:rsidRPr="009114F6" w:rsidRDefault="00FD0417" w:rsidP="00CC2143">
      <w:pPr>
        <w:pStyle w:val="EYBodytextwithparaspace"/>
      </w:pPr>
      <w:r w:rsidRPr="009114F6">
        <w:t xml:space="preserve">The key </w:t>
      </w:r>
      <w:r w:rsidR="00FE4FA8" w:rsidRPr="009114F6">
        <w:t>findings</w:t>
      </w:r>
      <w:r w:rsidRPr="009114F6">
        <w:t xml:space="preserve"> are as follows:</w:t>
      </w:r>
    </w:p>
    <w:p w:rsidR="0095079E" w:rsidRPr="009114F6" w:rsidRDefault="001179CE" w:rsidP="00E1546F">
      <w:pPr>
        <w:pStyle w:val="EYBulletedText1"/>
      </w:pPr>
      <w:r w:rsidRPr="009114F6">
        <w:t xml:space="preserve">For </w:t>
      </w:r>
      <w:r w:rsidRPr="00145CFE">
        <w:t>shopping centres</w:t>
      </w:r>
      <w:r w:rsidRPr="009114F6">
        <w:t xml:space="preserve">, the </w:t>
      </w:r>
      <w:r w:rsidR="009F4C4F" w:rsidRPr="009114F6">
        <w:t>break</w:t>
      </w:r>
      <w:r w:rsidR="001440BA">
        <w:t>-</w:t>
      </w:r>
      <w:r w:rsidR="009F4C4F" w:rsidRPr="009114F6">
        <w:t>even</w:t>
      </w:r>
      <w:r w:rsidRPr="009114F6">
        <w:t xml:space="preserve"> point</w:t>
      </w:r>
      <w:r w:rsidR="000B7146" w:rsidRPr="009114F6">
        <w:t xml:space="preserve"> (</w:t>
      </w:r>
      <w:r w:rsidRPr="009114F6">
        <w:t>where the NPV of costs is equal to benefits</w:t>
      </w:r>
      <w:r w:rsidR="000B7146" w:rsidRPr="009114F6">
        <w:t>)</w:t>
      </w:r>
      <w:r w:rsidRPr="009114F6">
        <w:t xml:space="preserve"> is $</w:t>
      </w:r>
      <w:r w:rsidR="00D30740" w:rsidRPr="009114F6">
        <w:t>2.</w:t>
      </w:r>
      <w:r w:rsidR="00835216">
        <w:t>1</w:t>
      </w:r>
      <w:r w:rsidR="00835216" w:rsidRPr="009114F6">
        <w:t>6</w:t>
      </w:r>
      <w:r w:rsidRPr="009114F6">
        <w:t>, $</w:t>
      </w:r>
      <w:r w:rsidR="00D30740" w:rsidRPr="009114F6">
        <w:t>3.</w:t>
      </w:r>
      <w:r w:rsidR="00835216">
        <w:t>45</w:t>
      </w:r>
      <w:r w:rsidR="00A8335F" w:rsidRPr="009114F6">
        <w:t xml:space="preserve">, </w:t>
      </w:r>
      <w:r w:rsidRPr="009114F6">
        <w:t>$</w:t>
      </w:r>
      <w:r w:rsidR="00D30740" w:rsidRPr="009114F6">
        <w:t>4.</w:t>
      </w:r>
      <w:r w:rsidR="00835216">
        <w:t>54</w:t>
      </w:r>
      <w:r w:rsidR="00835216" w:rsidRPr="009114F6">
        <w:t xml:space="preserve"> </w:t>
      </w:r>
      <w:r w:rsidR="00A8335F" w:rsidRPr="009114F6">
        <w:t>and $</w:t>
      </w:r>
      <w:r w:rsidR="00D30740" w:rsidRPr="009114F6">
        <w:t>2.</w:t>
      </w:r>
      <w:r w:rsidR="00835216">
        <w:t>1</w:t>
      </w:r>
      <w:r w:rsidR="00835216" w:rsidRPr="009114F6">
        <w:t xml:space="preserve">6 </w:t>
      </w:r>
      <w:r w:rsidRPr="009114F6">
        <w:t xml:space="preserve">for </w:t>
      </w:r>
      <w:r w:rsidR="007A02CA" w:rsidRPr="009114F6">
        <w:t>the c</w:t>
      </w:r>
      <w:r w:rsidR="00F17630" w:rsidRPr="009114F6">
        <w:t>o-located</w:t>
      </w:r>
      <w:r w:rsidRPr="009114F6">
        <w:t xml:space="preserve">, </w:t>
      </w:r>
      <w:r w:rsidR="00F17630" w:rsidRPr="009114F6">
        <w:t xml:space="preserve">separately located, Changing Places and </w:t>
      </w:r>
      <w:r w:rsidR="00311261">
        <w:t>n</w:t>
      </w:r>
      <w:r w:rsidRPr="009114F6">
        <w:t xml:space="preserve">on-regulatory </w:t>
      </w:r>
      <w:r w:rsidR="007A02CA" w:rsidRPr="009114F6">
        <w:t>scenarios</w:t>
      </w:r>
      <w:r w:rsidR="00A8335F" w:rsidRPr="009114F6">
        <w:t>,</w:t>
      </w:r>
      <w:r w:rsidRPr="009114F6">
        <w:t xml:space="preserve"> respectively.</w:t>
      </w:r>
      <w:r w:rsidR="004F3897" w:rsidRPr="009114F6">
        <w:t xml:space="preserve"> </w:t>
      </w:r>
      <w:r w:rsidRPr="009114F6">
        <w:t xml:space="preserve">Applying the </w:t>
      </w:r>
      <w:r w:rsidR="000B7146" w:rsidRPr="009114F6">
        <w:t>WTP</w:t>
      </w:r>
      <w:r w:rsidRPr="009114F6">
        <w:t xml:space="preserve"> estimate of $</w:t>
      </w:r>
      <w:r w:rsidR="00D30740" w:rsidRPr="009114F6">
        <w:t>13.16</w:t>
      </w:r>
      <w:r w:rsidR="000B7146" w:rsidRPr="009114F6">
        <w:t xml:space="preserve"> (the estimated travel cost)</w:t>
      </w:r>
      <w:r w:rsidRPr="009114F6">
        <w:t xml:space="preserve"> th</w:t>
      </w:r>
      <w:r w:rsidR="009A4ED1" w:rsidRPr="009114F6">
        <w:t>is generates net benefits of $</w:t>
      </w:r>
      <w:r w:rsidR="00835216">
        <w:t>154.6</w:t>
      </w:r>
      <w:r w:rsidRPr="009114F6">
        <w:t xml:space="preserve"> million,</w:t>
      </w:r>
      <w:r w:rsidR="009A4ED1" w:rsidRPr="009114F6">
        <w:t xml:space="preserve"> $</w:t>
      </w:r>
      <w:r w:rsidR="00835216">
        <w:t>126.1</w:t>
      </w:r>
      <w:r w:rsidR="009A4ED1" w:rsidRPr="009114F6">
        <w:t xml:space="preserve"> million</w:t>
      </w:r>
      <w:r w:rsidR="00A8335F" w:rsidRPr="009114F6">
        <w:t xml:space="preserve">, </w:t>
      </w:r>
      <w:r w:rsidR="009A4ED1" w:rsidRPr="009114F6">
        <w:t>$</w:t>
      </w:r>
      <w:r w:rsidR="00835216">
        <w:t>101</w:t>
      </w:r>
      <w:r w:rsidR="00400534">
        <w:t xml:space="preserve"> </w:t>
      </w:r>
      <w:r w:rsidRPr="009114F6">
        <w:t>million</w:t>
      </w:r>
      <w:r w:rsidR="007A02CA" w:rsidRPr="009114F6">
        <w:t xml:space="preserve"> and $</w:t>
      </w:r>
      <w:r w:rsidR="00835216">
        <w:t>87.3</w:t>
      </w:r>
      <w:r w:rsidR="00A8335F" w:rsidRPr="009114F6">
        <w:t xml:space="preserve"> million</w:t>
      </w:r>
      <w:r w:rsidRPr="009114F6">
        <w:t xml:space="preserve"> for</w:t>
      </w:r>
      <w:r w:rsidR="007A02CA" w:rsidRPr="009114F6">
        <w:t xml:space="preserve"> </w:t>
      </w:r>
      <w:r w:rsidR="00846648" w:rsidRPr="009114F6">
        <w:t>the respective scenarios</w:t>
      </w:r>
      <w:r w:rsidRPr="009114F6">
        <w:t>.</w:t>
      </w:r>
      <w:r w:rsidR="00BC5184">
        <w:t xml:space="preserve"> </w:t>
      </w:r>
      <w:r w:rsidR="008C392B">
        <w:t xml:space="preserve">These results are shown in </w:t>
      </w:r>
      <w:r w:rsidR="008C392B">
        <w:fldChar w:fldCharType="begin"/>
      </w:r>
      <w:r w:rsidR="008C392B">
        <w:instrText xml:space="preserve"> REF _Ref521491478 \h </w:instrText>
      </w:r>
      <w:r w:rsidR="008C392B">
        <w:fldChar w:fldCharType="separate"/>
      </w:r>
      <w:r w:rsidR="00910A73" w:rsidRPr="009114F6">
        <w:t xml:space="preserve">Table </w:t>
      </w:r>
      <w:r w:rsidR="00910A73">
        <w:rPr>
          <w:noProof/>
        </w:rPr>
        <w:t>7</w:t>
      </w:r>
      <w:r w:rsidR="00910A73">
        <w:noBreakHyphen/>
      </w:r>
      <w:r w:rsidR="00910A73">
        <w:rPr>
          <w:noProof/>
        </w:rPr>
        <w:t>6</w:t>
      </w:r>
      <w:r w:rsidR="008C392B">
        <w:fldChar w:fldCharType="end"/>
      </w:r>
      <w:r w:rsidR="008C392B">
        <w:t>.</w:t>
      </w:r>
    </w:p>
    <w:p w:rsidR="001179CE" w:rsidRPr="009114F6" w:rsidRDefault="001179CE" w:rsidP="001E2602">
      <w:pPr>
        <w:pStyle w:val="EYBulletedText1"/>
      </w:pPr>
      <w:r w:rsidRPr="002B182F">
        <w:t xml:space="preserve">For </w:t>
      </w:r>
      <w:r w:rsidRPr="00145CFE">
        <w:t>museums</w:t>
      </w:r>
      <w:r w:rsidRPr="00D14EDB">
        <w:t xml:space="preserve">, the </w:t>
      </w:r>
      <w:r w:rsidR="009F4C4F" w:rsidRPr="00D14EDB">
        <w:t>break</w:t>
      </w:r>
      <w:r w:rsidR="001440BA">
        <w:t>-</w:t>
      </w:r>
      <w:r w:rsidR="009F4C4F" w:rsidRPr="00D14EDB">
        <w:t>even</w:t>
      </w:r>
      <w:r w:rsidRPr="00D14EDB">
        <w:t xml:space="preserve"> point, is $</w:t>
      </w:r>
      <w:r w:rsidR="009A3BED" w:rsidRPr="00D14EDB">
        <w:t>5.</w:t>
      </w:r>
      <w:r w:rsidR="00835216">
        <w:t>71</w:t>
      </w:r>
      <w:r w:rsidRPr="00D14EDB">
        <w:t>, $</w:t>
      </w:r>
      <w:r w:rsidR="00835216">
        <w:t>9.12</w:t>
      </w:r>
      <w:r w:rsidR="00A8335F" w:rsidRPr="006803A1">
        <w:t xml:space="preserve">, </w:t>
      </w:r>
      <w:r w:rsidRPr="006803A1">
        <w:t>$</w:t>
      </w:r>
      <w:r w:rsidR="00835216" w:rsidRPr="006803A1">
        <w:t>2</w:t>
      </w:r>
      <w:r w:rsidR="00835216">
        <w:t>3</w:t>
      </w:r>
      <w:r w:rsidR="000D1E45" w:rsidRPr="006803A1">
        <w:t>.</w:t>
      </w:r>
      <w:r w:rsidR="00835216">
        <w:t>49</w:t>
      </w:r>
      <w:r w:rsidR="00835216" w:rsidRPr="006803A1">
        <w:t xml:space="preserve"> </w:t>
      </w:r>
      <w:r w:rsidR="00A8335F" w:rsidRPr="006803A1">
        <w:t>and $</w:t>
      </w:r>
      <w:r w:rsidR="00644845" w:rsidRPr="006803A1">
        <w:t>5.</w:t>
      </w:r>
      <w:r w:rsidR="00835216">
        <w:t>71</w:t>
      </w:r>
      <w:r w:rsidR="00835216" w:rsidRPr="00450C12">
        <w:t xml:space="preserve"> </w:t>
      </w:r>
      <w:r w:rsidR="000D1E45" w:rsidRPr="006220C9">
        <w:t xml:space="preserve">for the co-located, separately located, Changing Places and </w:t>
      </w:r>
      <w:r w:rsidR="00311261">
        <w:t>n</w:t>
      </w:r>
      <w:r w:rsidR="000D1E45" w:rsidRPr="006220C9">
        <w:t>on-regulatory scenarios, respectively.</w:t>
      </w:r>
      <w:r w:rsidR="004F3897" w:rsidRPr="00866060">
        <w:t xml:space="preserve">  </w:t>
      </w:r>
      <w:r w:rsidR="000D1E45" w:rsidRPr="009114F6">
        <w:t>Applying the WTP estimate of $23.16 (the estimated travel cost) this generates net benefits of $</w:t>
      </w:r>
      <w:r w:rsidR="00835216">
        <w:t>2</w:t>
      </w:r>
      <w:r w:rsidR="000D1E45" w:rsidRPr="009114F6">
        <w:t>.</w:t>
      </w:r>
      <w:r w:rsidR="00835216">
        <w:t>7</w:t>
      </w:r>
      <w:r w:rsidR="00835216" w:rsidRPr="009114F6">
        <w:t xml:space="preserve"> </w:t>
      </w:r>
      <w:r w:rsidR="000D1E45" w:rsidRPr="009114F6">
        <w:t>million, $</w:t>
      </w:r>
      <w:r w:rsidR="00835216">
        <w:t>1</w:t>
      </w:r>
      <w:r w:rsidR="00A7489B" w:rsidRPr="009114F6">
        <w:t>.</w:t>
      </w:r>
      <w:r w:rsidR="00835216">
        <w:t>4</w:t>
      </w:r>
      <w:r w:rsidR="00835216" w:rsidRPr="009114F6">
        <w:t xml:space="preserve"> </w:t>
      </w:r>
      <w:r w:rsidR="000D1E45" w:rsidRPr="009114F6">
        <w:t xml:space="preserve">million, </w:t>
      </w:r>
      <w:r w:rsidR="00133B3D" w:rsidRPr="009114F6">
        <w:t>-</w:t>
      </w:r>
      <w:r w:rsidR="000D1E45" w:rsidRPr="009114F6">
        <w:t>$</w:t>
      </w:r>
      <w:r w:rsidR="00835216">
        <w:t>2</w:t>
      </w:r>
      <w:r w:rsidR="00835216" w:rsidRPr="009114F6">
        <w:t xml:space="preserve"> </w:t>
      </w:r>
      <w:r w:rsidR="000D1E45" w:rsidRPr="009114F6">
        <w:t>million and $</w:t>
      </w:r>
      <w:r w:rsidR="00835216">
        <w:t>38</w:t>
      </w:r>
      <w:r w:rsidR="00A7489B" w:rsidRPr="009114F6">
        <w:t>,000</w:t>
      </w:r>
      <w:r w:rsidR="000D1E45" w:rsidRPr="009114F6">
        <w:t xml:space="preserve"> for the respective scenarios. Importantly, the considerably higher costs of the Changing Places specifications make this option not feasible from a benefit cost perspective.</w:t>
      </w:r>
      <w:r w:rsidR="008C392B">
        <w:t xml:space="preserve"> These results are shown in </w:t>
      </w:r>
      <w:r w:rsidR="008C392B">
        <w:fldChar w:fldCharType="begin"/>
      </w:r>
      <w:r w:rsidR="008C392B">
        <w:instrText xml:space="preserve"> REF _Ref521491509 \h </w:instrText>
      </w:r>
      <w:r w:rsidR="008C392B">
        <w:fldChar w:fldCharType="separate"/>
      </w:r>
      <w:r w:rsidR="00910A73" w:rsidRPr="009114F6">
        <w:t xml:space="preserve">Table </w:t>
      </w:r>
      <w:r w:rsidR="00910A73">
        <w:rPr>
          <w:noProof/>
        </w:rPr>
        <w:t>7</w:t>
      </w:r>
      <w:r w:rsidR="00910A73">
        <w:noBreakHyphen/>
      </w:r>
      <w:r w:rsidR="00910A73">
        <w:rPr>
          <w:noProof/>
        </w:rPr>
        <w:t>7</w:t>
      </w:r>
      <w:r w:rsidR="008C392B">
        <w:fldChar w:fldCharType="end"/>
      </w:r>
      <w:r w:rsidR="008C392B">
        <w:t>.</w:t>
      </w:r>
    </w:p>
    <w:p w:rsidR="009A4ED1" w:rsidRPr="009114F6" w:rsidRDefault="009A4ED1">
      <w:pPr>
        <w:pStyle w:val="EYBulletedText1"/>
      </w:pPr>
      <w:r w:rsidRPr="009114F6">
        <w:t xml:space="preserve">For </w:t>
      </w:r>
      <w:r w:rsidRPr="00145CFE">
        <w:t>stadiums</w:t>
      </w:r>
      <w:r w:rsidRPr="009114F6">
        <w:t xml:space="preserve">, the </w:t>
      </w:r>
      <w:r w:rsidR="009F4C4F" w:rsidRPr="009114F6">
        <w:t>break</w:t>
      </w:r>
      <w:r w:rsidR="001440BA">
        <w:t>-</w:t>
      </w:r>
      <w:r w:rsidR="009F4C4F" w:rsidRPr="009114F6">
        <w:t>even</w:t>
      </w:r>
      <w:r w:rsidRPr="009114F6">
        <w:t xml:space="preserve"> point, is $</w:t>
      </w:r>
      <w:r w:rsidR="009A3BED" w:rsidRPr="009114F6">
        <w:t>6.</w:t>
      </w:r>
      <w:r w:rsidR="00835216">
        <w:t>66</w:t>
      </w:r>
      <w:r w:rsidRPr="009114F6">
        <w:t>, $</w:t>
      </w:r>
      <w:r w:rsidR="00835216">
        <w:t>8.25</w:t>
      </w:r>
      <w:r w:rsidR="0068463F" w:rsidRPr="009114F6">
        <w:t>, $</w:t>
      </w:r>
      <w:r w:rsidR="00835216">
        <w:t>10.87</w:t>
      </w:r>
      <w:r w:rsidRPr="009114F6">
        <w:t xml:space="preserve"> and $</w:t>
      </w:r>
      <w:r w:rsidR="000D1E45" w:rsidRPr="009114F6">
        <w:t>6</w:t>
      </w:r>
      <w:r w:rsidR="00644845" w:rsidRPr="009114F6">
        <w:t>.</w:t>
      </w:r>
      <w:r w:rsidR="00835216">
        <w:t>66</w:t>
      </w:r>
      <w:r w:rsidR="00835216" w:rsidRPr="009114F6">
        <w:t xml:space="preserve"> </w:t>
      </w:r>
      <w:r w:rsidRPr="009114F6">
        <w:t xml:space="preserve">for </w:t>
      </w:r>
      <w:r w:rsidR="000D1E45" w:rsidRPr="009114F6">
        <w:t xml:space="preserve">the co-located, separately located, Changing Places and </w:t>
      </w:r>
      <w:r w:rsidR="00154967">
        <w:t>n</w:t>
      </w:r>
      <w:r w:rsidR="00154967" w:rsidRPr="009114F6">
        <w:t>on</w:t>
      </w:r>
      <w:r w:rsidR="000D1E45" w:rsidRPr="009114F6">
        <w:t>-regulatory scenarios, respectively</w:t>
      </w:r>
      <w:r w:rsidRPr="009114F6">
        <w:t>.</w:t>
      </w:r>
      <w:r w:rsidR="004F3897" w:rsidRPr="009114F6">
        <w:t xml:space="preserve"> </w:t>
      </w:r>
      <w:r w:rsidRPr="009114F6">
        <w:t xml:space="preserve">Applying the </w:t>
      </w:r>
      <w:r w:rsidR="00154967">
        <w:t>WTP</w:t>
      </w:r>
      <w:r w:rsidRPr="009114F6">
        <w:t xml:space="preserve"> estimate of $</w:t>
      </w:r>
      <w:r w:rsidR="000D1E45" w:rsidRPr="009114F6">
        <w:t>37</w:t>
      </w:r>
      <w:r w:rsidRPr="009114F6">
        <w:t xml:space="preserve"> this generates net benefits of $</w:t>
      </w:r>
      <w:r w:rsidR="00835216">
        <w:t>3</w:t>
      </w:r>
      <w:r w:rsidR="000D1E45" w:rsidRPr="009114F6">
        <w:t>.</w:t>
      </w:r>
      <w:r w:rsidR="00835216">
        <w:t>2</w:t>
      </w:r>
      <w:r w:rsidR="00835216" w:rsidRPr="009114F6">
        <w:t xml:space="preserve"> </w:t>
      </w:r>
      <w:r w:rsidRPr="009114F6">
        <w:t>million, $</w:t>
      </w:r>
      <w:r w:rsidR="00835216">
        <w:t>2</w:t>
      </w:r>
      <w:r w:rsidR="00A7489B" w:rsidRPr="009114F6">
        <w:t>.2</w:t>
      </w:r>
      <w:r w:rsidRPr="009114F6">
        <w:t xml:space="preserve"> million</w:t>
      </w:r>
      <w:r w:rsidR="0068463F" w:rsidRPr="009114F6">
        <w:t xml:space="preserve">, </w:t>
      </w:r>
      <w:r w:rsidR="00835216">
        <w:t>-</w:t>
      </w:r>
      <w:r w:rsidRPr="009114F6">
        <w:t>$</w:t>
      </w:r>
      <w:r w:rsidR="00835216">
        <w:t>384</w:t>
      </w:r>
      <w:r w:rsidR="00107C36" w:rsidRPr="009114F6">
        <w:t>,000</w:t>
      </w:r>
      <w:r w:rsidR="0068463F" w:rsidRPr="009114F6">
        <w:t xml:space="preserve"> and $</w:t>
      </w:r>
      <w:r w:rsidR="00A7489B" w:rsidRPr="009114F6">
        <w:t>1.</w:t>
      </w:r>
      <w:r w:rsidR="00835216">
        <w:t>4</w:t>
      </w:r>
      <w:r w:rsidR="00835216" w:rsidRPr="009114F6">
        <w:t xml:space="preserve"> </w:t>
      </w:r>
      <w:r w:rsidR="0068463F" w:rsidRPr="009114F6">
        <w:t>million</w:t>
      </w:r>
      <w:r w:rsidRPr="009114F6">
        <w:t xml:space="preserve"> for </w:t>
      </w:r>
      <w:r w:rsidR="00107C36" w:rsidRPr="009114F6">
        <w:t>the respective scenarios</w:t>
      </w:r>
      <w:r w:rsidRPr="009114F6">
        <w:t xml:space="preserve">. </w:t>
      </w:r>
      <w:r w:rsidR="009079BB">
        <w:t xml:space="preserve">These results are shown in </w:t>
      </w:r>
      <w:r w:rsidR="009079BB">
        <w:fldChar w:fldCharType="begin"/>
      </w:r>
      <w:r w:rsidR="009079BB">
        <w:instrText xml:space="preserve"> REF _Ref521491556 \h </w:instrText>
      </w:r>
      <w:r w:rsidR="009079BB">
        <w:fldChar w:fldCharType="separate"/>
      </w:r>
      <w:r w:rsidR="00910A73" w:rsidRPr="009114F6">
        <w:t xml:space="preserve">Table </w:t>
      </w:r>
      <w:r w:rsidR="00910A73">
        <w:rPr>
          <w:noProof/>
        </w:rPr>
        <w:t>7</w:t>
      </w:r>
      <w:r w:rsidR="00910A73">
        <w:noBreakHyphen/>
      </w:r>
      <w:r w:rsidR="00910A73">
        <w:rPr>
          <w:noProof/>
        </w:rPr>
        <w:t>8</w:t>
      </w:r>
      <w:r w:rsidR="009079BB">
        <w:fldChar w:fldCharType="end"/>
      </w:r>
      <w:r w:rsidR="009079BB">
        <w:t>.</w:t>
      </w:r>
      <w:r w:rsidRPr="009114F6">
        <w:t xml:space="preserve"> </w:t>
      </w:r>
    </w:p>
    <w:p w:rsidR="00A7489B" w:rsidRPr="009114F6" w:rsidRDefault="00A7489B">
      <w:pPr>
        <w:pStyle w:val="EYBulletedText1"/>
      </w:pPr>
      <w:r w:rsidRPr="009114F6">
        <w:t xml:space="preserve">For </w:t>
      </w:r>
      <w:r w:rsidRPr="00145CFE">
        <w:t>indoor aquatic facilities</w:t>
      </w:r>
      <w:r w:rsidRPr="009114F6">
        <w:t>, the break</w:t>
      </w:r>
      <w:r w:rsidR="001440BA">
        <w:t>-</w:t>
      </w:r>
      <w:r w:rsidRPr="009114F6">
        <w:t>even point, is $</w:t>
      </w:r>
      <w:r w:rsidR="00835216">
        <w:t>5</w:t>
      </w:r>
      <w:r w:rsidRPr="009114F6">
        <w:t>.</w:t>
      </w:r>
      <w:r w:rsidR="00835216">
        <w:t>16</w:t>
      </w:r>
      <w:r w:rsidRPr="009114F6">
        <w:t>, $</w:t>
      </w:r>
      <w:r w:rsidR="00835216">
        <w:t>8</w:t>
      </w:r>
      <w:r w:rsidRPr="009114F6">
        <w:t>.</w:t>
      </w:r>
      <w:r w:rsidR="00835216">
        <w:t>25</w:t>
      </w:r>
      <w:r w:rsidRPr="009114F6">
        <w:t>, $</w:t>
      </w:r>
      <w:r w:rsidR="00835216">
        <w:t>10</w:t>
      </w:r>
      <w:r w:rsidRPr="009114F6">
        <w:t>.</w:t>
      </w:r>
      <w:r w:rsidR="00835216">
        <w:t>8</w:t>
      </w:r>
      <w:r w:rsidRPr="009114F6">
        <w:t>7 and $</w:t>
      </w:r>
      <w:r w:rsidR="00835216">
        <w:t>5</w:t>
      </w:r>
      <w:r w:rsidRPr="009114F6">
        <w:t>.</w:t>
      </w:r>
      <w:r w:rsidR="00835216">
        <w:t>16</w:t>
      </w:r>
      <w:r w:rsidRPr="009114F6">
        <w:t xml:space="preserve"> for the co-located, separately located, Changing Places and </w:t>
      </w:r>
      <w:r w:rsidR="00154967">
        <w:t>n</w:t>
      </w:r>
      <w:r w:rsidR="00154967" w:rsidRPr="009114F6">
        <w:t>on</w:t>
      </w:r>
      <w:r w:rsidRPr="009114F6">
        <w:t xml:space="preserve">-regulatory scenarios, respectively. The estimated </w:t>
      </w:r>
      <w:r w:rsidR="00CC6F6D" w:rsidRPr="009114F6">
        <w:t>whole</w:t>
      </w:r>
      <w:r w:rsidR="00CC6F6D">
        <w:t>-</w:t>
      </w:r>
      <w:r w:rsidR="00CC6F6D" w:rsidRPr="009114F6">
        <w:t>of</w:t>
      </w:r>
      <w:r w:rsidR="00CC6F6D">
        <w:t>-</w:t>
      </w:r>
      <w:r w:rsidRPr="009114F6">
        <w:t>economy benefit from an NPV perspective assuming a feeder population of 15,000 is $</w:t>
      </w:r>
      <w:r w:rsidR="00835216">
        <w:t>16</w:t>
      </w:r>
      <w:r w:rsidRPr="009114F6">
        <w:t>.</w:t>
      </w:r>
      <w:r w:rsidR="00835216">
        <w:t>1</w:t>
      </w:r>
      <w:r w:rsidRPr="009114F6">
        <w:t xml:space="preserve"> million, $</w:t>
      </w:r>
      <w:r w:rsidR="00835216" w:rsidRPr="009114F6">
        <w:t>1</w:t>
      </w:r>
      <w:r w:rsidR="00835216">
        <w:t>3</w:t>
      </w:r>
      <w:r w:rsidRPr="009114F6">
        <w:t>.</w:t>
      </w:r>
      <w:r w:rsidR="00835216">
        <w:t>1</w:t>
      </w:r>
      <w:r w:rsidRPr="009114F6">
        <w:t xml:space="preserve"> million, -$</w:t>
      </w:r>
      <w:r w:rsidR="00835216">
        <w:t>5.7 million</w:t>
      </w:r>
      <w:r w:rsidRPr="009114F6">
        <w:t xml:space="preserve"> and $</w:t>
      </w:r>
      <w:r w:rsidR="00835216">
        <w:t>7.1</w:t>
      </w:r>
      <w:r w:rsidRPr="009114F6">
        <w:t xml:space="preserve"> million for the respective scenarios</w:t>
      </w:r>
      <w:r w:rsidR="00EA7450" w:rsidRPr="009114F6">
        <w:t>.</w:t>
      </w:r>
      <w:r w:rsidR="009079BB">
        <w:t xml:space="preserve"> These results are shown in </w:t>
      </w:r>
      <w:r w:rsidR="00FF3126">
        <w:fldChar w:fldCharType="begin"/>
      </w:r>
      <w:r w:rsidR="00FF3126">
        <w:instrText xml:space="preserve"> REF _Ref521491591 \h </w:instrText>
      </w:r>
      <w:r w:rsidR="00FF3126">
        <w:fldChar w:fldCharType="separate"/>
      </w:r>
      <w:r w:rsidR="00910A73" w:rsidRPr="009114F6">
        <w:t xml:space="preserve">Table </w:t>
      </w:r>
      <w:r w:rsidR="00910A73">
        <w:rPr>
          <w:noProof/>
        </w:rPr>
        <w:t>7</w:t>
      </w:r>
      <w:r w:rsidR="00910A73">
        <w:noBreakHyphen/>
      </w:r>
      <w:r w:rsidR="00910A73">
        <w:rPr>
          <w:noProof/>
        </w:rPr>
        <w:t>9</w:t>
      </w:r>
      <w:r w:rsidR="00FF3126">
        <w:fldChar w:fldCharType="end"/>
      </w:r>
      <w:r w:rsidR="00FF3126">
        <w:t>.</w:t>
      </w:r>
    </w:p>
    <w:p w:rsidR="00D0308F" w:rsidRPr="009114F6" w:rsidRDefault="00D0308F" w:rsidP="00F8657D">
      <w:pPr>
        <w:pStyle w:val="Caption"/>
        <w:keepNext/>
      </w:pPr>
      <w:bookmarkStart w:id="527" w:name="_Toc517350936"/>
      <w:bookmarkStart w:id="528" w:name="_Toc517351100"/>
      <w:bookmarkStart w:id="529" w:name="_Toc517773404"/>
      <w:bookmarkStart w:id="530" w:name="_Toc517788551"/>
      <w:bookmarkStart w:id="531" w:name="_Toc517794980"/>
      <w:bookmarkStart w:id="532" w:name="_Toc517350937"/>
      <w:bookmarkStart w:id="533" w:name="_Toc517351101"/>
      <w:bookmarkStart w:id="534" w:name="_Toc517773405"/>
      <w:bookmarkStart w:id="535" w:name="_Toc517788552"/>
      <w:bookmarkStart w:id="536" w:name="_Toc517794981"/>
      <w:bookmarkStart w:id="537" w:name="_Ref521491478"/>
      <w:bookmarkStart w:id="538" w:name="_Ref518574196"/>
      <w:bookmarkStart w:id="539" w:name="_Toc525897820"/>
      <w:bookmarkStart w:id="540" w:name="_Ref506805050"/>
      <w:bookmarkStart w:id="541" w:name="_Ref504032899"/>
      <w:bookmarkStart w:id="542" w:name="_Toc504063182"/>
      <w:bookmarkStart w:id="543" w:name="_Toc504388872"/>
      <w:bookmarkStart w:id="544" w:name="_Toc504401723"/>
      <w:bookmarkStart w:id="545" w:name="_Toc504649929"/>
      <w:bookmarkStart w:id="546" w:name="_Toc408237950"/>
      <w:bookmarkStart w:id="547" w:name="_Toc408314144"/>
      <w:bookmarkEnd w:id="2"/>
      <w:bookmarkEnd w:id="472"/>
      <w:bookmarkEnd w:id="473"/>
      <w:bookmarkEnd w:id="474"/>
      <w:bookmarkEnd w:id="475"/>
      <w:bookmarkEnd w:id="527"/>
      <w:bookmarkEnd w:id="528"/>
      <w:bookmarkEnd w:id="529"/>
      <w:bookmarkEnd w:id="530"/>
      <w:bookmarkEnd w:id="531"/>
      <w:bookmarkEnd w:id="532"/>
      <w:bookmarkEnd w:id="533"/>
      <w:bookmarkEnd w:id="534"/>
      <w:bookmarkEnd w:id="535"/>
      <w:bookmarkEnd w:id="536"/>
      <w:r w:rsidRPr="009114F6">
        <w:lastRenderedPageBreak/>
        <w:t xml:space="preserve">Table </w:t>
      </w:r>
      <w:r w:rsidR="00DE5D49">
        <w:rPr>
          <w:noProof/>
        </w:rPr>
        <w:fldChar w:fldCharType="begin"/>
      </w:r>
      <w:r w:rsidR="00DE5D49">
        <w:rPr>
          <w:noProof/>
        </w:rPr>
        <w:instrText xml:space="preserve"> STYLEREF 1 \s </w:instrText>
      </w:r>
      <w:r w:rsidR="00DE5D49">
        <w:rPr>
          <w:noProof/>
        </w:rPr>
        <w:fldChar w:fldCharType="separate"/>
      </w:r>
      <w:r w:rsidR="00910A73">
        <w:rPr>
          <w:noProof/>
        </w:rPr>
        <w:t>7</w:t>
      </w:r>
      <w:r w:rsidR="00DE5D49">
        <w:rPr>
          <w:noProof/>
        </w:rPr>
        <w:fldChar w:fldCharType="end"/>
      </w:r>
      <w:r w:rsidR="00325A73">
        <w:noBreakHyphen/>
      </w:r>
      <w:r w:rsidR="00DE5D49">
        <w:rPr>
          <w:noProof/>
        </w:rPr>
        <w:fldChar w:fldCharType="begin"/>
      </w:r>
      <w:r w:rsidR="00DE5D49">
        <w:rPr>
          <w:noProof/>
        </w:rPr>
        <w:instrText xml:space="preserve"> SEQ Table \* ARABIC \s 1 </w:instrText>
      </w:r>
      <w:r w:rsidR="00DE5D49">
        <w:rPr>
          <w:noProof/>
        </w:rPr>
        <w:fldChar w:fldCharType="separate"/>
      </w:r>
      <w:r w:rsidR="00910A73">
        <w:rPr>
          <w:noProof/>
        </w:rPr>
        <w:t>6</w:t>
      </w:r>
      <w:r w:rsidR="00DE5D49">
        <w:rPr>
          <w:noProof/>
        </w:rPr>
        <w:fldChar w:fldCharType="end"/>
      </w:r>
      <w:bookmarkEnd w:id="537"/>
      <w:bookmarkEnd w:id="538"/>
      <w:r w:rsidRPr="009114F6">
        <w:t xml:space="preserve">: Illustrative </w:t>
      </w:r>
      <w:r w:rsidR="00CC6F6D" w:rsidRPr="009114F6">
        <w:t>whole</w:t>
      </w:r>
      <w:r w:rsidR="00CC6F6D">
        <w:t>-</w:t>
      </w:r>
      <w:r w:rsidR="00CC6F6D" w:rsidRPr="009114F6">
        <w:t>of</w:t>
      </w:r>
      <w:r w:rsidR="00CC6F6D">
        <w:t>-</w:t>
      </w:r>
      <w:r w:rsidRPr="009114F6">
        <w:t xml:space="preserve">economy benefits – Shopping </w:t>
      </w:r>
      <w:r w:rsidR="00311261">
        <w:t>c</w:t>
      </w:r>
      <w:r w:rsidRPr="009114F6">
        <w:t>entres</w:t>
      </w:r>
      <w:bookmarkEnd w:id="539"/>
      <w:r w:rsidR="00AF7114">
        <w:t xml:space="preserve"> </w:t>
      </w:r>
    </w:p>
    <w:tbl>
      <w:tblPr>
        <w:tblStyle w:val="TableGrid"/>
        <w:tblW w:w="5004"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Caption w:val="Table 7 6: Illustrative whole of economy benefits – Shopping Centres"/>
        <w:tblDescription w:val="Illustrative whole of economy benefits for shopping centres."/>
      </w:tblPr>
      <w:tblGrid>
        <w:gridCol w:w="3115"/>
        <w:gridCol w:w="1700"/>
        <w:gridCol w:w="1559"/>
        <w:gridCol w:w="1559"/>
        <w:gridCol w:w="1702"/>
      </w:tblGrid>
      <w:tr w:rsidR="00D0308F" w:rsidRPr="00537446" w:rsidTr="00DD6CB8">
        <w:trPr>
          <w:trHeight w:val="290"/>
        </w:trPr>
        <w:tc>
          <w:tcPr>
            <w:tcW w:w="3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C83556" w:rsidRDefault="00D0308F" w:rsidP="00DD6CB8">
            <w:pPr>
              <w:spacing w:before="60" w:after="60"/>
              <w:jc w:val="left"/>
              <w:rPr>
                <w:rFonts w:eastAsia="Times New Roman" w:cs="Arial"/>
                <w:color w:val="FFFFFF" w:themeColor="background1"/>
                <w:sz w:val="20"/>
                <w:szCs w:val="20"/>
                <w:lang w:eastAsia="en-AU"/>
              </w:rPr>
            </w:pPr>
          </w:p>
        </w:tc>
        <w:tc>
          <w:tcPr>
            <w:tcW w:w="1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602F49" w:rsidRDefault="00D0308F" w:rsidP="00DD6CB8">
            <w:pPr>
              <w:spacing w:before="60" w:after="60"/>
              <w:jc w:val="left"/>
              <w:rPr>
                <w:rFonts w:eastAsia="Times New Roman" w:cs="Arial"/>
                <w:color w:val="FFFFFF" w:themeColor="background1"/>
                <w:sz w:val="20"/>
                <w:szCs w:val="20"/>
                <w:lang w:eastAsia="en-AU"/>
              </w:rPr>
            </w:pPr>
            <w:r w:rsidRPr="00C83556">
              <w:rPr>
                <w:rFonts w:eastAsia="Times New Roman" w:cs="Arial"/>
                <w:color w:val="FFFFFF" w:themeColor="background1"/>
                <w:sz w:val="20"/>
                <w:szCs w:val="20"/>
                <w:lang w:eastAsia="en-AU"/>
              </w:rPr>
              <w:t>Regulatory Option A –</w:t>
            </w:r>
            <w:r w:rsidRPr="00602F49">
              <w:rPr>
                <w:rFonts w:eastAsia="Times New Roman" w:cs="Arial"/>
                <w:color w:val="FFFFFF" w:themeColor="background1"/>
                <w:sz w:val="20"/>
                <w:szCs w:val="20"/>
                <w:lang w:eastAsia="en-AU"/>
              </w:rPr>
              <w:t xml:space="preserve"> co-located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DD6CB8" w:rsidRDefault="00D0308F" w:rsidP="00DD6CB8">
            <w:pPr>
              <w:spacing w:before="60" w:after="60"/>
              <w:jc w:val="left"/>
              <w:rPr>
                <w:rFonts w:eastAsia="Times New Roman" w:cs="Arial"/>
                <w:color w:val="FFFFFF" w:themeColor="background1"/>
                <w:sz w:val="20"/>
                <w:szCs w:val="20"/>
                <w:lang w:eastAsia="en-AU"/>
              </w:rPr>
            </w:pPr>
            <w:r w:rsidRPr="00602F49">
              <w:rPr>
                <w:rFonts w:eastAsia="Times New Roman" w:cs="Arial"/>
                <w:color w:val="FFFFFF" w:themeColor="background1"/>
                <w:sz w:val="20"/>
                <w:szCs w:val="20"/>
                <w:lang w:eastAsia="en-AU"/>
              </w:rPr>
              <w:t xml:space="preserve">Regulatory Option A </w:t>
            </w:r>
            <w:r w:rsidR="007023CF" w:rsidRPr="00602F49">
              <w:rPr>
                <w:rFonts w:eastAsia="Times New Roman" w:cs="Arial"/>
                <w:color w:val="FFFFFF" w:themeColor="background1"/>
                <w:sz w:val="20"/>
                <w:szCs w:val="20"/>
                <w:lang w:eastAsia="en-AU"/>
              </w:rPr>
              <w:t>–</w:t>
            </w:r>
            <w:r w:rsidRPr="00DD6CB8">
              <w:rPr>
                <w:rFonts w:eastAsia="Times New Roman" w:cs="Arial"/>
                <w:color w:val="FFFFFF" w:themeColor="background1"/>
                <w:sz w:val="20"/>
                <w:szCs w:val="20"/>
                <w:lang w:eastAsia="en-AU"/>
              </w:rPr>
              <w:t xml:space="preserve"> separate</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DD6CB8" w:rsidRDefault="00D0308F" w:rsidP="00DD6CB8">
            <w:pPr>
              <w:spacing w:before="60" w:after="60"/>
              <w:jc w:val="left"/>
              <w:rPr>
                <w:rFonts w:eastAsia="Times New Roman" w:cs="Arial"/>
                <w:color w:val="FFFFFF" w:themeColor="background1"/>
                <w:sz w:val="20"/>
                <w:szCs w:val="20"/>
                <w:lang w:eastAsia="en-AU"/>
              </w:rPr>
            </w:pPr>
            <w:r w:rsidRPr="00DD6CB8">
              <w:rPr>
                <w:rFonts w:eastAsia="Times New Roman" w:cs="Arial"/>
                <w:color w:val="FFFFFF" w:themeColor="background1"/>
                <w:sz w:val="20"/>
                <w:szCs w:val="20"/>
                <w:lang w:eastAsia="en-AU"/>
              </w:rPr>
              <w:t>Regulatory Option B (Changing Places)</w:t>
            </w:r>
          </w:p>
        </w:tc>
        <w:tc>
          <w:tcPr>
            <w:tcW w:w="1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DD6CB8" w:rsidRDefault="00D0308F" w:rsidP="00DD6CB8">
            <w:pPr>
              <w:spacing w:before="60" w:after="60"/>
              <w:jc w:val="left"/>
              <w:rPr>
                <w:rFonts w:eastAsia="Times New Roman" w:cs="Arial"/>
                <w:color w:val="FFFFFF" w:themeColor="background1"/>
                <w:sz w:val="20"/>
                <w:szCs w:val="20"/>
                <w:lang w:eastAsia="en-AU"/>
              </w:rPr>
            </w:pPr>
            <w:r w:rsidRPr="00DD6CB8">
              <w:rPr>
                <w:rFonts w:eastAsia="Times New Roman" w:cs="Arial"/>
                <w:color w:val="FFFFFF" w:themeColor="background1"/>
                <w:sz w:val="20"/>
                <w:szCs w:val="20"/>
                <w:lang w:eastAsia="en-AU"/>
              </w:rPr>
              <w:t>Non</w:t>
            </w:r>
            <w:r w:rsidR="00B25A9F">
              <w:rPr>
                <w:rFonts w:eastAsia="Times New Roman" w:cs="Arial"/>
                <w:color w:val="FFFFFF" w:themeColor="background1"/>
                <w:sz w:val="20"/>
                <w:szCs w:val="20"/>
                <w:lang w:eastAsia="en-AU"/>
              </w:rPr>
              <w:t>-r</w:t>
            </w:r>
            <w:r w:rsidRPr="00DD6CB8">
              <w:rPr>
                <w:rFonts w:eastAsia="Times New Roman" w:cs="Arial"/>
                <w:color w:val="FFFFFF" w:themeColor="background1"/>
                <w:sz w:val="20"/>
                <w:szCs w:val="20"/>
                <w:lang w:eastAsia="en-AU"/>
              </w:rPr>
              <w:t>egulatory Option</w:t>
            </w:r>
          </w:p>
        </w:tc>
      </w:tr>
      <w:tr w:rsidR="00E14718" w:rsidRPr="00537446" w:rsidTr="00DD6CB8">
        <w:trPr>
          <w:trHeight w:val="290"/>
        </w:trPr>
        <w:tc>
          <w:tcPr>
            <w:tcW w:w="3115" w:type="dxa"/>
            <w:tcBorders>
              <w:top w:val="single" w:sz="4" w:space="0" w:color="FFFFFF" w:themeColor="background1"/>
            </w:tcBorders>
            <w:noWrap/>
            <w:hideMark/>
          </w:tcPr>
          <w:p w:rsidR="00E14718" w:rsidRPr="00C83556" w:rsidRDefault="00E14718" w:rsidP="00E14718">
            <w:pPr>
              <w:jc w:val="left"/>
              <w:rPr>
                <w:rFonts w:eastAsia="Times New Roman" w:cs="Arial"/>
                <w:color w:val="000000"/>
                <w:sz w:val="20"/>
                <w:szCs w:val="20"/>
                <w:lang w:eastAsia="en-AU"/>
              </w:rPr>
            </w:pPr>
            <w:r w:rsidRPr="00C83556">
              <w:rPr>
                <w:rFonts w:eastAsia="Times New Roman" w:cs="Arial"/>
                <w:color w:val="000000"/>
                <w:sz w:val="20"/>
                <w:szCs w:val="20"/>
                <w:lang w:eastAsia="en-AU"/>
              </w:rPr>
              <w:t>Present Value (PV) of Costs</w:t>
            </w:r>
          </w:p>
        </w:tc>
        <w:tc>
          <w:tcPr>
            <w:tcW w:w="1700" w:type="dxa"/>
            <w:tcBorders>
              <w:top w:val="single" w:sz="4" w:space="0" w:color="FFFFFF" w:themeColor="background1"/>
            </w:tcBorders>
            <w:noWrap/>
            <w:hideMark/>
          </w:tcPr>
          <w:p w:rsidR="00E14718" w:rsidRPr="00C83556" w:rsidRDefault="00E14718" w:rsidP="007E113B">
            <w:pPr>
              <w:pStyle w:val="EYTableText"/>
              <w:keepNext/>
              <w:jc w:val="right"/>
              <w:rPr>
                <w:sz w:val="20"/>
                <w:szCs w:val="20"/>
              </w:rPr>
            </w:pPr>
            <w:r w:rsidRPr="00C83556">
              <w:rPr>
                <w:color w:val="000000"/>
                <w:sz w:val="20"/>
                <w:szCs w:val="20"/>
              </w:rPr>
              <w:t>$9,113,399</w:t>
            </w:r>
          </w:p>
        </w:tc>
        <w:tc>
          <w:tcPr>
            <w:tcW w:w="1559" w:type="dxa"/>
            <w:tcBorders>
              <w:top w:val="single" w:sz="4" w:space="0" w:color="FFFFFF" w:themeColor="background1"/>
            </w:tcBorders>
            <w:noWrap/>
            <w:hideMark/>
          </w:tcPr>
          <w:p w:rsidR="00E14718" w:rsidRPr="00602F49" w:rsidRDefault="00E14718" w:rsidP="007E113B">
            <w:pPr>
              <w:pStyle w:val="EYTableText"/>
              <w:keepNext/>
              <w:jc w:val="right"/>
              <w:rPr>
                <w:sz w:val="20"/>
                <w:szCs w:val="20"/>
              </w:rPr>
            </w:pPr>
            <w:r w:rsidRPr="00602F49">
              <w:rPr>
                <w:color w:val="000000"/>
                <w:sz w:val="20"/>
                <w:szCs w:val="20"/>
              </w:rPr>
              <w:t>$37,621,292</w:t>
            </w:r>
          </w:p>
        </w:tc>
        <w:tc>
          <w:tcPr>
            <w:tcW w:w="1559" w:type="dxa"/>
            <w:tcBorders>
              <w:top w:val="single" w:sz="4" w:space="0" w:color="FFFFFF" w:themeColor="background1"/>
            </w:tcBorders>
            <w:noWrap/>
            <w:hideMark/>
          </w:tcPr>
          <w:p w:rsidR="00E14718" w:rsidRPr="00DD6CB8" w:rsidRDefault="00E14718" w:rsidP="007E113B">
            <w:pPr>
              <w:pStyle w:val="EYTableText"/>
              <w:keepNext/>
              <w:jc w:val="right"/>
              <w:rPr>
                <w:sz w:val="20"/>
                <w:szCs w:val="20"/>
              </w:rPr>
            </w:pPr>
            <w:r w:rsidRPr="00DD6CB8">
              <w:rPr>
                <w:color w:val="000000"/>
                <w:sz w:val="20"/>
                <w:szCs w:val="20"/>
              </w:rPr>
              <w:t>$62,787,247</w:t>
            </w:r>
          </w:p>
        </w:tc>
        <w:tc>
          <w:tcPr>
            <w:tcW w:w="1702" w:type="dxa"/>
            <w:tcBorders>
              <w:top w:val="single" w:sz="4" w:space="0" w:color="FFFFFF" w:themeColor="background1"/>
            </w:tcBorders>
            <w:noWrap/>
            <w:hideMark/>
          </w:tcPr>
          <w:p w:rsidR="00E14718" w:rsidRPr="00DD6CB8" w:rsidRDefault="00E14718" w:rsidP="007E113B">
            <w:pPr>
              <w:pStyle w:val="EYTableText"/>
              <w:keepNext/>
              <w:jc w:val="right"/>
              <w:rPr>
                <w:sz w:val="20"/>
                <w:szCs w:val="20"/>
              </w:rPr>
            </w:pPr>
            <w:r w:rsidRPr="00DD6CB8">
              <w:rPr>
                <w:color w:val="000000"/>
                <w:sz w:val="20"/>
                <w:szCs w:val="20"/>
              </w:rPr>
              <w:t>$10,907,310</w:t>
            </w:r>
          </w:p>
        </w:tc>
      </w:tr>
      <w:tr w:rsidR="006D2023" w:rsidRPr="00537446" w:rsidTr="00602F49">
        <w:trPr>
          <w:trHeight w:val="290"/>
        </w:trPr>
        <w:tc>
          <w:tcPr>
            <w:tcW w:w="9635" w:type="dxa"/>
            <w:gridSpan w:val="5"/>
            <w:shd w:val="clear" w:color="auto" w:fill="D9D9D9" w:themeFill="background1" w:themeFillShade="D9"/>
            <w:noWrap/>
            <w:hideMark/>
          </w:tcPr>
          <w:p w:rsidR="006D2023" w:rsidRPr="00DD6CB8" w:rsidRDefault="006D2023" w:rsidP="00DD6CB8">
            <w:pPr>
              <w:spacing w:before="60" w:after="60"/>
              <w:jc w:val="left"/>
            </w:pPr>
            <w:r w:rsidRPr="00C83556">
              <w:rPr>
                <w:rFonts w:eastAsia="Times New Roman" w:cs="Arial"/>
                <w:b/>
                <w:color w:val="000000"/>
                <w:sz w:val="20"/>
                <w:szCs w:val="20"/>
                <w:lang w:eastAsia="en-AU"/>
              </w:rPr>
              <w:t>Findings from case studies</w:t>
            </w:r>
          </w:p>
        </w:tc>
      </w:tr>
      <w:tr w:rsidR="00E14718" w:rsidRPr="00537446" w:rsidTr="00DD6CB8">
        <w:trPr>
          <w:trHeight w:val="520"/>
        </w:trPr>
        <w:tc>
          <w:tcPr>
            <w:tcW w:w="3115" w:type="dxa"/>
            <w:hideMark/>
          </w:tcPr>
          <w:p w:rsidR="00E14718" w:rsidRPr="00C83556" w:rsidRDefault="00E14718" w:rsidP="00E14718">
            <w:pPr>
              <w:jc w:val="left"/>
              <w:rPr>
                <w:rFonts w:eastAsia="Times New Roman" w:cs="Arial"/>
                <w:color w:val="000000"/>
                <w:sz w:val="20"/>
                <w:szCs w:val="20"/>
                <w:lang w:eastAsia="en-AU"/>
              </w:rPr>
            </w:pPr>
            <w:r w:rsidRPr="00C83556">
              <w:rPr>
                <w:rFonts w:eastAsia="Times New Roman" w:cs="Arial"/>
                <w:color w:val="000000"/>
                <w:sz w:val="20"/>
                <w:szCs w:val="20"/>
                <w:lang w:eastAsia="en-AU"/>
              </w:rPr>
              <w:t>Break</w:t>
            </w:r>
            <w:r w:rsidR="001440BA">
              <w:rPr>
                <w:rFonts w:eastAsia="Times New Roman" w:cs="Arial"/>
                <w:color w:val="000000"/>
                <w:sz w:val="20"/>
                <w:szCs w:val="20"/>
                <w:lang w:eastAsia="en-AU"/>
              </w:rPr>
              <w:t>-</w:t>
            </w:r>
            <w:r w:rsidRPr="00C83556">
              <w:rPr>
                <w:rFonts w:eastAsia="Times New Roman" w:cs="Arial"/>
                <w:color w:val="000000"/>
                <w:sz w:val="20"/>
                <w:szCs w:val="20"/>
                <w:lang w:eastAsia="en-AU"/>
              </w:rPr>
              <w:t xml:space="preserve">Even Point (BE, </w:t>
            </w:r>
            <w:r w:rsidR="00B25A9F">
              <w:rPr>
                <w:rFonts w:eastAsia="Times New Roman" w:cs="Arial"/>
                <w:color w:val="000000"/>
                <w:sz w:val="20"/>
                <w:szCs w:val="20"/>
                <w:lang w:eastAsia="en-AU"/>
              </w:rPr>
              <w:t>r</w:t>
            </w:r>
            <w:r w:rsidRPr="00C83556">
              <w:rPr>
                <w:rFonts w:eastAsia="Times New Roman" w:cs="Arial"/>
                <w:color w:val="000000"/>
                <w:sz w:val="20"/>
                <w:szCs w:val="20"/>
                <w:lang w:eastAsia="en-AU"/>
              </w:rPr>
              <w:t>equired benefit per person per trip to break even)</w:t>
            </w:r>
          </w:p>
        </w:tc>
        <w:tc>
          <w:tcPr>
            <w:tcW w:w="1700" w:type="dxa"/>
            <w:noWrap/>
            <w:hideMark/>
          </w:tcPr>
          <w:p w:rsidR="00E14718" w:rsidRPr="00C83556" w:rsidRDefault="00E14718" w:rsidP="007E113B">
            <w:pPr>
              <w:pStyle w:val="EYTableText"/>
              <w:keepNext/>
              <w:jc w:val="right"/>
              <w:rPr>
                <w:sz w:val="20"/>
                <w:szCs w:val="20"/>
              </w:rPr>
            </w:pPr>
            <w:r w:rsidRPr="00C83556">
              <w:rPr>
                <w:color w:val="000000"/>
                <w:sz w:val="20"/>
                <w:szCs w:val="20"/>
              </w:rPr>
              <w:t>$2.16</w:t>
            </w:r>
          </w:p>
        </w:tc>
        <w:tc>
          <w:tcPr>
            <w:tcW w:w="1559" w:type="dxa"/>
            <w:noWrap/>
          </w:tcPr>
          <w:p w:rsidR="00E14718" w:rsidRPr="00602F49" w:rsidRDefault="00E14718" w:rsidP="007E113B">
            <w:pPr>
              <w:pStyle w:val="EYTableText"/>
              <w:keepNext/>
              <w:jc w:val="right"/>
              <w:rPr>
                <w:sz w:val="20"/>
                <w:szCs w:val="20"/>
              </w:rPr>
            </w:pPr>
            <w:r w:rsidRPr="00602F49">
              <w:rPr>
                <w:color w:val="000000"/>
                <w:sz w:val="20"/>
                <w:szCs w:val="20"/>
              </w:rPr>
              <w:t>$3.45</w:t>
            </w:r>
          </w:p>
        </w:tc>
        <w:tc>
          <w:tcPr>
            <w:tcW w:w="1559" w:type="dxa"/>
            <w:noWrap/>
          </w:tcPr>
          <w:p w:rsidR="00E14718" w:rsidRPr="00DD6CB8" w:rsidRDefault="00E14718" w:rsidP="007E113B">
            <w:pPr>
              <w:pStyle w:val="EYTableText"/>
              <w:keepNext/>
              <w:jc w:val="right"/>
              <w:rPr>
                <w:sz w:val="20"/>
                <w:szCs w:val="20"/>
              </w:rPr>
            </w:pPr>
            <w:r w:rsidRPr="00602F49">
              <w:rPr>
                <w:color w:val="000000"/>
                <w:sz w:val="20"/>
                <w:szCs w:val="20"/>
              </w:rPr>
              <w:t>$4.54</w:t>
            </w:r>
          </w:p>
        </w:tc>
        <w:tc>
          <w:tcPr>
            <w:tcW w:w="1702" w:type="dxa"/>
            <w:noWrap/>
          </w:tcPr>
          <w:p w:rsidR="00E14718" w:rsidRPr="00DD6CB8" w:rsidRDefault="00E14718" w:rsidP="007E113B">
            <w:pPr>
              <w:pStyle w:val="EYTableText"/>
              <w:keepNext/>
              <w:jc w:val="right"/>
              <w:rPr>
                <w:sz w:val="20"/>
                <w:szCs w:val="20"/>
              </w:rPr>
            </w:pPr>
            <w:r w:rsidRPr="00DD6CB8">
              <w:rPr>
                <w:color w:val="000000"/>
                <w:sz w:val="20"/>
                <w:szCs w:val="20"/>
              </w:rPr>
              <w:t>$2.16</w:t>
            </w:r>
          </w:p>
        </w:tc>
      </w:tr>
      <w:tr w:rsidR="00E14718" w:rsidRPr="00537446" w:rsidTr="00DD6CB8">
        <w:trPr>
          <w:trHeight w:val="290"/>
        </w:trPr>
        <w:tc>
          <w:tcPr>
            <w:tcW w:w="3115" w:type="dxa"/>
            <w:noWrap/>
            <w:hideMark/>
          </w:tcPr>
          <w:p w:rsidR="00E14718" w:rsidRPr="00C83556" w:rsidRDefault="00E14718" w:rsidP="00E14718">
            <w:pPr>
              <w:jc w:val="left"/>
              <w:rPr>
                <w:rFonts w:eastAsia="Times New Roman" w:cs="Arial"/>
                <w:color w:val="000000"/>
                <w:sz w:val="20"/>
                <w:szCs w:val="20"/>
                <w:lang w:eastAsia="en-AU"/>
              </w:rPr>
            </w:pPr>
            <w:r w:rsidRPr="00C83556">
              <w:rPr>
                <w:rFonts w:eastAsia="Times New Roman" w:cs="Arial"/>
                <w:color w:val="000000"/>
                <w:sz w:val="20"/>
                <w:szCs w:val="20"/>
                <w:lang w:eastAsia="en-AU"/>
              </w:rPr>
              <w:t>Willingness to Pay (WTP)</w:t>
            </w:r>
          </w:p>
        </w:tc>
        <w:tc>
          <w:tcPr>
            <w:tcW w:w="1700" w:type="dxa"/>
            <w:noWrap/>
            <w:hideMark/>
          </w:tcPr>
          <w:p w:rsidR="00E14718" w:rsidRPr="00C83556" w:rsidRDefault="00E14718" w:rsidP="007E113B">
            <w:pPr>
              <w:pStyle w:val="EYTableText"/>
              <w:keepNext/>
              <w:jc w:val="right"/>
              <w:rPr>
                <w:sz w:val="20"/>
                <w:szCs w:val="20"/>
              </w:rPr>
            </w:pPr>
            <w:r w:rsidRPr="00C83556">
              <w:rPr>
                <w:color w:val="000000"/>
                <w:sz w:val="20"/>
                <w:szCs w:val="20"/>
              </w:rPr>
              <w:t>$13.16</w:t>
            </w:r>
          </w:p>
        </w:tc>
        <w:tc>
          <w:tcPr>
            <w:tcW w:w="1559" w:type="dxa"/>
            <w:noWrap/>
          </w:tcPr>
          <w:p w:rsidR="00E14718" w:rsidRPr="00602F49" w:rsidRDefault="00E14718" w:rsidP="007E113B">
            <w:pPr>
              <w:pStyle w:val="EYTableText"/>
              <w:keepNext/>
              <w:jc w:val="right"/>
              <w:rPr>
                <w:sz w:val="20"/>
                <w:szCs w:val="20"/>
              </w:rPr>
            </w:pPr>
            <w:r w:rsidRPr="00602F49">
              <w:rPr>
                <w:color w:val="000000"/>
                <w:sz w:val="20"/>
                <w:szCs w:val="20"/>
              </w:rPr>
              <w:t>$13.16</w:t>
            </w:r>
          </w:p>
        </w:tc>
        <w:tc>
          <w:tcPr>
            <w:tcW w:w="1559" w:type="dxa"/>
            <w:noWrap/>
          </w:tcPr>
          <w:p w:rsidR="00E14718" w:rsidRPr="00DD6CB8" w:rsidRDefault="00E14718" w:rsidP="007E113B">
            <w:pPr>
              <w:pStyle w:val="EYTableText"/>
              <w:keepNext/>
              <w:jc w:val="right"/>
              <w:rPr>
                <w:sz w:val="20"/>
                <w:szCs w:val="20"/>
              </w:rPr>
            </w:pPr>
            <w:r w:rsidRPr="00602F49">
              <w:rPr>
                <w:color w:val="000000"/>
                <w:sz w:val="20"/>
                <w:szCs w:val="20"/>
              </w:rPr>
              <w:t>$13.16</w:t>
            </w:r>
          </w:p>
        </w:tc>
        <w:tc>
          <w:tcPr>
            <w:tcW w:w="1702" w:type="dxa"/>
            <w:noWrap/>
          </w:tcPr>
          <w:p w:rsidR="00E14718" w:rsidRPr="00DD6CB8" w:rsidRDefault="00E14718" w:rsidP="007E113B">
            <w:pPr>
              <w:pStyle w:val="EYTableText"/>
              <w:keepNext/>
              <w:jc w:val="right"/>
              <w:rPr>
                <w:sz w:val="20"/>
                <w:szCs w:val="20"/>
              </w:rPr>
            </w:pPr>
            <w:r w:rsidRPr="00DD6CB8">
              <w:rPr>
                <w:color w:val="000000"/>
                <w:sz w:val="20"/>
                <w:szCs w:val="20"/>
              </w:rPr>
              <w:t>$13.16</w:t>
            </w:r>
          </w:p>
        </w:tc>
      </w:tr>
      <w:tr w:rsidR="00E14718" w:rsidRPr="00537446" w:rsidTr="00DD6CB8">
        <w:trPr>
          <w:trHeight w:val="290"/>
        </w:trPr>
        <w:tc>
          <w:tcPr>
            <w:tcW w:w="3115" w:type="dxa"/>
            <w:noWrap/>
            <w:hideMark/>
          </w:tcPr>
          <w:p w:rsidR="00E14718" w:rsidRPr="00C83556" w:rsidRDefault="007C69BF" w:rsidP="00E14718">
            <w:pPr>
              <w:jc w:val="left"/>
              <w:rPr>
                <w:rFonts w:eastAsia="Times New Roman" w:cs="Arial"/>
                <w:color w:val="000000"/>
                <w:sz w:val="20"/>
                <w:szCs w:val="20"/>
                <w:lang w:eastAsia="en-AU"/>
              </w:rPr>
            </w:pPr>
            <w:r w:rsidRPr="00C83556">
              <w:rPr>
                <w:rFonts w:eastAsia="Times New Roman" w:cs="Arial"/>
                <w:color w:val="000000"/>
                <w:sz w:val="20"/>
                <w:szCs w:val="20"/>
                <w:lang w:eastAsia="en-AU"/>
              </w:rPr>
              <w:t>Mid-</w:t>
            </w:r>
            <w:r w:rsidR="00B25A9F">
              <w:rPr>
                <w:rFonts w:eastAsia="Times New Roman" w:cs="Arial"/>
                <w:color w:val="000000"/>
                <w:sz w:val="20"/>
                <w:szCs w:val="20"/>
                <w:lang w:eastAsia="en-AU"/>
              </w:rPr>
              <w:t>p</w:t>
            </w:r>
            <w:r w:rsidRPr="00C83556">
              <w:rPr>
                <w:rFonts w:eastAsia="Times New Roman" w:cs="Arial"/>
                <w:color w:val="000000"/>
                <w:sz w:val="20"/>
                <w:szCs w:val="20"/>
                <w:lang w:eastAsia="en-AU"/>
              </w:rPr>
              <w:t>oint</w:t>
            </w:r>
            <w:r w:rsidR="00E14718" w:rsidRPr="00C83556">
              <w:rPr>
                <w:rFonts w:eastAsia="Times New Roman" w:cs="Arial"/>
                <w:color w:val="000000"/>
                <w:sz w:val="20"/>
                <w:szCs w:val="20"/>
                <w:lang w:eastAsia="en-AU"/>
              </w:rPr>
              <w:t xml:space="preserve"> of WTP and BE</w:t>
            </w:r>
          </w:p>
        </w:tc>
        <w:tc>
          <w:tcPr>
            <w:tcW w:w="1700" w:type="dxa"/>
            <w:noWrap/>
            <w:hideMark/>
          </w:tcPr>
          <w:p w:rsidR="00E14718" w:rsidRPr="00C83556" w:rsidRDefault="00E14718" w:rsidP="007E113B">
            <w:pPr>
              <w:pStyle w:val="EYTableText"/>
              <w:keepNext/>
              <w:jc w:val="right"/>
              <w:rPr>
                <w:sz w:val="20"/>
                <w:szCs w:val="20"/>
              </w:rPr>
            </w:pPr>
            <w:r w:rsidRPr="00C83556">
              <w:rPr>
                <w:color w:val="000000"/>
                <w:sz w:val="20"/>
                <w:szCs w:val="20"/>
              </w:rPr>
              <w:t>$7.66</w:t>
            </w:r>
          </w:p>
        </w:tc>
        <w:tc>
          <w:tcPr>
            <w:tcW w:w="1559" w:type="dxa"/>
            <w:noWrap/>
          </w:tcPr>
          <w:p w:rsidR="00E14718" w:rsidRPr="00602F49" w:rsidRDefault="00E14718" w:rsidP="007E113B">
            <w:pPr>
              <w:pStyle w:val="EYTableText"/>
              <w:keepNext/>
              <w:jc w:val="right"/>
              <w:rPr>
                <w:sz w:val="20"/>
                <w:szCs w:val="20"/>
              </w:rPr>
            </w:pPr>
            <w:r w:rsidRPr="00602F49">
              <w:rPr>
                <w:color w:val="000000"/>
                <w:sz w:val="20"/>
                <w:szCs w:val="20"/>
              </w:rPr>
              <w:t>$8.30</w:t>
            </w:r>
          </w:p>
        </w:tc>
        <w:tc>
          <w:tcPr>
            <w:tcW w:w="1559" w:type="dxa"/>
            <w:noWrap/>
          </w:tcPr>
          <w:p w:rsidR="00E14718" w:rsidRPr="00DD6CB8" w:rsidRDefault="00E14718" w:rsidP="007E113B">
            <w:pPr>
              <w:pStyle w:val="EYTableText"/>
              <w:keepNext/>
              <w:jc w:val="right"/>
              <w:rPr>
                <w:sz w:val="20"/>
                <w:szCs w:val="20"/>
              </w:rPr>
            </w:pPr>
            <w:r w:rsidRPr="00602F49">
              <w:rPr>
                <w:color w:val="000000"/>
                <w:sz w:val="20"/>
                <w:szCs w:val="20"/>
              </w:rPr>
              <w:t>$</w:t>
            </w:r>
            <w:r w:rsidRPr="00DD6CB8">
              <w:rPr>
                <w:color w:val="000000"/>
                <w:sz w:val="20"/>
                <w:szCs w:val="20"/>
              </w:rPr>
              <w:t>8.85</w:t>
            </w:r>
          </w:p>
        </w:tc>
        <w:tc>
          <w:tcPr>
            <w:tcW w:w="1702" w:type="dxa"/>
            <w:noWrap/>
          </w:tcPr>
          <w:p w:rsidR="00E14718" w:rsidRPr="00DD6CB8" w:rsidRDefault="00E14718" w:rsidP="007E113B">
            <w:pPr>
              <w:pStyle w:val="EYTableText"/>
              <w:keepNext/>
              <w:jc w:val="right"/>
              <w:rPr>
                <w:sz w:val="20"/>
                <w:szCs w:val="20"/>
              </w:rPr>
            </w:pPr>
            <w:r w:rsidRPr="00DD6CB8">
              <w:rPr>
                <w:color w:val="000000"/>
                <w:sz w:val="20"/>
                <w:szCs w:val="20"/>
              </w:rPr>
              <w:t>$7.66</w:t>
            </w:r>
          </w:p>
        </w:tc>
      </w:tr>
      <w:tr w:rsidR="006D2023" w:rsidRPr="00537446" w:rsidTr="00602F49">
        <w:trPr>
          <w:trHeight w:val="290"/>
        </w:trPr>
        <w:tc>
          <w:tcPr>
            <w:tcW w:w="9635" w:type="dxa"/>
            <w:gridSpan w:val="5"/>
            <w:shd w:val="clear" w:color="auto" w:fill="D9D9D9" w:themeFill="background1" w:themeFillShade="D9"/>
            <w:noWrap/>
            <w:hideMark/>
          </w:tcPr>
          <w:p w:rsidR="006D2023" w:rsidRPr="00DD6CB8" w:rsidRDefault="006D2023" w:rsidP="00DD6CB8">
            <w:pPr>
              <w:spacing w:before="60" w:after="60"/>
              <w:jc w:val="left"/>
            </w:pPr>
            <w:r w:rsidRPr="00C83556">
              <w:rPr>
                <w:rFonts w:eastAsia="Times New Roman" w:cs="Arial"/>
                <w:b/>
                <w:color w:val="000000"/>
                <w:sz w:val="20"/>
                <w:szCs w:val="20"/>
                <w:lang w:eastAsia="en-AU"/>
              </w:rPr>
              <w:t>Economic benefit - TC</w:t>
            </w:r>
          </w:p>
        </w:tc>
      </w:tr>
      <w:tr w:rsidR="00E14718" w:rsidRPr="00537446" w:rsidTr="00DD6CB8">
        <w:trPr>
          <w:trHeight w:val="290"/>
        </w:trPr>
        <w:tc>
          <w:tcPr>
            <w:tcW w:w="3115" w:type="dxa"/>
            <w:noWrap/>
            <w:hideMark/>
          </w:tcPr>
          <w:p w:rsidR="00E14718" w:rsidRPr="00C83556" w:rsidRDefault="00E14718" w:rsidP="00E14718">
            <w:pPr>
              <w:jc w:val="left"/>
              <w:rPr>
                <w:rFonts w:eastAsia="Times New Roman" w:cs="Arial"/>
                <w:color w:val="000000"/>
                <w:sz w:val="20"/>
                <w:szCs w:val="20"/>
                <w:lang w:eastAsia="en-AU"/>
              </w:rPr>
            </w:pPr>
            <w:r w:rsidRPr="00C83556">
              <w:rPr>
                <w:rFonts w:eastAsia="Times New Roman" w:cs="Arial"/>
                <w:color w:val="000000"/>
                <w:sz w:val="20"/>
                <w:szCs w:val="20"/>
                <w:lang w:eastAsia="en-AU"/>
              </w:rPr>
              <w:t>Benefits (PV)</w:t>
            </w:r>
          </w:p>
        </w:tc>
        <w:tc>
          <w:tcPr>
            <w:tcW w:w="1700" w:type="dxa"/>
            <w:noWrap/>
            <w:hideMark/>
          </w:tcPr>
          <w:p w:rsidR="00E14718" w:rsidRPr="00C83556" w:rsidRDefault="00E14718" w:rsidP="007E113B">
            <w:pPr>
              <w:pStyle w:val="EYTableText"/>
              <w:keepNext/>
              <w:jc w:val="right"/>
              <w:rPr>
                <w:sz w:val="20"/>
                <w:szCs w:val="20"/>
              </w:rPr>
            </w:pPr>
            <w:r w:rsidRPr="00C83556">
              <w:rPr>
                <w:color w:val="000000"/>
                <w:sz w:val="20"/>
                <w:szCs w:val="20"/>
              </w:rPr>
              <w:t>$163,747,755</w:t>
            </w:r>
          </w:p>
        </w:tc>
        <w:tc>
          <w:tcPr>
            <w:tcW w:w="1559" w:type="dxa"/>
            <w:noWrap/>
          </w:tcPr>
          <w:p w:rsidR="00E14718" w:rsidRPr="00602F49" w:rsidRDefault="00E14718" w:rsidP="007E113B">
            <w:pPr>
              <w:pStyle w:val="EYTableText"/>
              <w:keepNext/>
              <w:jc w:val="right"/>
              <w:rPr>
                <w:sz w:val="20"/>
                <w:szCs w:val="20"/>
              </w:rPr>
            </w:pPr>
            <w:r w:rsidRPr="00602F49">
              <w:rPr>
                <w:color w:val="000000"/>
                <w:sz w:val="20"/>
                <w:szCs w:val="20"/>
              </w:rPr>
              <w:t>$163,747,755</w:t>
            </w:r>
          </w:p>
        </w:tc>
        <w:tc>
          <w:tcPr>
            <w:tcW w:w="1559" w:type="dxa"/>
            <w:noWrap/>
          </w:tcPr>
          <w:p w:rsidR="00E14718" w:rsidRPr="00DD6CB8" w:rsidRDefault="00E14718" w:rsidP="007E113B">
            <w:pPr>
              <w:pStyle w:val="EYTableText"/>
              <w:keepNext/>
              <w:jc w:val="right"/>
              <w:rPr>
                <w:sz w:val="20"/>
                <w:szCs w:val="20"/>
              </w:rPr>
            </w:pPr>
            <w:r w:rsidRPr="00602F49">
              <w:rPr>
                <w:color w:val="000000"/>
                <w:sz w:val="20"/>
                <w:szCs w:val="20"/>
              </w:rPr>
              <w:t>$163,747,755</w:t>
            </w:r>
          </w:p>
        </w:tc>
        <w:tc>
          <w:tcPr>
            <w:tcW w:w="1702" w:type="dxa"/>
            <w:noWrap/>
          </w:tcPr>
          <w:p w:rsidR="00E14718" w:rsidRPr="00DD6CB8" w:rsidRDefault="00E14718" w:rsidP="007E113B">
            <w:pPr>
              <w:pStyle w:val="EYTableText"/>
              <w:keepNext/>
              <w:jc w:val="right"/>
              <w:rPr>
                <w:sz w:val="20"/>
                <w:szCs w:val="20"/>
              </w:rPr>
            </w:pPr>
            <w:r w:rsidRPr="00DD6CB8">
              <w:rPr>
                <w:color w:val="000000"/>
                <w:sz w:val="20"/>
                <w:szCs w:val="20"/>
              </w:rPr>
              <w:t>$98,248,653</w:t>
            </w:r>
          </w:p>
        </w:tc>
      </w:tr>
      <w:tr w:rsidR="00E14718" w:rsidRPr="00537446" w:rsidTr="00DD6CB8">
        <w:trPr>
          <w:trHeight w:val="290"/>
        </w:trPr>
        <w:tc>
          <w:tcPr>
            <w:tcW w:w="3115" w:type="dxa"/>
            <w:noWrap/>
            <w:hideMark/>
          </w:tcPr>
          <w:p w:rsidR="00E14718" w:rsidRPr="00C83556" w:rsidRDefault="00E14718" w:rsidP="00E14718">
            <w:pPr>
              <w:jc w:val="left"/>
              <w:rPr>
                <w:rFonts w:eastAsia="Times New Roman" w:cs="Arial"/>
                <w:color w:val="000000"/>
                <w:sz w:val="20"/>
                <w:szCs w:val="20"/>
                <w:lang w:eastAsia="en-AU"/>
              </w:rPr>
            </w:pPr>
            <w:r w:rsidRPr="00C83556">
              <w:rPr>
                <w:rFonts w:eastAsia="Times New Roman" w:cs="Arial"/>
                <w:color w:val="000000"/>
                <w:sz w:val="20"/>
                <w:szCs w:val="20"/>
                <w:lang w:eastAsia="en-AU"/>
              </w:rPr>
              <w:t>Net Benefits (PV)</w:t>
            </w:r>
          </w:p>
        </w:tc>
        <w:tc>
          <w:tcPr>
            <w:tcW w:w="1700" w:type="dxa"/>
            <w:noWrap/>
            <w:hideMark/>
          </w:tcPr>
          <w:p w:rsidR="00E14718" w:rsidRPr="00C83556" w:rsidRDefault="00E14718" w:rsidP="007E113B">
            <w:pPr>
              <w:pStyle w:val="EYTableText"/>
              <w:keepNext/>
              <w:jc w:val="right"/>
              <w:rPr>
                <w:sz w:val="20"/>
                <w:szCs w:val="20"/>
              </w:rPr>
            </w:pPr>
            <w:r w:rsidRPr="00C83556">
              <w:rPr>
                <w:color w:val="000000"/>
                <w:sz w:val="20"/>
                <w:szCs w:val="20"/>
              </w:rPr>
              <w:t>$154,634,356</w:t>
            </w:r>
          </w:p>
        </w:tc>
        <w:tc>
          <w:tcPr>
            <w:tcW w:w="1559" w:type="dxa"/>
            <w:noWrap/>
          </w:tcPr>
          <w:p w:rsidR="00E14718" w:rsidRPr="00602F49" w:rsidRDefault="00E14718" w:rsidP="007E113B">
            <w:pPr>
              <w:pStyle w:val="EYTableText"/>
              <w:keepNext/>
              <w:jc w:val="right"/>
              <w:rPr>
                <w:sz w:val="20"/>
                <w:szCs w:val="20"/>
              </w:rPr>
            </w:pPr>
            <w:r w:rsidRPr="00602F49">
              <w:rPr>
                <w:color w:val="000000"/>
                <w:sz w:val="20"/>
                <w:szCs w:val="20"/>
              </w:rPr>
              <w:t>$126,126,463</w:t>
            </w:r>
          </w:p>
        </w:tc>
        <w:tc>
          <w:tcPr>
            <w:tcW w:w="1559" w:type="dxa"/>
            <w:noWrap/>
          </w:tcPr>
          <w:p w:rsidR="00E14718" w:rsidRPr="00DD6CB8" w:rsidRDefault="00E14718" w:rsidP="007E113B">
            <w:pPr>
              <w:pStyle w:val="EYTableText"/>
              <w:keepNext/>
              <w:jc w:val="right"/>
              <w:rPr>
                <w:sz w:val="20"/>
                <w:szCs w:val="20"/>
              </w:rPr>
            </w:pPr>
            <w:r w:rsidRPr="00602F49">
              <w:rPr>
                <w:color w:val="000000"/>
                <w:sz w:val="20"/>
                <w:szCs w:val="20"/>
              </w:rPr>
              <w:t>$100,960,508</w:t>
            </w:r>
          </w:p>
        </w:tc>
        <w:tc>
          <w:tcPr>
            <w:tcW w:w="1702" w:type="dxa"/>
            <w:noWrap/>
          </w:tcPr>
          <w:p w:rsidR="00E14718" w:rsidRPr="00DD6CB8" w:rsidRDefault="00E14718" w:rsidP="007E113B">
            <w:pPr>
              <w:pStyle w:val="EYTableText"/>
              <w:keepNext/>
              <w:jc w:val="right"/>
              <w:rPr>
                <w:sz w:val="20"/>
                <w:szCs w:val="20"/>
              </w:rPr>
            </w:pPr>
            <w:r w:rsidRPr="00DD6CB8">
              <w:rPr>
                <w:color w:val="000000"/>
                <w:sz w:val="20"/>
                <w:szCs w:val="20"/>
              </w:rPr>
              <w:t>$87,341,343</w:t>
            </w:r>
          </w:p>
        </w:tc>
      </w:tr>
      <w:tr w:rsidR="006D2023" w:rsidRPr="00537446" w:rsidTr="00602F49">
        <w:trPr>
          <w:trHeight w:val="290"/>
        </w:trPr>
        <w:tc>
          <w:tcPr>
            <w:tcW w:w="9635" w:type="dxa"/>
            <w:gridSpan w:val="5"/>
            <w:shd w:val="clear" w:color="auto" w:fill="D9D9D9" w:themeFill="background1" w:themeFillShade="D9"/>
            <w:noWrap/>
            <w:hideMark/>
          </w:tcPr>
          <w:p w:rsidR="006D2023" w:rsidRPr="00DD6CB8" w:rsidRDefault="006D2023" w:rsidP="00DD6CB8">
            <w:pPr>
              <w:spacing w:before="60" w:after="60"/>
              <w:jc w:val="left"/>
            </w:pPr>
            <w:r w:rsidRPr="00C83556">
              <w:rPr>
                <w:rFonts w:eastAsia="Times New Roman" w:cs="Arial"/>
                <w:b/>
                <w:color w:val="000000"/>
                <w:sz w:val="20"/>
                <w:szCs w:val="20"/>
                <w:lang w:eastAsia="en-AU"/>
              </w:rPr>
              <w:t xml:space="preserve">Economic benefit </w:t>
            </w:r>
            <w:r w:rsidR="00B25A9F">
              <w:rPr>
                <w:rFonts w:eastAsia="Times New Roman" w:cs="Arial"/>
                <w:b/>
                <w:color w:val="000000"/>
                <w:sz w:val="20"/>
                <w:szCs w:val="20"/>
                <w:lang w:eastAsia="en-AU"/>
              </w:rPr>
              <w:t>–</w:t>
            </w:r>
            <w:r w:rsidRPr="00C83556">
              <w:rPr>
                <w:rFonts w:eastAsia="Times New Roman" w:cs="Arial"/>
                <w:b/>
                <w:color w:val="000000"/>
                <w:sz w:val="20"/>
                <w:szCs w:val="20"/>
                <w:lang w:eastAsia="en-AU"/>
              </w:rPr>
              <w:t xml:space="preserve"> Mid</w:t>
            </w:r>
            <w:r w:rsidR="00B25A9F">
              <w:rPr>
                <w:rFonts w:eastAsia="Times New Roman" w:cs="Arial"/>
                <w:b/>
                <w:color w:val="000000"/>
                <w:sz w:val="20"/>
                <w:szCs w:val="20"/>
                <w:lang w:eastAsia="en-AU"/>
              </w:rPr>
              <w:t>-p</w:t>
            </w:r>
            <w:r w:rsidRPr="00C83556">
              <w:rPr>
                <w:rFonts w:eastAsia="Times New Roman" w:cs="Arial"/>
                <w:b/>
                <w:color w:val="000000"/>
                <w:sz w:val="20"/>
                <w:szCs w:val="20"/>
                <w:lang w:eastAsia="en-AU"/>
              </w:rPr>
              <w:t>oint</w:t>
            </w:r>
          </w:p>
        </w:tc>
      </w:tr>
      <w:tr w:rsidR="00E14718" w:rsidRPr="00537446" w:rsidTr="00DD6CB8">
        <w:trPr>
          <w:trHeight w:val="290"/>
        </w:trPr>
        <w:tc>
          <w:tcPr>
            <w:tcW w:w="3115" w:type="dxa"/>
            <w:noWrap/>
            <w:hideMark/>
          </w:tcPr>
          <w:p w:rsidR="00E14718" w:rsidRPr="00C83556" w:rsidRDefault="00E14718" w:rsidP="00E14718">
            <w:pPr>
              <w:jc w:val="left"/>
              <w:rPr>
                <w:rFonts w:eastAsia="Times New Roman" w:cs="Arial"/>
                <w:color w:val="000000"/>
                <w:sz w:val="20"/>
                <w:szCs w:val="20"/>
                <w:lang w:eastAsia="en-AU"/>
              </w:rPr>
            </w:pPr>
            <w:r w:rsidRPr="00C83556">
              <w:rPr>
                <w:rFonts w:eastAsia="Times New Roman" w:cs="Arial"/>
                <w:color w:val="000000"/>
                <w:sz w:val="20"/>
                <w:szCs w:val="20"/>
                <w:lang w:eastAsia="en-AU"/>
              </w:rPr>
              <w:t>Benefits (PV)</w:t>
            </w:r>
          </w:p>
        </w:tc>
        <w:tc>
          <w:tcPr>
            <w:tcW w:w="1700" w:type="dxa"/>
            <w:noWrap/>
            <w:hideMark/>
          </w:tcPr>
          <w:p w:rsidR="00E14718" w:rsidRPr="00C83556" w:rsidRDefault="00E14718" w:rsidP="007E113B">
            <w:pPr>
              <w:pStyle w:val="EYTableText"/>
              <w:keepNext/>
              <w:jc w:val="right"/>
              <w:rPr>
                <w:sz w:val="20"/>
                <w:szCs w:val="20"/>
              </w:rPr>
            </w:pPr>
            <w:r w:rsidRPr="00C83556">
              <w:rPr>
                <w:color w:val="000000"/>
                <w:sz w:val="20"/>
                <w:szCs w:val="20"/>
              </w:rPr>
              <w:t>$86,346,369</w:t>
            </w:r>
          </w:p>
        </w:tc>
        <w:tc>
          <w:tcPr>
            <w:tcW w:w="1559" w:type="dxa"/>
            <w:noWrap/>
          </w:tcPr>
          <w:p w:rsidR="00E14718" w:rsidRPr="00602F49" w:rsidRDefault="00E14718" w:rsidP="007E113B">
            <w:pPr>
              <w:pStyle w:val="EYTableText"/>
              <w:keepNext/>
              <w:jc w:val="right"/>
              <w:rPr>
                <w:sz w:val="20"/>
                <w:szCs w:val="20"/>
              </w:rPr>
            </w:pPr>
            <w:r w:rsidRPr="00602F49">
              <w:rPr>
                <w:color w:val="000000"/>
                <w:sz w:val="20"/>
                <w:szCs w:val="20"/>
              </w:rPr>
              <w:t>$86,346,369</w:t>
            </w:r>
          </w:p>
        </w:tc>
        <w:tc>
          <w:tcPr>
            <w:tcW w:w="1559" w:type="dxa"/>
            <w:noWrap/>
          </w:tcPr>
          <w:p w:rsidR="00E14718" w:rsidRPr="00DD6CB8" w:rsidRDefault="00E14718" w:rsidP="007E113B">
            <w:pPr>
              <w:pStyle w:val="EYTableText"/>
              <w:keepNext/>
              <w:jc w:val="right"/>
              <w:rPr>
                <w:sz w:val="20"/>
                <w:szCs w:val="20"/>
              </w:rPr>
            </w:pPr>
            <w:r w:rsidRPr="00602F49">
              <w:rPr>
                <w:color w:val="000000"/>
                <w:sz w:val="20"/>
                <w:szCs w:val="20"/>
              </w:rPr>
              <w:t>$</w:t>
            </w:r>
            <w:r w:rsidRPr="00DD6CB8">
              <w:rPr>
                <w:color w:val="000000"/>
                <w:sz w:val="20"/>
                <w:szCs w:val="20"/>
              </w:rPr>
              <w:t>86,346,369</w:t>
            </w:r>
          </w:p>
        </w:tc>
        <w:tc>
          <w:tcPr>
            <w:tcW w:w="1702" w:type="dxa"/>
            <w:noWrap/>
          </w:tcPr>
          <w:p w:rsidR="00E14718" w:rsidRPr="00DD6CB8" w:rsidRDefault="00E14718" w:rsidP="007E113B">
            <w:pPr>
              <w:pStyle w:val="EYTableText"/>
              <w:keepNext/>
              <w:jc w:val="right"/>
              <w:rPr>
                <w:sz w:val="20"/>
                <w:szCs w:val="20"/>
              </w:rPr>
            </w:pPr>
            <w:r w:rsidRPr="00DD6CB8">
              <w:rPr>
                <w:color w:val="000000"/>
                <w:sz w:val="20"/>
                <w:szCs w:val="20"/>
              </w:rPr>
              <w:t>$51,807,821</w:t>
            </w:r>
          </w:p>
        </w:tc>
      </w:tr>
      <w:tr w:rsidR="00E14718" w:rsidRPr="00537446" w:rsidTr="00DD6CB8">
        <w:trPr>
          <w:trHeight w:val="290"/>
        </w:trPr>
        <w:tc>
          <w:tcPr>
            <w:tcW w:w="3115" w:type="dxa"/>
            <w:noWrap/>
            <w:hideMark/>
          </w:tcPr>
          <w:p w:rsidR="00E14718" w:rsidRPr="00C83556" w:rsidRDefault="00E14718" w:rsidP="00E14718">
            <w:pPr>
              <w:jc w:val="left"/>
              <w:rPr>
                <w:rFonts w:eastAsia="Times New Roman" w:cs="Arial"/>
                <w:color w:val="000000"/>
                <w:sz w:val="20"/>
                <w:szCs w:val="20"/>
                <w:lang w:eastAsia="en-AU"/>
              </w:rPr>
            </w:pPr>
            <w:r w:rsidRPr="00C83556">
              <w:rPr>
                <w:rFonts w:eastAsia="Times New Roman" w:cs="Arial"/>
                <w:color w:val="000000"/>
                <w:sz w:val="20"/>
                <w:szCs w:val="20"/>
                <w:lang w:eastAsia="en-AU"/>
              </w:rPr>
              <w:t>Net Benefits (PV)</w:t>
            </w:r>
          </w:p>
        </w:tc>
        <w:tc>
          <w:tcPr>
            <w:tcW w:w="1700" w:type="dxa"/>
            <w:noWrap/>
            <w:hideMark/>
          </w:tcPr>
          <w:p w:rsidR="00E14718" w:rsidRPr="00C83556" w:rsidRDefault="00E14718" w:rsidP="007E113B">
            <w:pPr>
              <w:pStyle w:val="EYTableText"/>
              <w:keepNext/>
              <w:jc w:val="right"/>
              <w:rPr>
                <w:sz w:val="20"/>
                <w:szCs w:val="20"/>
              </w:rPr>
            </w:pPr>
            <w:r w:rsidRPr="00C83556">
              <w:rPr>
                <w:color w:val="000000"/>
                <w:sz w:val="20"/>
                <w:szCs w:val="20"/>
              </w:rPr>
              <w:t>$77,232,970</w:t>
            </w:r>
          </w:p>
        </w:tc>
        <w:tc>
          <w:tcPr>
            <w:tcW w:w="1559" w:type="dxa"/>
            <w:noWrap/>
          </w:tcPr>
          <w:p w:rsidR="00E14718" w:rsidRPr="00602F49" w:rsidRDefault="00E14718" w:rsidP="007E113B">
            <w:pPr>
              <w:pStyle w:val="EYTableText"/>
              <w:keepNext/>
              <w:jc w:val="right"/>
              <w:rPr>
                <w:sz w:val="20"/>
                <w:szCs w:val="20"/>
              </w:rPr>
            </w:pPr>
            <w:r w:rsidRPr="00602F49">
              <w:rPr>
                <w:color w:val="000000"/>
                <w:sz w:val="20"/>
                <w:szCs w:val="20"/>
              </w:rPr>
              <w:t>$48,725,077</w:t>
            </w:r>
          </w:p>
        </w:tc>
        <w:tc>
          <w:tcPr>
            <w:tcW w:w="1559" w:type="dxa"/>
            <w:noWrap/>
          </w:tcPr>
          <w:p w:rsidR="00E14718" w:rsidRPr="00DD6CB8" w:rsidRDefault="00E14718" w:rsidP="007E113B">
            <w:pPr>
              <w:pStyle w:val="EYTableText"/>
              <w:keepNext/>
              <w:jc w:val="right"/>
              <w:rPr>
                <w:sz w:val="20"/>
                <w:szCs w:val="20"/>
              </w:rPr>
            </w:pPr>
            <w:r w:rsidRPr="00602F49">
              <w:rPr>
                <w:color w:val="000000"/>
                <w:sz w:val="20"/>
                <w:szCs w:val="20"/>
              </w:rPr>
              <w:t>$23,559,122</w:t>
            </w:r>
          </w:p>
        </w:tc>
        <w:tc>
          <w:tcPr>
            <w:tcW w:w="1702" w:type="dxa"/>
            <w:noWrap/>
          </w:tcPr>
          <w:p w:rsidR="00E14718" w:rsidRPr="00DD6CB8" w:rsidRDefault="00E14718" w:rsidP="007E113B">
            <w:pPr>
              <w:pStyle w:val="EYTableText"/>
              <w:keepNext/>
              <w:jc w:val="right"/>
              <w:rPr>
                <w:sz w:val="20"/>
                <w:szCs w:val="20"/>
              </w:rPr>
            </w:pPr>
            <w:r w:rsidRPr="00DD6CB8">
              <w:rPr>
                <w:color w:val="000000"/>
                <w:sz w:val="20"/>
                <w:szCs w:val="20"/>
              </w:rPr>
              <w:t>$40,900,511</w:t>
            </w:r>
          </w:p>
        </w:tc>
      </w:tr>
    </w:tbl>
    <w:p w:rsidR="00D0308F" w:rsidRPr="007C0ED5" w:rsidRDefault="00CC2143" w:rsidP="00D0308F">
      <w:pPr>
        <w:spacing w:after="0"/>
        <w:rPr>
          <w:rFonts w:cs="Arial"/>
          <w:sz w:val="20"/>
          <w:szCs w:val="20"/>
        </w:rPr>
      </w:pPr>
      <w:r>
        <w:rPr>
          <w:rFonts w:cs="Arial"/>
          <w:sz w:val="20"/>
          <w:szCs w:val="20"/>
        </w:rPr>
        <w:br/>
      </w:r>
      <w:r w:rsidR="00D0308F" w:rsidRPr="00C133AC">
        <w:rPr>
          <w:rFonts w:cs="Arial"/>
          <w:sz w:val="20"/>
          <w:szCs w:val="20"/>
        </w:rPr>
        <w:t xml:space="preserve">Notes: </w:t>
      </w:r>
    </w:p>
    <w:p w:rsidR="00D0308F" w:rsidRPr="007C0ED5" w:rsidRDefault="00D0308F" w:rsidP="00A15416">
      <w:pPr>
        <w:pStyle w:val="ListParagraph"/>
        <w:numPr>
          <w:ilvl w:val="0"/>
          <w:numId w:val="30"/>
        </w:numPr>
        <w:spacing w:after="0"/>
        <w:jc w:val="left"/>
        <w:rPr>
          <w:rFonts w:cs="Arial"/>
          <w:sz w:val="20"/>
          <w:szCs w:val="20"/>
        </w:rPr>
      </w:pPr>
      <w:r w:rsidRPr="007C0ED5">
        <w:rPr>
          <w:rFonts w:cs="Arial"/>
          <w:sz w:val="20"/>
          <w:szCs w:val="20"/>
        </w:rPr>
        <w:t>Present Values have been calculated over a ten year period for both costs and benefits using a real discount rate of 7%.</w:t>
      </w:r>
    </w:p>
    <w:p w:rsidR="00D0308F" w:rsidRPr="007441D6" w:rsidRDefault="00D0308F" w:rsidP="00A15416">
      <w:pPr>
        <w:pStyle w:val="ListParagraph"/>
        <w:numPr>
          <w:ilvl w:val="0"/>
          <w:numId w:val="30"/>
        </w:numPr>
        <w:spacing w:after="0"/>
        <w:jc w:val="left"/>
        <w:rPr>
          <w:rFonts w:cs="Arial"/>
        </w:rPr>
      </w:pPr>
      <w:r w:rsidRPr="007C0ED5">
        <w:rPr>
          <w:rFonts w:cs="Arial"/>
          <w:sz w:val="20"/>
          <w:szCs w:val="20"/>
        </w:rPr>
        <w:t>The break-even point calculates the discounted per person, per trip benefit needed to equal th</w:t>
      </w:r>
      <w:r w:rsidRPr="007441D6">
        <w:rPr>
          <w:rFonts w:cs="Arial"/>
          <w:sz w:val="20"/>
          <w:szCs w:val="20"/>
        </w:rPr>
        <w:t xml:space="preserve">e costs over a 10 year period for a single facility. </w:t>
      </w:r>
    </w:p>
    <w:p w:rsidR="00D0308F" w:rsidRPr="00C133AC" w:rsidRDefault="00D0308F" w:rsidP="00A15416">
      <w:pPr>
        <w:pStyle w:val="ListParagraph"/>
        <w:numPr>
          <w:ilvl w:val="0"/>
          <w:numId w:val="30"/>
        </w:numPr>
        <w:spacing w:after="0"/>
        <w:jc w:val="left"/>
        <w:rPr>
          <w:rFonts w:cs="Arial"/>
        </w:rPr>
      </w:pPr>
      <w:r w:rsidRPr="000A6E1B">
        <w:rPr>
          <w:rFonts w:cs="Arial"/>
          <w:sz w:val="20"/>
          <w:szCs w:val="20"/>
        </w:rPr>
        <w:t xml:space="preserve">The </w:t>
      </w:r>
      <w:r w:rsidR="005811B5">
        <w:rPr>
          <w:rFonts w:cs="Arial"/>
          <w:sz w:val="20"/>
          <w:szCs w:val="20"/>
        </w:rPr>
        <w:t>non-r</w:t>
      </w:r>
      <w:r w:rsidR="005811B5" w:rsidRPr="000A6E1B">
        <w:rPr>
          <w:rFonts w:cs="Arial"/>
          <w:sz w:val="20"/>
          <w:szCs w:val="20"/>
        </w:rPr>
        <w:t xml:space="preserve">egulatory </w:t>
      </w:r>
      <w:r w:rsidRPr="000A6E1B">
        <w:rPr>
          <w:rFonts w:cs="Arial"/>
          <w:sz w:val="20"/>
          <w:szCs w:val="20"/>
        </w:rPr>
        <w:t xml:space="preserve">scenario assumes the same </w:t>
      </w:r>
      <w:r w:rsidRPr="002E7807">
        <w:rPr>
          <w:rFonts w:cs="Arial"/>
          <w:sz w:val="20"/>
          <w:szCs w:val="20"/>
        </w:rPr>
        <w:t>type of facility is constructed as under Option A, but that fewer overall are constructed</w:t>
      </w:r>
      <w:r w:rsidRPr="00C133AC">
        <w:rPr>
          <w:rFonts w:cs="Arial"/>
        </w:rPr>
        <w:t xml:space="preserve">. </w:t>
      </w:r>
      <w:r w:rsidR="00275F82" w:rsidRPr="007C0ED5">
        <w:rPr>
          <w:rFonts w:cs="Arial"/>
          <w:sz w:val="20"/>
        </w:rPr>
        <w:t>Thus the per facility break</w:t>
      </w:r>
      <w:r w:rsidR="001440BA">
        <w:rPr>
          <w:rFonts w:cs="Arial"/>
          <w:sz w:val="20"/>
        </w:rPr>
        <w:t>-</w:t>
      </w:r>
      <w:r w:rsidR="00275F82" w:rsidRPr="007C0ED5">
        <w:rPr>
          <w:rFonts w:cs="Arial"/>
          <w:sz w:val="20"/>
        </w:rPr>
        <w:t>even and WTP estimates are the same in the non-regulatory scenario as in Option A</w:t>
      </w:r>
      <w:r w:rsidR="002E7807">
        <w:rPr>
          <w:rFonts w:cs="Arial"/>
          <w:sz w:val="20"/>
        </w:rPr>
        <w:t>.</w:t>
      </w:r>
    </w:p>
    <w:p w:rsidR="00D0308F" w:rsidRPr="007C0ED5" w:rsidRDefault="00CC6F6D" w:rsidP="00A15416">
      <w:pPr>
        <w:pStyle w:val="ListParagraph"/>
        <w:numPr>
          <w:ilvl w:val="0"/>
          <w:numId w:val="30"/>
        </w:numPr>
        <w:spacing w:after="0"/>
        <w:jc w:val="left"/>
        <w:rPr>
          <w:rFonts w:cs="Arial"/>
          <w:sz w:val="20"/>
          <w:szCs w:val="20"/>
        </w:rPr>
      </w:pPr>
      <w:r w:rsidRPr="007C0ED5">
        <w:rPr>
          <w:rFonts w:cs="Arial"/>
          <w:sz w:val="20"/>
          <w:szCs w:val="20"/>
        </w:rPr>
        <w:t>Whole</w:t>
      </w:r>
      <w:r>
        <w:rPr>
          <w:rFonts w:cs="Arial"/>
          <w:sz w:val="20"/>
          <w:szCs w:val="20"/>
        </w:rPr>
        <w:t>-</w:t>
      </w:r>
      <w:r w:rsidRPr="007C0ED5">
        <w:rPr>
          <w:rFonts w:cs="Arial"/>
          <w:sz w:val="20"/>
          <w:szCs w:val="20"/>
        </w:rPr>
        <w:t>of</w:t>
      </w:r>
      <w:r>
        <w:rPr>
          <w:rFonts w:cs="Arial"/>
          <w:sz w:val="20"/>
          <w:szCs w:val="20"/>
        </w:rPr>
        <w:t>-</w:t>
      </w:r>
      <w:r w:rsidR="00D0308F" w:rsidRPr="007C0ED5">
        <w:rPr>
          <w:rFonts w:cs="Arial"/>
          <w:sz w:val="20"/>
          <w:szCs w:val="20"/>
        </w:rPr>
        <w:t>economy values are derived by multiplying the estimated benefits per trip and break-even points from the case studies by the assumed number of buildings of each type expected to be developed over the next 10 years.</w:t>
      </w:r>
    </w:p>
    <w:p w:rsidR="00D0308F" w:rsidRPr="00CF05E6" w:rsidRDefault="00D0308F" w:rsidP="00D0308F">
      <w:pPr>
        <w:pStyle w:val="ListParagraph"/>
        <w:spacing w:after="0"/>
        <w:jc w:val="left"/>
        <w:rPr>
          <w:highlight w:val="yellow"/>
        </w:rPr>
      </w:pPr>
    </w:p>
    <w:p w:rsidR="00D0308F" w:rsidRPr="009114F6" w:rsidRDefault="00D0308F" w:rsidP="00D0308F">
      <w:pPr>
        <w:pStyle w:val="Caption"/>
        <w:keepNext/>
      </w:pPr>
      <w:bookmarkStart w:id="548" w:name="_Ref521491509"/>
      <w:bookmarkStart w:id="549" w:name="_Toc525897821"/>
      <w:r w:rsidRPr="009114F6">
        <w:lastRenderedPageBreak/>
        <w:t xml:space="preserve">Table </w:t>
      </w:r>
      <w:r w:rsidR="00D128AA">
        <w:rPr>
          <w:noProof/>
        </w:rPr>
        <w:fldChar w:fldCharType="begin"/>
      </w:r>
      <w:r w:rsidR="00D128AA">
        <w:rPr>
          <w:noProof/>
        </w:rPr>
        <w:instrText xml:space="preserve"> STYLEREF 1 \s </w:instrText>
      </w:r>
      <w:r w:rsidR="00D128AA">
        <w:rPr>
          <w:noProof/>
        </w:rPr>
        <w:fldChar w:fldCharType="separate"/>
      </w:r>
      <w:r w:rsidR="00910A73">
        <w:rPr>
          <w:noProof/>
        </w:rPr>
        <w:t>7</w:t>
      </w:r>
      <w:r w:rsidR="00D128AA">
        <w:rPr>
          <w:noProof/>
        </w:rPr>
        <w:fldChar w:fldCharType="end"/>
      </w:r>
      <w:r w:rsidR="00325A73">
        <w:noBreakHyphen/>
      </w:r>
      <w:r w:rsidR="00D128AA">
        <w:rPr>
          <w:noProof/>
        </w:rPr>
        <w:fldChar w:fldCharType="begin"/>
      </w:r>
      <w:r w:rsidR="00D128AA">
        <w:rPr>
          <w:noProof/>
        </w:rPr>
        <w:instrText xml:space="preserve"> SEQ Table \* ARABIC \s 1 </w:instrText>
      </w:r>
      <w:r w:rsidR="00D128AA">
        <w:rPr>
          <w:noProof/>
        </w:rPr>
        <w:fldChar w:fldCharType="separate"/>
      </w:r>
      <w:r w:rsidR="00910A73">
        <w:rPr>
          <w:noProof/>
        </w:rPr>
        <w:t>7</w:t>
      </w:r>
      <w:r w:rsidR="00D128AA">
        <w:rPr>
          <w:noProof/>
        </w:rPr>
        <w:fldChar w:fldCharType="end"/>
      </w:r>
      <w:bookmarkEnd w:id="548"/>
      <w:r w:rsidRPr="009114F6">
        <w:t xml:space="preserve">: Illustrative </w:t>
      </w:r>
      <w:r w:rsidR="00CC6F6D" w:rsidRPr="009114F6">
        <w:t>whole</w:t>
      </w:r>
      <w:r w:rsidR="00CC6F6D">
        <w:t>-</w:t>
      </w:r>
      <w:r w:rsidR="00CC6F6D" w:rsidRPr="009114F6">
        <w:t>of</w:t>
      </w:r>
      <w:r w:rsidR="00CC6F6D">
        <w:t>-</w:t>
      </w:r>
      <w:r w:rsidRPr="009114F6">
        <w:t>economy benefits – Museums</w:t>
      </w:r>
      <w:bookmarkEnd w:id="549"/>
      <w:r w:rsidR="00AF7114">
        <w:t xml:space="preserve"> </w:t>
      </w:r>
    </w:p>
    <w:tbl>
      <w:tblPr>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Caption w:val="Table 7 7: Illustrative whole of economy benefits – Museums"/>
        <w:tblDescription w:val="Illustrative whole of economy benefits for museums."/>
      </w:tblPr>
      <w:tblGrid>
        <w:gridCol w:w="3131"/>
        <w:gridCol w:w="1542"/>
        <w:gridCol w:w="1559"/>
        <w:gridCol w:w="1701"/>
        <w:gridCol w:w="1701"/>
      </w:tblGrid>
      <w:tr w:rsidR="00D0308F" w:rsidRPr="009114F6" w:rsidTr="00DD6CB8">
        <w:trPr>
          <w:trHeight w:val="288"/>
        </w:trPr>
        <w:tc>
          <w:tcPr>
            <w:tcW w:w="31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vAlign w:val="bottom"/>
            <w:hideMark/>
          </w:tcPr>
          <w:p w:rsidR="00D0308F" w:rsidRPr="00C83556" w:rsidRDefault="00D0308F" w:rsidP="00DD6CB8">
            <w:pPr>
              <w:keepNext/>
              <w:spacing w:before="60" w:after="60" w:line="240" w:lineRule="auto"/>
              <w:jc w:val="left"/>
              <w:rPr>
                <w:rFonts w:eastAsia="Times New Roman" w:cs="Arial"/>
                <w:color w:val="FFFFFF" w:themeColor="background1"/>
                <w:sz w:val="20"/>
                <w:szCs w:val="20"/>
                <w:lang w:eastAsia="en-AU"/>
              </w:rPr>
            </w:pPr>
          </w:p>
        </w:tc>
        <w:tc>
          <w:tcPr>
            <w:tcW w:w="15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C83556" w:rsidRDefault="00D0308F" w:rsidP="00DD6CB8">
            <w:pPr>
              <w:keepNext/>
              <w:spacing w:before="60" w:after="60" w:line="240" w:lineRule="auto"/>
              <w:jc w:val="left"/>
              <w:rPr>
                <w:rFonts w:eastAsia="Times New Roman" w:cs="Arial"/>
                <w:color w:val="FFFFFF" w:themeColor="background1"/>
                <w:sz w:val="20"/>
                <w:szCs w:val="20"/>
                <w:lang w:eastAsia="en-AU"/>
              </w:rPr>
            </w:pPr>
            <w:r w:rsidRPr="00C83556">
              <w:rPr>
                <w:rFonts w:eastAsia="Times New Roman" w:cs="Arial"/>
                <w:color w:val="FFFFFF" w:themeColor="background1"/>
                <w:sz w:val="20"/>
                <w:szCs w:val="20"/>
                <w:lang w:eastAsia="en-AU"/>
              </w:rPr>
              <w:t>Regulatory Option A – co-located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602F49" w:rsidRDefault="00D0308F" w:rsidP="00DD6CB8">
            <w:pPr>
              <w:keepNext/>
              <w:spacing w:before="60" w:after="60" w:line="240" w:lineRule="auto"/>
              <w:jc w:val="left"/>
              <w:rPr>
                <w:rFonts w:eastAsia="Times New Roman" w:cs="Arial"/>
                <w:color w:val="FFFFFF" w:themeColor="background1"/>
                <w:sz w:val="20"/>
                <w:szCs w:val="20"/>
                <w:lang w:eastAsia="en-AU"/>
              </w:rPr>
            </w:pPr>
            <w:r w:rsidRPr="00602F49">
              <w:rPr>
                <w:rFonts w:eastAsia="Times New Roman" w:cs="Arial"/>
                <w:color w:val="FFFFFF" w:themeColor="background1"/>
                <w:sz w:val="20"/>
                <w:szCs w:val="20"/>
                <w:lang w:eastAsia="en-AU"/>
              </w:rPr>
              <w:t>Regulatory Option A - separate</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602F49" w:rsidRDefault="00D0308F" w:rsidP="00DD6CB8">
            <w:pPr>
              <w:keepNext/>
              <w:spacing w:before="60" w:after="60" w:line="240" w:lineRule="auto"/>
              <w:jc w:val="left"/>
              <w:rPr>
                <w:rFonts w:eastAsia="Times New Roman" w:cs="Arial"/>
                <w:color w:val="FFFFFF" w:themeColor="background1"/>
                <w:sz w:val="20"/>
                <w:szCs w:val="20"/>
                <w:lang w:eastAsia="en-AU"/>
              </w:rPr>
            </w:pPr>
            <w:r w:rsidRPr="00602F49">
              <w:rPr>
                <w:rFonts w:eastAsia="Times New Roman" w:cs="Arial"/>
                <w:color w:val="FFFFFF" w:themeColor="background1"/>
                <w:sz w:val="20"/>
                <w:szCs w:val="20"/>
                <w:lang w:eastAsia="en-AU"/>
              </w:rPr>
              <w:t>Regulatory Option B (Changing Places)</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602F49" w:rsidRDefault="00D0308F" w:rsidP="00DD6CB8">
            <w:pPr>
              <w:keepNext/>
              <w:spacing w:before="60" w:after="60" w:line="240" w:lineRule="auto"/>
              <w:jc w:val="left"/>
              <w:rPr>
                <w:rFonts w:eastAsia="Times New Roman" w:cs="Arial"/>
                <w:color w:val="FFFFFF" w:themeColor="background1"/>
                <w:sz w:val="20"/>
                <w:szCs w:val="20"/>
                <w:lang w:eastAsia="en-AU"/>
              </w:rPr>
            </w:pPr>
            <w:r w:rsidRPr="00602F49">
              <w:rPr>
                <w:rFonts w:eastAsia="Times New Roman" w:cs="Arial"/>
                <w:color w:val="FFFFFF" w:themeColor="background1"/>
                <w:sz w:val="20"/>
                <w:szCs w:val="20"/>
                <w:lang w:eastAsia="en-AU"/>
              </w:rPr>
              <w:t>Non</w:t>
            </w:r>
            <w:r w:rsidR="00B25A9F">
              <w:rPr>
                <w:rFonts w:eastAsia="Times New Roman" w:cs="Arial"/>
                <w:color w:val="FFFFFF" w:themeColor="background1"/>
                <w:sz w:val="20"/>
                <w:szCs w:val="20"/>
                <w:lang w:eastAsia="en-AU"/>
              </w:rPr>
              <w:t>-r</w:t>
            </w:r>
            <w:r w:rsidRPr="00602F49">
              <w:rPr>
                <w:rFonts w:eastAsia="Times New Roman" w:cs="Arial"/>
                <w:color w:val="FFFFFF" w:themeColor="background1"/>
                <w:sz w:val="20"/>
                <w:szCs w:val="20"/>
                <w:lang w:eastAsia="en-AU"/>
              </w:rPr>
              <w:t>egulatory Option</w:t>
            </w:r>
          </w:p>
        </w:tc>
      </w:tr>
      <w:tr w:rsidR="00E14718" w:rsidRPr="009114F6" w:rsidTr="00DD6CB8">
        <w:trPr>
          <w:trHeight w:val="288"/>
        </w:trPr>
        <w:tc>
          <w:tcPr>
            <w:tcW w:w="3131" w:type="dxa"/>
            <w:tcBorders>
              <w:top w:val="single" w:sz="4" w:space="0" w:color="FFFFFF" w:themeColor="background1"/>
            </w:tcBorders>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Present Value (PV) of Costs</w:t>
            </w:r>
          </w:p>
        </w:tc>
        <w:tc>
          <w:tcPr>
            <w:tcW w:w="1542" w:type="dxa"/>
            <w:tcBorders>
              <w:top w:val="single" w:sz="4" w:space="0" w:color="FFFFFF" w:themeColor="background1"/>
            </w:tcBorders>
            <w:shd w:val="clear" w:color="auto" w:fill="auto"/>
            <w:noWrap/>
            <w:hideMark/>
          </w:tcPr>
          <w:p w:rsidR="00E14718" w:rsidRPr="00C83556" w:rsidRDefault="00E14718" w:rsidP="007E113B">
            <w:pPr>
              <w:pStyle w:val="EYTableText"/>
              <w:keepNext/>
              <w:jc w:val="right"/>
              <w:rPr>
                <w:sz w:val="20"/>
                <w:szCs w:val="20"/>
              </w:rPr>
            </w:pPr>
            <w:r w:rsidRPr="00C83556">
              <w:rPr>
                <w:color w:val="000000"/>
                <w:sz w:val="20"/>
                <w:szCs w:val="20"/>
              </w:rPr>
              <w:t>$1,306,110</w:t>
            </w:r>
          </w:p>
        </w:tc>
        <w:tc>
          <w:tcPr>
            <w:tcW w:w="1559" w:type="dxa"/>
            <w:tcBorders>
              <w:top w:val="single" w:sz="4" w:space="0" w:color="FFFFFF" w:themeColor="background1"/>
            </w:tcBorders>
            <w:shd w:val="clear" w:color="auto" w:fill="auto"/>
            <w:noWrap/>
            <w:hideMark/>
          </w:tcPr>
          <w:p w:rsidR="00E14718" w:rsidRPr="00602F49" w:rsidRDefault="00E14718" w:rsidP="007E113B">
            <w:pPr>
              <w:pStyle w:val="EYTableText"/>
              <w:keepNext/>
              <w:jc w:val="right"/>
              <w:rPr>
                <w:sz w:val="20"/>
                <w:szCs w:val="20"/>
              </w:rPr>
            </w:pPr>
            <w:r w:rsidRPr="00602F49">
              <w:rPr>
                <w:color w:val="000000"/>
                <w:sz w:val="20"/>
                <w:szCs w:val="20"/>
              </w:rPr>
              <w:t>$2,595,532</w:t>
            </w:r>
          </w:p>
        </w:tc>
        <w:tc>
          <w:tcPr>
            <w:tcW w:w="1701" w:type="dxa"/>
            <w:tcBorders>
              <w:top w:val="single" w:sz="4" w:space="0" w:color="FFFFFF" w:themeColor="background1"/>
            </w:tcBorders>
            <w:shd w:val="clear" w:color="auto" w:fill="auto"/>
            <w:noWrap/>
            <w:hideMark/>
          </w:tcPr>
          <w:p w:rsidR="00E14718" w:rsidRPr="00DD6CB8" w:rsidRDefault="00E14718" w:rsidP="007E113B">
            <w:pPr>
              <w:pStyle w:val="EYTableText"/>
              <w:keepNext/>
              <w:jc w:val="right"/>
              <w:rPr>
                <w:sz w:val="20"/>
                <w:szCs w:val="20"/>
              </w:rPr>
            </w:pPr>
            <w:r w:rsidRPr="00602F49">
              <w:rPr>
                <w:color w:val="000000"/>
                <w:sz w:val="20"/>
                <w:szCs w:val="20"/>
              </w:rPr>
              <w:t>$6,019,200</w:t>
            </w:r>
          </w:p>
        </w:tc>
        <w:tc>
          <w:tcPr>
            <w:tcW w:w="1701" w:type="dxa"/>
            <w:tcBorders>
              <w:top w:val="single" w:sz="4" w:space="0" w:color="FFFFFF" w:themeColor="background1"/>
            </w:tcBorders>
            <w:shd w:val="clear" w:color="auto" w:fill="auto"/>
            <w:noWrap/>
            <w:hideMark/>
          </w:tcPr>
          <w:p w:rsidR="00E14718" w:rsidRPr="00DD6CB8" w:rsidRDefault="00E14718" w:rsidP="007E113B">
            <w:pPr>
              <w:pStyle w:val="EYTableText"/>
              <w:keepNext/>
              <w:jc w:val="right"/>
              <w:rPr>
                <w:sz w:val="20"/>
                <w:szCs w:val="20"/>
              </w:rPr>
            </w:pPr>
            <w:r w:rsidRPr="00DD6CB8">
              <w:rPr>
                <w:color w:val="000000"/>
                <w:sz w:val="20"/>
                <w:szCs w:val="20"/>
              </w:rPr>
              <w:t>$1,188,700</w:t>
            </w:r>
          </w:p>
        </w:tc>
      </w:tr>
      <w:tr w:rsidR="00A91535" w:rsidRPr="009114F6" w:rsidTr="00602F49">
        <w:trPr>
          <w:trHeight w:val="288"/>
        </w:trPr>
        <w:tc>
          <w:tcPr>
            <w:tcW w:w="9634" w:type="dxa"/>
            <w:gridSpan w:val="5"/>
            <w:shd w:val="clear" w:color="auto" w:fill="D9D9D9" w:themeFill="background1" w:themeFillShade="D9"/>
            <w:noWrap/>
            <w:vAlign w:val="bottom"/>
            <w:hideMark/>
          </w:tcPr>
          <w:p w:rsidR="00A91535" w:rsidRPr="00DD6CB8" w:rsidRDefault="00A91535" w:rsidP="00DD6CB8">
            <w:pPr>
              <w:keepNext/>
              <w:spacing w:before="60" w:after="60" w:line="240" w:lineRule="auto"/>
              <w:jc w:val="left"/>
            </w:pPr>
            <w:r w:rsidRPr="00C83556">
              <w:rPr>
                <w:rFonts w:eastAsia="Times New Roman" w:cs="Arial"/>
                <w:b/>
                <w:color w:val="000000"/>
                <w:sz w:val="20"/>
                <w:szCs w:val="20"/>
                <w:lang w:eastAsia="en-AU"/>
              </w:rPr>
              <w:t>Findings from case studies</w:t>
            </w:r>
          </w:p>
        </w:tc>
      </w:tr>
      <w:tr w:rsidR="00E14718" w:rsidRPr="009114F6" w:rsidTr="00DD6CB8">
        <w:trPr>
          <w:trHeight w:val="288"/>
        </w:trPr>
        <w:tc>
          <w:tcPr>
            <w:tcW w:w="3131" w:type="dxa"/>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Break</w:t>
            </w:r>
            <w:r w:rsidR="001440BA">
              <w:rPr>
                <w:rFonts w:eastAsia="Times New Roman" w:cs="Arial"/>
                <w:color w:val="000000"/>
                <w:sz w:val="20"/>
                <w:szCs w:val="20"/>
                <w:lang w:eastAsia="en-AU"/>
              </w:rPr>
              <w:t>-</w:t>
            </w:r>
            <w:r w:rsidRPr="00C83556">
              <w:rPr>
                <w:rFonts w:eastAsia="Times New Roman" w:cs="Arial"/>
                <w:color w:val="000000"/>
                <w:sz w:val="20"/>
                <w:szCs w:val="20"/>
                <w:lang w:eastAsia="en-AU"/>
              </w:rPr>
              <w:t xml:space="preserve">Even Point (BE, </w:t>
            </w:r>
            <w:r w:rsidR="00B25A9F">
              <w:rPr>
                <w:rFonts w:eastAsia="Times New Roman" w:cs="Arial"/>
                <w:color w:val="000000"/>
                <w:sz w:val="20"/>
                <w:szCs w:val="20"/>
                <w:lang w:eastAsia="en-AU"/>
              </w:rPr>
              <w:t>r</w:t>
            </w:r>
            <w:r w:rsidRPr="00C83556">
              <w:rPr>
                <w:rFonts w:eastAsia="Times New Roman" w:cs="Arial"/>
                <w:color w:val="000000"/>
                <w:sz w:val="20"/>
                <w:szCs w:val="20"/>
                <w:lang w:eastAsia="en-AU"/>
              </w:rPr>
              <w:t>equired benefit per person per trip to break even)</w:t>
            </w:r>
          </w:p>
        </w:tc>
        <w:tc>
          <w:tcPr>
            <w:tcW w:w="1542" w:type="dxa"/>
            <w:shd w:val="clear" w:color="auto" w:fill="auto"/>
            <w:noWrap/>
            <w:hideMark/>
          </w:tcPr>
          <w:p w:rsidR="00E14718" w:rsidRPr="00602F49" w:rsidRDefault="00E14718" w:rsidP="007E113B">
            <w:pPr>
              <w:pStyle w:val="EYTableText"/>
              <w:keepNext/>
              <w:jc w:val="right"/>
              <w:rPr>
                <w:sz w:val="20"/>
                <w:szCs w:val="20"/>
              </w:rPr>
            </w:pPr>
            <w:r w:rsidRPr="00C83556">
              <w:rPr>
                <w:color w:val="000000"/>
                <w:sz w:val="20"/>
                <w:szCs w:val="20"/>
              </w:rPr>
              <w:t>$5.71</w:t>
            </w:r>
          </w:p>
        </w:tc>
        <w:tc>
          <w:tcPr>
            <w:tcW w:w="1559"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$9.12</w:t>
            </w:r>
          </w:p>
        </w:tc>
        <w:tc>
          <w:tcPr>
            <w:tcW w:w="1701"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$23.49</w:t>
            </w:r>
          </w:p>
        </w:tc>
        <w:tc>
          <w:tcPr>
            <w:tcW w:w="1701"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$5.71</w:t>
            </w:r>
          </w:p>
        </w:tc>
      </w:tr>
      <w:tr w:rsidR="00E14718" w:rsidRPr="009114F6" w:rsidTr="00DD6CB8">
        <w:trPr>
          <w:trHeight w:val="288"/>
        </w:trPr>
        <w:tc>
          <w:tcPr>
            <w:tcW w:w="3131" w:type="dxa"/>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Willingness to Pay (WTP)</w:t>
            </w:r>
          </w:p>
        </w:tc>
        <w:tc>
          <w:tcPr>
            <w:tcW w:w="1542" w:type="dxa"/>
            <w:shd w:val="clear" w:color="auto" w:fill="auto"/>
            <w:noWrap/>
            <w:hideMark/>
          </w:tcPr>
          <w:p w:rsidR="00E14718" w:rsidRPr="00C83556" w:rsidRDefault="00E14718" w:rsidP="007E113B">
            <w:pPr>
              <w:pStyle w:val="EYTableText"/>
              <w:keepNext/>
              <w:jc w:val="right"/>
              <w:rPr>
                <w:sz w:val="20"/>
                <w:szCs w:val="20"/>
              </w:rPr>
            </w:pPr>
            <w:r w:rsidRPr="00C83556">
              <w:rPr>
                <w:color w:val="000000"/>
                <w:sz w:val="20"/>
                <w:szCs w:val="20"/>
              </w:rPr>
              <w:t>$23.16</w:t>
            </w:r>
          </w:p>
        </w:tc>
        <w:tc>
          <w:tcPr>
            <w:tcW w:w="1559"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$23.16</w:t>
            </w:r>
          </w:p>
        </w:tc>
        <w:tc>
          <w:tcPr>
            <w:tcW w:w="1701" w:type="dxa"/>
            <w:shd w:val="clear" w:color="auto" w:fill="auto"/>
            <w:noWrap/>
          </w:tcPr>
          <w:p w:rsidR="00E14718" w:rsidRPr="00DD6CB8" w:rsidRDefault="00E14718" w:rsidP="007E113B">
            <w:pPr>
              <w:pStyle w:val="EYTableText"/>
              <w:keepNext/>
              <w:jc w:val="right"/>
              <w:rPr>
                <w:sz w:val="20"/>
                <w:szCs w:val="20"/>
              </w:rPr>
            </w:pPr>
            <w:r w:rsidRPr="00602F49">
              <w:rPr>
                <w:color w:val="000000"/>
                <w:sz w:val="20"/>
                <w:szCs w:val="20"/>
              </w:rPr>
              <w:t>$23.16</w:t>
            </w:r>
          </w:p>
        </w:tc>
        <w:tc>
          <w:tcPr>
            <w:tcW w:w="1701"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$23.16</w:t>
            </w:r>
          </w:p>
        </w:tc>
      </w:tr>
      <w:tr w:rsidR="00E14718" w:rsidRPr="009114F6" w:rsidTr="00DD6CB8">
        <w:trPr>
          <w:trHeight w:val="288"/>
        </w:trPr>
        <w:tc>
          <w:tcPr>
            <w:tcW w:w="3131" w:type="dxa"/>
            <w:shd w:val="clear" w:color="auto" w:fill="auto"/>
            <w:noWrap/>
            <w:vAlign w:val="bottom"/>
            <w:hideMark/>
          </w:tcPr>
          <w:p w:rsidR="00E14718" w:rsidRPr="00C83556" w:rsidRDefault="007C69BF"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Mid-</w:t>
            </w:r>
            <w:r w:rsidR="00B25A9F">
              <w:rPr>
                <w:rFonts w:eastAsia="Times New Roman" w:cs="Arial"/>
                <w:color w:val="000000"/>
                <w:sz w:val="20"/>
                <w:szCs w:val="20"/>
                <w:lang w:eastAsia="en-AU"/>
              </w:rPr>
              <w:t>p</w:t>
            </w:r>
            <w:r w:rsidRPr="00C83556">
              <w:rPr>
                <w:rFonts w:eastAsia="Times New Roman" w:cs="Arial"/>
                <w:color w:val="000000"/>
                <w:sz w:val="20"/>
                <w:szCs w:val="20"/>
                <w:lang w:eastAsia="en-AU"/>
              </w:rPr>
              <w:t>oint</w:t>
            </w:r>
            <w:r w:rsidR="00E14718" w:rsidRPr="00C83556">
              <w:rPr>
                <w:rFonts w:eastAsia="Times New Roman" w:cs="Arial"/>
                <w:color w:val="000000"/>
                <w:sz w:val="20"/>
                <w:szCs w:val="20"/>
                <w:lang w:eastAsia="en-AU"/>
              </w:rPr>
              <w:t xml:space="preserve"> of WTP and BE</w:t>
            </w:r>
          </w:p>
        </w:tc>
        <w:tc>
          <w:tcPr>
            <w:tcW w:w="1542" w:type="dxa"/>
            <w:shd w:val="clear" w:color="auto" w:fill="auto"/>
            <w:noWrap/>
            <w:hideMark/>
          </w:tcPr>
          <w:p w:rsidR="00E14718" w:rsidRPr="00C83556" w:rsidRDefault="00E14718" w:rsidP="007E113B">
            <w:pPr>
              <w:pStyle w:val="EYTableText"/>
              <w:keepNext/>
              <w:jc w:val="right"/>
              <w:rPr>
                <w:sz w:val="20"/>
                <w:szCs w:val="20"/>
              </w:rPr>
            </w:pPr>
            <w:r w:rsidRPr="00C83556">
              <w:rPr>
                <w:color w:val="000000"/>
                <w:sz w:val="20"/>
                <w:szCs w:val="20"/>
              </w:rPr>
              <w:t>$14.43</w:t>
            </w:r>
          </w:p>
        </w:tc>
        <w:tc>
          <w:tcPr>
            <w:tcW w:w="1559"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$16.14</w:t>
            </w:r>
          </w:p>
        </w:tc>
        <w:tc>
          <w:tcPr>
            <w:tcW w:w="1701" w:type="dxa"/>
            <w:shd w:val="clear" w:color="auto" w:fill="auto"/>
            <w:noWrap/>
          </w:tcPr>
          <w:p w:rsidR="00E14718" w:rsidRPr="00DD6CB8" w:rsidRDefault="00E14718" w:rsidP="007E113B">
            <w:pPr>
              <w:pStyle w:val="EYTableText"/>
              <w:keepNext/>
              <w:jc w:val="right"/>
              <w:rPr>
                <w:sz w:val="20"/>
                <w:szCs w:val="20"/>
              </w:rPr>
            </w:pPr>
            <w:r w:rsidRPr="00602F49">
              <w:rPr>
                <w:color w:val="000000"/>
                <w:sz w:val="20"/>
                <w:szCs w:val="20"/>
              </w:rPr>
              <w:t>$23.33</w:t>
            </w:r>
          </w:p>
        </w:tc>
        <w:tc>
          <w:tcPr>
            <w:tcW w:w="1701"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$14.43</w:t>
            </w:r>
          </w:p>
        </w:tc>
      </w:tr>
      <w:tr w:rsidR="00A91535" w:rsidRPr="009114F6" w:rsidTr="00602F49">
        <w:trPr>
          <w:trHeight w:val="288"/>
        </w:trPr>
        <w:tc>
          <w:tcPr>
            <w:tcW w:w="9634" w:type="dxa"/>
            <w:gridSpan w:val="5"/>
            <w:shd w:val="clear" w:color="auto" w:fill="D9D9D9" w:themeFill="background1" w:themeFillShade="D9"/>
            <w:noWrap/>
            <w:vAlign w:val="bottom"/>
            <w:hideMark/>
          </w:tcPr>
          <w:p w:rsidR="00A91535" w:rsidRPr="00DD6CB8" w:rsidRDefault="00A91535" w:rsidP="00DD6CB8">
            <w:pPr>
              <w:keepNext/>
              <w:spacing w:before="60" w:after="60" w:line="240" w:lineRule="auto"/>
              <w:jc w:val="left"/>
            </w:pPr>
            <w:r w:rsidRPr="00C83556">
              <w:rPr>
                <w:rFonts w:eastAsia="Times New Roman" w:cs="Arial"/>
                <w:b/>
                <w:color w:val="000000"/>
                <w:sz w:val="20"/>
                <w:szCs w:val="20"/>
                <w:lang w:eastAsia="en-AU"/>
              </w:rPr>
              <w:t>Economic benefit - TC</w:t>
            </w:r>
          </w:p>
        </w:tc>
      </w:tr>
      <w:tr w:rsidR="00E14718" w:rsidRPr="009114F6" w:rsidTr="00DD6CB8">
        <w:trPr>
          <w:trHeight w:val="288"/>
        </w:trPr>
        <w:tc>
          <w:tcPr>
            <w:tcW w:w="3131" w:type="dxa"/>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Benefits (PV)</w:t>
            </w:r>
          </w:p>
        </w:tc>
        <w:tc>
          <w:tcPr>
            <w:tcW w:w="1542" w:type="dxa"/>
            <w:shd w:val="clear" w:color="auto" w:fill="auto"/>
            <w:noWrap/>
            <w:hideMark/>
          </w:tcPr>
          <w:p w:rsidR="00E14718" w:rsidRPr="00C83556" w:rsidRDefault="00E14718" w:rsidP="007E113B">
            <w:pPr>
              <w:pStyle w:val="EYTableText"/>
              <w:keepNext/>
              <w:jc w:val="right"/>
              <w:rPr>
                <w:sz w:val="20"/>
                <w:szCs w:val="20"/>
              </w:rPr>
            </w:pPr>
            <w:r w:rsidRPr="00C83556">
              <w:rPr>
                <w:color w:val="000000"/>
                <w:sz w:val="20"/>
                <w:szCs w:val="20"/>
              </w:rPr>
              <w:t>$4,017,786</w:t>
            </w:r>
          </w:p>
        </w:tc>
        <w:tc>
          <w:tcPr>
            <w:tcW w:w="1559"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$4,017,786</w:t>
            </w:r>
          </w:p>
        </w:tc>
        <w:tc>
          <w:tcPr>
            <w:tcW w:w="1701" w:type="dxa"/>
            <w:shd w:val="clear" w:color="auto" w:fill="auto"/>
            <w:noWrap/>
          </w:tcPr>
          <w:p w:rsidR="00E14718" w:rsidRPr="00DD6CB8" w:rsidRDefault="00E14718" w:rsidP="007E113B">
            <w:pPr>
              <w:pStyle w:val="EYTableText"/>
              <w:keepNext/>
              <w:jc w:val="right"/>
              <w:rPr>
                <w:sz w:val="20"/>
                <w:szCs w:val="20"/>
              </w:rPr>
            </w:pPr>
            <w:r w:rsidRPr="00602F49">
              <w:rPr>
                <w:color w:val="000000"/>
                <w:sz w:val="20"/>
                <w:szCs w:val="20"/>
              </w:rPr>
              <w:t>$4,017,786</w:t>
            </w:r>
          </w:p>
        </w:tc>
        <w:tc>
          <w:tcPr>
            <w:tcW w:w="1701"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$1,226,882</w:t>
            </w:r>
          </w:p>
        </w:tc>
      </w:tr>
      <w:tr w:rsidR="00E14718" w:rsidRPr="009114F6" w:rsidTr="00DD6CB8">
        <w:trPr>
          <w:trHeight w:val="288"/>
        </w:trPr>
        <w:tc>
          <w:tcPr>
            <w:tcW w:w="3131" w:type="dxa"/>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Net Benefits (PV)</w:t>
            </w:r>
          </w:p>
        </w:tc>
        <w:tc>
          <w:tcPr>
            <w:tcW w:w="1542" w:type="dxa"/>
            <w:shd w:val="clear" w:color="auto" w:fill="auto"/>
            <w:noWrap/>
            <w:hideMark/>
          </w:tcPr>
          <w:p w:rsidR="00E14718" w:rsidRPr="00602F49" w:rsidRDefault="00E14718" w:rsidP="007E113B">
            <w:pPr>
              <w:pStyle w:val="EYTableText"/>
              <w:keepNext/>
              <w:jc w:val="right"/>
              <w:rPr>
                <w:sz w:val="20"/>
                <w:szCs w:val="20"/>
              </w:rPr>
            </w:pPr>
            <w:r w:rsidRPr="00C83556">
              <w:rPr>
                <w:color w:val="000000"/>
                <w:sz w:val="20"/>
                <w:szCs w:val="20"/>
              </w:rPr>
              <w:t>$2,711,676</w:t>
            </w:r>
          </w:p>
        </w:tc>
        <w:tc>
          <w:tcPr>
            <w:tcW w:w="1559"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$1,422,254</w:t>
            </w:r>
          </w:p>
        </w:tc>
        <w:tc>
          <w:tcPr>
            <w:tcW w:w="1701"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-$2,001,414</w:t>
            </w:r>
          </w:p>
        </w:tc>
        <w:tc>
          <w:tcPr>
            <w:tcW w:w="1701"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$38,181</w:t>
            </w:r>
          </w:p>
        </w:tc>
      </w:tr>
      <w:tr w:rsidR="00A91535" w:rsidRPr="009114F6" w:rsidTr="00602F49">
        <w:trPr>
          <w:trHeight w:val="288"/>
        </w:trPr>
        <w:tc>
          <w:tcPr>
            <w:tcW w:w="9634" w:type="dxa"/>
            <w:gridSpan w:val="5"/>
            <w:shd w:val="clear" w:color="auto" w:fill="D9D9D9" w:themeFill="background1" w:themeFillShade="D9"/>
            <w:noWrap/>
            <w:vAlign w:val="bottom"/>
            <w:hideMark/>
          </w:tcPr>
          <w:p w:rsidR="00A91535" w:rsidRPr="00DD6CB8" w:rsidRDefault="00A91535" w:rsidP="00DD6CB8">
            <w:pPr>
              <w:keepNext/>
              <w:spacing w:before="60" w:after="60" w:line="240" w:lineRule="auto"/>
              <w:jc w:val="left"/>
            </w:pPr>
            <w:r w:rsidRPr="00C83556">
              <w:rPr>
                <w:rFonts w:eastAsia="Times New Roman" w:cs="Arial"/>
                <w:b/>
                <w:color w:val="000000"/>
                <w:sz w:val="20"/>
                <w:szCs w:val="20"/>
                <w:lang w:eastAsia="en-AU"/>
              </w:rPr>
              <w:t xml:space="preserve">Economic benefit </w:t>
            </w:r>
            <w:r w:rsidR="00B25A9F">
              <w:rPr>
                <w:rFonts w:eastAsia="Times New Roman" w:cs="Arial"/>
                <w:b/>
                <w:color w:val="000000"/>
                <w:sz w:val="20"/>
                <w:szCs w:val="20"/>
                <w:lang w:eastAsia="en-AU"/>
              </w:rPr>
              <w:t>–</w:t>
            </w:r>
            <w:r w:rsidRPr="00C83556">
              <w:rPr>
                <w:rFonts w:eastAsia="Times New Roman" w:cs="Arial"/>
                <w:b/>
                <w:color w:val="000000"/>
                <w:sz w:val="20"/>
                <w:szCs w:val="20"/>
                <w:lang w:eastAsia="en-AU"/>
              </w:rPr>
              <w:t xml:space="preserve"> Mid</w:t>
            </w:r>
            <w:r w:rsidR="00B25A9F">
              <w:rPr>
                <w:rFonts w:eastAsia="Times New Roman" w:cs="Arial"/>
                <w:b/>
                <w:color w:val="000000"/>
                <w:sz w:val="20"/>
                <w:szCs w:val="20"/>
                <w:lang w:eastAsia="en-AU"/>
              </w:rPr>
              <w:t>-p</w:t>
            </w:r>
            <w:r w:rsidRPr="00C83556">
              <w:rPr>
                <w:rFonts w:eastAsia="Times New Roman" w:cs="Arial"/>
                <w:b/>
                <w:color w:val="000000"/>
                <w:sz w:val="20"/>
                <w:szCs w:val="20"/>
                <w:lang w:eastAsia="en-AU"/>
              </w:rPr>
              <w:t>oint</w:t>
            </w:r>
          </w:p>
        </w:tc>
      </w:tr>
      <w:tr w:rsidR="00E14718" w:rsidRPr="009114F6" w:rsidTr="00DD6CB8">
        <w:trPr>
          <w:trHeight w:val="288"/>
        </w:trPr>
        <w:tc>
          <w:tcPr>
            <w:tcW w:w="3131" w:type="dxa"/>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Benefits (PV)</w:t>
            </w:r>
          </w:p>
        </w:tc>
        <w:tc>
          <w:tcPr>
            <w:tcW w:w="1542" w:type="dxa"/>
            <w:shd w:val="clear" w:color="auto" w:fill="auto"/>
            <w:noWrap/>
            <w:hideMark/>
          </w:tcPr>
          <w:p w:rsidR="00E14718" w:rsidRPr="00C83556" w:rsidRDefault="00E14718" w:rsidP="007E113B">
            <w:pPr>
              <w:pStyle w:val="EYTableText"/>
              <w:keepNext/>
              <w:jc w:val="right"/>
              <w:rPr>
                <w:sz w:val="20"/>
                <w:szCs w:val="20"/>
              </w:rPr>
            </w:pPr>
            <w:r w:rsidRPr="00C83556">
              <w:rPr>
                <w:color w:val="000000"/>
                <w:sz w:val="20"/>
                <w:szCs w:val="20"/>
              </w:rPr>
              <w:t>$2,503,966</w:t>
            </w:r>
          </w:p>
        </w:tc>
        <w:tc>
          <w:tcPr>
            <w:tcW w:w="1559"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$2,503,966</w:t>
            </w:r>
          </w:p>
        </w:tc>
        <w:tc>
          <w:tcPr>
            <w:tcW w:w="1701" w:type="dxa"/>
            <w:shd w:val="clear" w:color="auto" w:fill="auto"/>
            <w:noWrap/>
          </w:tcPr>
          <w:p w:rsidR="00E14718" w:rsidRPr="00DD6CB8" w:rsidRDefault="00E14718" w:rsidP="007E113B">
            <w:pPr>
              <w:pStyle w:val="EYTableText"/>
              <w:keepNext/>
              <w:jc w:val="right"/>
              <w:rPr>
                <w:sz w:val="20"/>
                <w:szCs w:val="20"/>
              </w:rPr>
            </w:pPr>
            <w:r w:rsidRPr="00602F49">
              <w:rPr>
                <w:color w:val="000000"/>
                <w:sz w:val="20"/>
                <w:szCs w:val="20"/>
              </w:rPr>
              <w:t>$2,503,966</w:t>
            </w:r>
          </w:p>
        </w:tc>
        <w:tc>
          <w:tcPr>
            <w:tcW w:w="1701"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$2,503,966</w:t>
            </w:r>
          </w:p>
        </w:tc>
      </w:tr>
      <w:tr w:rsidR="00E14718" w:rsidRPr="009114F6" w:rsidTr="00DD6CB8">
        <w:trPr>
          <w:trHeight w:val="288"/>
        </w:trPr>
        <w:tc>
          <w:tcPr>
            <w:tcW w:w="3131" w:type="dxa"/>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Net Benefits (PV)</w:t>
            </w:r>
          </w:p>
        </w:tc>
        <w:tc>
          <w:tcPr>
            <w:tcW w:w="1542" w:type="dxa"/>
            <w:shd w:val="clear" w:color="auto" w:fill="auto"/>
            <w:noWrap/>
            <w:hideMark/>
          </w:tcPr>
          <w:p w:rsidR="00E14718" w:rsidRPr="00C83556" w:rsidRDefault="00E14718" w:rsidP="007E113B">
            <w:pPr>
              <w:pStyle w:val="EYTableText"/>
              <w:keepNext/>
              <w:jc w:val="right"/>
              <w:rPr>
                <w:sz w:val="20"/>
                <w:szCs w:val="20"/>
              </w:rPr>
            </w:pPr>
            <w:r w:rsidRPr="00C83556">
              <w:rPr>
                <w:color w:val="000000"/>
                <w:sz w:val="20"/>
                <w:szCs w:val="20"/>
              </w:rPr>
              <w:t>$1,197,856</w:t>
            </w:r>
          </w:p>
        </w:tc>
        <w:tc>
          <w:tcPr>
            <w:tcW w:w="1559"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-$91,566</w:t>
            </w:r>
          </w:p>
        </w:tc>
        <w:tc>
          <w:tcPr>
            <w:tcW w:w="1701" w:type="dxa"/>
            <w:shd w:val="clear" w:color="auto" w:fill="auto"/>
            <w:noWrap/>
          </w:tcPr>
          <w:p w:rsidR="00E14718" w:rsidRPr="00DD6CB8" w:rsidRDefault="00E14718" w:rsidP="007E113B">
            <w:pPr>
              <w:pStyle w:val="EYTableText"/>
              <w:keepNext/>
              <w:jc w:val="right"/>
              <w:rPr>
                <w:sz w:val="20"/>
                <w:szCs w:val="20"/>
              </w:rPr>
            </w:pPr>
            <w:r w:rsidRPr="00602F49">
              <w:rPr>
                <w:color w:val="000000"/>
                <w:sz w:val="20"/>
                <w:szCs w:val="20"/>
              </w:rPr>
              <w:t>-$3,515,234</w:t>
            </w:r>
          </w:p>
        </w:tc>
        <w:tc>
          <w:tcPr>
            <w:tcW w:w="1701"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$1,315,266</w:t>
            </w:r>
          </w:p>
        </w:tc>
      </w:tr>
    </w:tbl>
    <w:p w:rsidR="00D0308F" w:rsidRPr="009114F6" w:rsidRDefault="00CC2143" w:rsidP="00D0308F">
      <w:pPr>
        <w:spacing w:after="0"/>
        <w:rPr>
          <w:sz w:val="20"/>
          <w:szCs w:val="20"/>
        </w:rPr>
      </w:pPr>
      <w:r>
        <w:rPr>
          <w:sz w:val="20"/>
          <w:szCs w:val="20"/>
        </w:rPr>
        <w:br/>
      </w:r>
      <w:r w:rsidR="00D0308F" w:rsidRPr="009114F6">
        <w:rPr>
          <w:sz w:val="20"/>
          <w:szCs w:val="20"/>
        </w:rPr>
        <w:t xml:space="preserve">Notes: </w:t>
      </w:r>
    </w:p>
    <w:p w:rsidR="00D0308F" w:rsidRPr="009114F6" w:rsidRDefault="00D0308F" w:rsidP="00A15416">
      <w:pPr>
        <w:pStyle w:val="ListParagraph"/>
        <w:numPr>
          <w:ilvl w:val="0"/>
          <w:numId w:val="29"/>
        </w:numPr>
        <w:spacing w:after="0"/>
        <w:jc w:val="left"/>
        <w:rPr>
          <w:sz w:val="20"/>
          <w:szCs w:val="20"/>
        </w:rPr>
      </w:pPr>
      <w:r w:rsidRPr="009114F6">
        <w:rPr>
          <w:sz w:val="20"/>
          <w:szCs w:val="20"/>
        </w:rPr>
        <w:t>Present Values have been calculated over a ten year period for both costs and benefits using a real discount rate of 7%.</w:t>
      </w:r>
    </w:p>
    <w:p w:rsidR="00D0308F" w:rsidRPr="009114F6" w:rsidRDefault="00D0308F" w:rsidP="00A15416">
      <w:pPr>
        <w:pStyle w:val="ListParagraph"/>
        <w:numPr>
          <w:ilvl w:val="0"/>
          <w:numId w:val="29"/>
        </w:numPr>
        <w:spacing w:after="0"/>
        <w:jc w:val="left"/>
        <w:rPr>
          <w:sz w:val="20"/>
          <w:szCs w:val="20"/>
        </w:rPr>
      </w:pPr>
      <w:r w:rsidRPr="009114F6">
        <w:rPr>
          <w:sz w:val="20"/>
          <w:szCs w:val="20"/>
        </w:rPr>
        <w:t xml:space="preserve">The break-even point calculates the discounted per person, per trip benefit needed to equal the costs over a 10 year period. </w:t>
      </w:r>
    </w:p>
    <w:p w:rsidR="00275F82" w:rsidRPr="009114F6" w:rsidRDefault="00275F82" w:rsidP="00A15416">
      <w:pPr>
        <w:pStyle w:val="ListParagraph"/>
        <w:numPr>
          <w:ilvl w:val="0"/>
          <w:numId w:val="29"/>
        </w:numPr>
        <w:spacing w:after="0"/>
        <w:jc w:val="left"/>
      </w:pPr>
      <w:r w:rsidRPr="009114F6">
        <w:rPr>
          <w:sz w:val="20"/>
          <w:szCs w:val="20"/>
        </w:rPr>
        <w:t xml:space="preserve">The </w:t>
      </w:r>
      <w:r w:rsidR="005811B5">
        <w:rPr>
          <w:sz w:val="20"/>
          <w:szCs w:val="20"/>
        </w:rPr>
        <w:t>non-r</w:t>
      </w:r>
      <w:r w:rsidR="005811B5" w:rsidRPr="009114F6">
        <w:rPr>
          <w:sz w:val="20"/>
          <w:szCs w:val="20"/>
        </w:rPr>
        <w:t xml:space="preserve">egulatory </w:t>
      </w:r>
      <w:r w:rsidRPr="009114F6">
        <w:rPr>
          <w:sz w:val="20"/>
          <w:szCs w:val="20"/>
        </w:rPr>
        <w:t>scenario assumes the same type of facility is constructed as under Option A, but that fewer overall are constructed</w:t>
      </w:r>
      <w:r w:rsidRPr="009114F6">
        <w:t xml:space="preserve">. </w:t>
      </w:r>
      <w:r w:rsidRPr="009114F6">
        <w:rPr>
          <w:sz w:val="20"/>
        </w:rPr>
        <w:t>Thus the per facility break</w:t>
      </w:r>
      <w:r w:rsidR="001440BA">
        <w:rPr>
          <w:sz w:val="20"/>
        </w:rPr>
        <w:t>-</w:t>
      </w:r>
      <w:r w:rsidRPr="009114F6">
        <w:rPr>
          <w:sz w:val="20"/>
        </w:rPr>
        <w:t xml:space="preserve">even and WTP </w:t>
      </w:r>
      <w:r w:rsidR="00A7489B" w:rsidRPr="009114F6">
        <w:rPr>
          <w:sz w:val="20"/>
        </w:rPr>
        <w:t>estimates</w:t>
      </w:r>
      <w:r w:rsidRPr="009114F6">
        <w:rPr>
          <w:sz w:val="20"/>
        </w:rPr>
        <w:t xml:space="preserve"> are the same in the non-regulatory scenario as in Option A</w:t>
      </w:r>
      <w:r w:rsidR="007023CF">
        <w:rPr>
          <w:sz w:val="20"/>
        </w:rPr>
        <w:t>.</w:t>
      </w:r>
    </w:p>
    <w:p w:rsidR="00275F82" w:rsidRPr="009114F6" w:rsidRDefault="00CC6F6D" w:rsidP="00A15416">
      <w:pPr>
        <w:pStyle w:val="ListParagraph"/>
        <w:numPr>
          <w:ilvl w:val="0"/>
          <w:numId w:val="29"/>
        </w:numPr>
        <w:spacing w:after="0"/>
        <w:jc w:val="left"/>
        <w:rPr>
          <w:sz w:val="20"/>
          <w:szCs w:val="20"/>
        </w:rPr>
      </w:pPr>
      <w:r w:rsidRPr="009114F6">
        <w:rPr>
          <w:sz w:val="20"/>
          <w:szCs w:val="20"/>
        </w:rPr>
        <w:t>Whole</w:t>
      </w:r>
      <w:r>
        <w:rPr>
          <w:sz w:val="20"/>
          <w:szCs w:val="20"/>
        </w:rPr>
        <w:t>-</w:t>
      </w:r>
      <w:r w:rsidRPr="009114F6">
        <w:rPr>
          <w:sz w:val="20"/>
          <w:szCs w:val="20"/>
        </w:rPr>
        <w:t>of</w:t>
      </w:r>
      <w:r>
        <w:rPr>
          <w:sz w:val="20"/>
          <w:szCs w:val="20"/>
        </w:rPr>
        <w:t>-</w:t>
      </w:r>
      <w:r w:rsidR="00275F82" w:rsidRPr="009114F6">
        <w:rPr>
          <w:sz w:val="20"/>
          <w:szCs w:val="20"/>
        </w:rPr>
        <w:t>economy values are derived by multiplying the estimated benefits per trip and break-even points from the case studies by the assumed number of buildings of each type expected to be developed over the next 10 years.</w:t>
      </w:r>
    </w:p>
    <w:p w:rsidR="00D0308F" w:rsidRPr="00D57465" w:rsidRDefault="00D0308F" w:rsidP="009114F6">
      <w:pPr>
        <w:pStyle w:val="ListParagraph"/>
        <w:spacing w:after="0"/>
        <w:jc w:val="left"/>
        <w:rPr>
          <w:sz w:val="20"/>
          <w:szCs w:val="20"/>
          <w:highlight w:val="yellow"/>
        </w:rPr>
      </w:pPr>
    </w:p>
    <w:p w:rsidR="00D0308F" w:rsidRPr="0068071B" w:rsidRDefault="00D0308F" w:rsidP="00D0308F">
      <w:pPr>
        <w:rPr>
          <w:highlight w:val="yellow"/>
        </w:rPr>
      </w:pPr>
    </w:p>
    <w:p w:rsidR="00D0308F" w:rsidRPr="009114F6" w:rsidRDefault="00D0308F" w:rsidP="00D0308F">
      <w:pPr>
        <w:pStyle w:val="Caption"/>
        <w:keepNext/>
      </w:pPr>
      <w:bookmarkStart w:id="550" w:name="_Ref521491556"/>
      <w:bookmarkStart w:id="551" w:name="_Toc525897822"/>
      <w:r w:rsidRPr="009114F6">
        <w:lastRenderedPageBreak/>
        <w:t xml:space="preserve">Table </w:t>
      </w:r>
      <w:r w:rsidR="00D128AA">
        <w:rPr>
          <w:noProof/>
        </w:rPr>
        <w:fldChar w:fldCharType="begin"/>
      </w:r>
      <w:r w:rsidR="00D128AA">
        <w:rPr>
          <w:noProof/>
        </w:rPr>
        <w:instrText xml:space="preserve"> STYLEREF 1 \s </w:instrText>
      </w:r>
      <w:r w:rsidR="00D128AA">
        <w:rPr>
          <w:noProof/>
        </w:rPr>
        <w:fldChar w:fldCharType="separate"/>
      </w:r>
      <w:r w:rsidR="00910A73">
        <w:rPr>
          <w:noProof/>
        </w:rPr>
        <w:t>7</w:t>
      </w:r>
      <w:r w:rsidR="00D128AA">
        <w:rPr>
          <w:noProof/>
        </w:rPr>
        <w:fldChar w:fldCharType="end"/>
      </w:r>
      <w:r w:rsidR="00325A73">
        <w:noBreakHyphen/>
      </w:r>
      <w:r w:rsidR="00D128AA">
        <w:rPr>
          <w:noProof/>
        </w:rPr>
        <w:fldChar w:fldCharType="begin"/>
      </w:r>
      <w:r w:rsidR="00D128AA">
        <w:rPr>
          <w:noProof/>
        </w:rPr>
        <w:instrText xml:space="preserve"> SEQ Table \* ARABIC \s 1 </w:instrText>
      </w:r>
      <w:r w:rsidR="00D128AA">
        <w:rPr>
          <w:noProof/>
        </w:rPr>
        <w:fldChar w:fldCharType="separate"/>
      </w:r>
      <w:r w:rsidR="00910A73">
        <w:rPr>
          <w:noProof/>
        </w:rPr>
        <w:t>8</w:t>
      </w:r>
      <w:r w:rsidR="00D128AA">
        <w:rPr>
          <w:noProof/>
        </w:rPr>
        <w:fldChar w:fldCharType="end"/>
      </w:r>
      <w:bookmarkEnd w:id="550"/>
      <w:r w:rsidRPr="009114F6">
        <w:rPr>
          <w:noProof/>
        </w:rPr>
        <w:t xml:space="preserve">: </w:t>
      </w:r>
      <w:r w:rsidRPr="009114F6">
        <w:t xml:space="preserve">Illustrative </w:t>
      </w:r>
      <w:r w:rsidR="00CC6F6D" w:rsidRPr="009114F6">
        <w:t>whole</w:t>
      </w:r>
      <w:r w:rsidR="00CC6F6D">
        <w:t>-</w:t>
      </w:r>
      <w:r w:rsidR="00CC6F6D" w:rsidRPr="009114F6">
        <w:t>of</w:t>
      </w:r>
      <w:r w:rsidR="00CC6F6D">
        <w:t>-</w:t>
      </w:r>
      <w:r w:rsidRPr="009114F6">
        <w:t>economy benefits – Stadiums</w:t>
      </w:r>
      <w:bookmarkEnd w:id="551"/>
      <w:r w:rsidR="00AF7114">
        <w:t xml:space="preserve"> </w:t>
      </w:r>
    </w:p>
    <w:tbl>
      <w:tblPr>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Caption w:val="Table 7 8: Illustrative whole of economy benefits – Stadiums"/>
        <w:tblDescription w:val="Illustrative whole of economy benefits for stadiums."/>
      </w:tblPr>
      <w:tblGrid>
        <w:gridCol w:w="3145"/>
        <w:gridCol w:w="1442"/>
        <w:gridCol w:w="1469"/>
        <w:gridCol w:w="1736"/>
        <w:gridCol w:w="1842"/>
      </w:tblGrid>
      <w:tr w:rsidR="00D0308F" w:rsidRPr="009114F6" w:rsidTr="00DD6CB8">
        <w:trPr>
          <w:trHeight w:val="288"/>
        </w:trPr>
        <w:tc>
          <w:tcPr>
            <w:tcW w:w="31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vAlign w:val="bottom"/>
            <w:hideMark/>
          </w:tcPr>
          <w:p w:rsidR="00D0308F" w:rsidRPr="00C83556" w:rsidRDefault="00D0308F" w:rsidP="00DD6CB8">
            <w:pPr>
              <w:keepNext/>
              <w:spacing w:before="60" w:after="60" w:line="240" w:lineRule="auto"/>
              <w:jc w:val="left"/>
              <w:rPr>
                <w:rFonts w:eastAsia="Times New Roman" w:cs="Arial"/>
                <w:color w:val="FFFFFF" w:themeColor="background1"/>
                <w:sz w:val="20"/>
                <w:szCs w:val="20"/>
                <w:lang w:eastAsia="en-AU"/>
              </w:rPr>
            </w:pPr>
          </w:p>
        </w:tc>
        <w:tc>
          <w:tcPr>
            <w:tcW w:w="14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C83556" w:rsidRDefault="00D0308F" w:rsidP="00DD6CB8">
            <w:pPr>
              <w:keepNext/>
              <w:spacing w:before="60" w:after="60" w:line="240" w:lineRule="auto"/>
              <w:jc w:val="left"/>
              <w:rPr>
                <w:rFonts w:eastAsia="Times New Roman" w:cs="Arial"/>
                <w:color w:val="FFFFFF" w:themeColor="background1"/>
                <w:sz w:val="20"/>
                <w:szCs w:val="20"/>
                <w:lang w:eastAsia="en-AU"/>
              </w:rPr>
            </w:pPr>
            <w:r w:rsidRPr="00C83556">
              <w:rPr>
                <w:rFonts w:eastAsia="Times New Roman" w:cs="Arial"/>
                <w:color w:val="FFFFFF" w:themeColor="background1"/>
                <w:sz w:val="20"/>
                <w:szCs w:val="20"/>
                <w:lang w:eastAsia="en-AU"/>
              </w:rPr>
              <w:t>Regulatory Option A – co-located</w:t>
            </w:r>
          </w:p>
        </w:tc>
        <w:tc>
          <w:tcPr>
            <w:tcW w:w="1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C83556" w:rsidRDefault="00D0308F" w:rsidP="00DD6CB8">
            <w:pPr>
              <w:keepNext/>
              <w:spacing w:before="60" w:after="60" w:line="240" w:lineRule="auto"/>
              <w:jc w:val="left"/>
              <w:rPr>
                <w:rFonts w:eastAsia="Times New Roman" w:cs="Arial"/>
                <w:color w:val="FFFFFF" w:themeColor="background1"/>
                <w:sz w:val="20"/>
                <w:szCs w:val="20"/>
                <w:lang w:eastAsia="en-AU"/>
              </w:rPr>
            </w:pPr>
            <w:r w:rsidRPr="00C83556">
              <w:rPr>
                <w:rFonts w:eastAsia="Times New Roman" w:cs="Arial"/>
                <w:color w:val="FFFFFF" w:themeColor="background1"/>
                <w:sz w:val="20"/>
                <w:szCs w:val="20"/>
                <w:lang w:eastAsia="en-AU"/>
              </w:rPr>
              <w:t>Regulatory Option A - separate</w:t>
            </w:r>
          </w:p>
        </w:tc>
        <w:tc>
          <w:tcPr>
            <w:tcW w:w="17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602F49" w:rsidRDefault="00D0308F" w:rsidP="00DD6CB8">
            <w:pPr>
              <w:keepNext/>
              <w:spacing w:before="60" w:after="60" w:line="240" w:lineRule="auto"/>
              <w:jc w:val="left"/>
              <w:rPr>
                <w:rFonts w:eastAsia="Times New Roman" w:cs="Arial"/>
                <w:color w:val="FFFFFF" w:themeColor="background1"/>
                <w:sz w:val="20"/>
                <w:szCs w:val="20"/>
                <w:lang w:eastAsia="en-AU"/>
              </w:rPr>
            </w:pPr>
            <w:r w:rsidRPr="00602F49">
              <w:rPr>
                <w:rFonts w:eastAsia="Times New Roman" w:cs="Arial"/>
                <w:color w:val="FFFFFF" w:themeColor="background1"/>
                <w:sz w:val="20"/>
                <w:szCs w:val="20"/>
                <w:lang w:eastAsia="en-AU"/>
              </w:rPr>
              <w:t>Regulatory Option B (Changing Places)</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602F49" w:rsidRDefault="00D0308F" w:rsidP="00DD6CB8">
            <w:pPr>
              <w:keepNext/>
              <w:spacing w:before="60" w:after="60" w:line="240" w:lineRule="auto"/>
              <w:jc w:val="left"/>
              <w:rPr>
                <w:rFonts w:eastAsia="Times New Roman" w:cs="Arial"/>
                <w:color w:val="FFFFFF" w:themeColor="background1"/>
                <w:sz w:val="20"/>
                <w:szCs w:val="20"/>
                <w:lang w:eastAsia="en-AU"/>
              </w:rPr>
            </w:pPr>
            <w:r w:rsidRPr="00602F49">
              <w:rPr>
                <w:rFonts w:eastAsia="Times New Roman" w:cs="Arial"/>
                <w:color w:val="FFFFFF" w:themeColor="background1"/>
                <w:sz w:val="20"/>
                <w:szCs w:val="20"/>
                <w:lang w:eastAsia="en-AU"/>
              </w:rPr>
              <w:t>Non</w:t>
            </w:r>
            <w:r w:rsidR="00B25A9F">
              <w:rPr>
                <w:rFonts w:eastAsia="Times New Roman" w:cs="Arial"/>
                <w:color w:val="FFFFFF" w:themeColor="background1"/>
                <w:sz w:val="20"/>
                <w:szCs w:val="20"/>
                <w:lang w:eastAsia="en-AU"/>
              </w:rPr>
              <w:t>-r</w:t>
            </w:r>
            <w:r w:rsidRPr="00602F49">
              <w:rPr>
                <w:rFonts w:eastAsia="Times New Roman" w:cs="Arial"/>
                <w:color w:val="FFFFFF" w:themeColor="background1"/>
                <w:sz w:val="20"/>
                <w:szCs w:val="20"/>
                <w:lang w:eastAsia="en-AU"/>
              </w:rPr>
              <w:t>egulatory Option</w:t>
            </w:r>
          </w:p>
        </w:tc>
      </w:tr>
      <w:tr w:rsidR="00E14718" w:rsidRPr="009114F6" w:rsidTr="00DD6CB8">
        <w:trPr>
          <w:trHeight w:val="288"/>
        </w:trPr>
        <w:tc>
          <w:tcPr>
            <w:tcW w:w="3145" w:type="dxa"/>
            <w:tcBorders>
              <w:top w:val="single" w:sz="4" w:space="0" w:color="FFFFFF" w:themeColor="background1"/>
            </w:tcBorders>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Present Value (PV) of Costs</w:t>
            </w:r>
          </w:p>
        </w:tc>
        <w:tc>
          <w:tcPr>
            <w:tcW w:w="1442" w:type="dxa"/>
            <w:tcBorders>
              <w:top w:val="single" w:sz="4" w:space="0" w:color="FFFFFF" w:themeColor="background1"/>
            </w:tcBorders>
            <w:shd w:val="clear" w:color="auto" w:fill="auto"/>
            <w:noWrap/>
          </w:tcPr>
          <w:p w:rsidR="00E14718" w:rsidRPr="00C83556" w:rsidRDefault="00E14718" w:rsidP="007E113B">
            <w:pPr>
              <w:pStyle w:val="EYTableText"/>
              <w:keepNext/>
              <w:jc w:val="right"/>
              <w:rPr>
                <w:sz w:val="20"/>
                <w:szCs w:val="20"/>
              </w:rPr>
            </w:pPr>
            <w:r w:rsidRPr="00C83556">
              <w:rPr>
                <w:color w:val="000000"/>
                <w:sz w:val="20"/>
                <w:szCs w:val="20"/>
              </w:rPr>
              <w:t>$996,768</w:t>
            </w:r>
          </w:p>
        </w:tc>
        <w:tc>
          <w:tcPr>
            <w:tcW w:w="1469" w:type="dxa"/>
            <w:tcBorders>
              <w:top w:val="single" w:sz="4" w:space="0" w:color="FFFFFF" w:themeColor="background1"/>
            </w:tcBorders>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$1,980,801</w:t>
            </w:r>
          </w:p>
        </w:tc>
        <w:tc>
          <w:tcPr>
            <w:tcW w:w="1736" w:type="dxa"/>
            <w:tcBorders>
              <w:top w:val="single" w:sz="4" w:space="0" w:color="FFFFFF" w:themeColor="background1"/>
            </w:tcBorders>
            <w:shd w:val="clear" w:color="auto" w:fill="auto"/>
            <w:noWrap/>
          </w:tcPr>
          <w:p w:rsidR="00E14718" w:rsidRPr="00DD6CB8" w:rsidRDefault="00E14718" w:rsidP="007E113B">
            <w:pPr>
              <w:pStyle w:val="EYTableText"/>
              <w:keepNext/>
              <w:jc w:val="right"/>
              <w:rPr>
                <w:sz w:val="20"/>
                <w:szCs w:val="20"/>
              </w:rPr>
            </w:pPr>
            <w:r w:rsidRPr="00602F49">
              <w:rPr>
                <w:color w:val="000000"/>
                <w:sz w:val="20"/>
                <w:szCs w:val="20"/>
              </w:rPr>
              <w:t>$4,</w:t>
            </w:r>
            <w:r w:rsidRPr="00DD6CB8">
              <w:rPr>
                <w:color w:val="000000"/>
                <w:sz w:val="20"/>
                <w:szCs w:val="20"/>
              </w:rPr>
              <w:t>593,600</w:t>
            </w:r>
          </w:p>
        </w:tc>
        <w:tc>
          <w:tcPr>
            <w:tcW w:w="1842" w:type="dxa"/>
            <w:tcBorders>
              <w:top w:val="single" w:sz="4" w:space="0" w:color="FFFFFF" w:themeColor="background1"/>
            </w:tcBorders>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$800,578</w:t>
            </w:r>
          </w:p>
        </w:tc>
      </w:tr>
      <w:tr w:rsidR="00A91535" w:rsidRPr="009114F6" w:rsidTr="00602F49">
        <w:trPr>
          <w:trHeight w:val="288"/>
        </w:trPr>
        <w:tc>
          <w:tcPr>
            <w:tcW w:w="9634" w:type="dxa"/>
            <w:gridSpan w:val="5"/>
            <w:shd w:val="clear" w:color="auto" w:fill="D9D9D9" w:themeFill="background1" w:themeFillShade="D9"/>
            <w:noWrap/>
            <w:vAlign w:val="bottom"/>
            <w:hideMark/>
          </w:tcPr>
          <w:p w:rsidR="00A91535" w:rsidRPr="00DD6CB8" w:rsidRDefault="00A91535" w:rsidP="00DD6CB8">
            <w:pPr>
              <w:keepNext/>
              <w:spacing w:before="60" w:after="60" w:line="240" w:lineRule="auto"/>
              <w:jc w:val="left"/>
            </w:pPr>
            <w:r w:rsidRPr="00C83556">
              <w:rPr>
                <w:rFonts w:eastAsia="Times New Roman" w:cs="Arial"/>
                <w:b/>
                <w:color w:val="000000"/>
                <w:sz w:val="20"/>
                <w:szCs w:val="20"/>
                <w:lang w:eastAsia="en-AU"/>
              </w:rPr>
              <w:t>Findings from case studies</w:t>
            </w:r>
          </w:p>
        </w:tc>
      </w:tr>
      <w:tr w:rsidR="00E14718" w:rsidRPr="009114F6" w:rsidTr="00DD6CB8">
        <w:trPr>
          <w:trHeight w:val="288"/>
        </w:trPr>
        <w:tc>
          <w:tcPr>
            <w:tcW w:w="3145" w:type="dxa"/>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Break</w:t>
            </w:r>
            <w:r w:rsidR="001440BA">
              <w:rPr>
                <w:rFonts w:eastAsia="Times New Roman" w:cs="Arial"/>
                <w:color w:val="000000"/>
                <w:sz w:val="20"/>
                <w:szCs w:val="20"/>
                <w:lang w:eastAsia="en-AU"/>
              </w:rPr>
              <w:t>-</w:t>
            </w:r>
            <w:r w:rsidRPr="00C83556">
              <w:rPr>
                <w:rFonts w:eastAsia="Times New Roman" w:cs="Arial"/>
                <w:color w:val="000000"/>
                <w:sz w:val="20"/>
                <w:szCs w:val="20"/>
                <w:lang w:eastAsia="en-AU"/>
              </w:rPr>
              <w:t xml:space="preserve">Even Point (BE, </w:t>
            </w:r>
            <w:r w:rsidR="00B25A9F">
              <w:rPr>
                <w:rFonts w:eastAsia="Times New Roman" w:cs="Arial"/>
                <w:color w:val="000000"/>
                <w:sz w:val="20"/>
                <w:szCs w:val="20"/>
                <w:lang w:eastAsia="en-AU"/>
              </w:rPr>
              <w:t>r</w:t>
            </w:r>
            <w:r w:rsidRPr="00C83556">
              <w:rPr>
                <w:rFonts w:eastAsia="Times New Roman" w:cs="Arial"/>
                <w:color w:val="000000"/>
                <w:sz w:val="20"/>
                <w:szCs w:val="20"/>
                <w:lang w:eastAsia="en-AU"/>
              </w:rPr>
              <w:t>equired benefit per person per trip to break even)</w:t>
            </w:r>
          </w:p>
        </w:tc>
        <w:tc>
          <w:tcPr>
            <w:tcW w:w="1442" w:type="dxa"/>
            <w:shd w:val="clear" w:color="auto" w:fill="auto"/>
            <w:noWrap/>
          </w:tcPr>
          <w:p w:rsidR="00E14718" w:rsidRPr="00C83556" w:rsidRDefault="00E14718" w:rsidP="007E113B">
            <w:pPr>
              <w:pStyle w:val="EYTableText"/>
              <w:keepNext/>
              <w:jc w:val="right"/>
              <w:rPr>
                <w:sz w:val="20"/>
                <w:szCs w:val="20"/>
              </w:rPr>
            </w:pPr>
            <w:r w:rsidRPr="00C83556">
              <w:rPr>
                <w:color w:val="000000"/>
                <w:sz w:val="20"/>
                <w:szCs w:val="20"/>
              </w:rPr>
              <w:t>$6.66</w:t>
            </w:r>
          </w:p>
        </w:tc>
        <w:tc>
          <w:tcPr>
            <w:tcW w:w="1469"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$8.25</w:t>
            </w:r>
          </w:p>
        </w:tc>
        <w:tc>
          <w:tcPr>
            <w:tcW w:w="1736" w:type="dxa"/>
            <w:shd w:val="clear" w:color="auto" w:fill="auto"/>
            <w:noWrap/>
          </w:tcPr>
          <w:p w:rsidR="00E14718" w:rsidRPr="00DD6CB8" w:rsidRDefault="00E14718" w:rsidP="007E113B">
            <w:pPr>
              <w:pStyle w:val="EYTableText"/>
              <w:keepNext/>
              <w:jc w:val="right"/>
              <w:rPr>
                <w:sz w:val="20"/>
                <w:szCs w:val="20"/>
              </w:rPr>
            </w:pPr>
            <w:r w:rsidRPr="00602F49">
              <w:rPr>
                <w:color w:val="000000"/>
                <w:sz w:val="20"/>
                <w:szCs w:val="20"/>
              </w:rPr>
              <w:t>$10.87</w:t>
            </w:r>
          </w:p>
        </w:tc>
        <w:tc>
          <w:tcPr>
            <w:tcW w:w="1842"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$6.66</w:t>
            </w:r>
          </w:p>
        </w:tc>
      </w:tr>
      <w:tr w:rsidR="00E14718" w:rsidRPr="009114F6" w:rsidTr="00DD6CB8">
        <w:trPr>
          <w:trHeight w:val="288"/>
        </w:trPr>
        <w:tc>
          <w:tcPr>
            <w:tcW w:w="3145" w:type="dxa"/>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Willingness to Pay (WTP)</w:t>
            </w:r>
          </w:p>
        </w:tc>
        <w:tc>
          <w:tcPr>
            <w:tcW w:w="1442" w:type="dxa"/>
            <w:shd w:val="clear" w:color="auto" w:fill="auto"/>
            <w:noWrap/>
          </w:tcPr>
          <w:p w:rsidR="00E14718" w:rsidRPr="00C83556" w:rsidRDefault="00E14718" w:rsidP="007E113B">
            <w:pPr>
              <w:pStyle w:val="EYTableText"/>
              <w:keepNext/>
              <w:jc w:val="right"/>
              <w:rPr>
                <w:sz w:val="20"/>
                <w:szCs w:val="20"/>
              </w:rPr>
            </w:pPr>
            <w:r w:rsidRPr="00C83556">
              <w:rPr>
                <w:color w:val="000000"/>
                <w:sz w:val="20"/>
                <w:szCs w:val="20"/>
              </w:rPr>
              <w:t>$37.16</w:t>
            </w:r>
          </w:p>
        </w:tc>
        <w:tc>
          <w:tcPr>
            <w:tcW w:w="1469"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$37.16</w:t>
            </w:r>
          </w:p>
        </w:tc>
        <w:tc>
          <w:tcPr>
            <w:tcW w:w="1736" w:type="dxa"/>
            <w:shd w:val="clear" w:color="auto" w:fill="auto"/>
            <w:noWrap/>
          </w:tcPr>
          <w:p w:rsidR="00E14718" w:rsidRPr="00DD6CB8" w:rsidRDefault="00E14718" w:rsidP="007E113B">
            <w:pPr>
              <w:pStyle w:val="EYTableText"/>
              <w:keepNext/>
              <w:jc w:val="right"/>
              <w:rPr>
                <w:sz w:val="20"/>
                <w:szCs w:val="20"/>
              </w:rPr>
            </w:pPr>
            <w:r w:rsidRPr="00602F49">
              <w:rPr>
                <w:color w:val="000000"/>
                <w:sz w:val="20"/>
                <w:szCs w:val="20"/>
              </w:rPr>
              <w:t>$37.16</w:t>
            </w:r>
          </w:p>
        </w:tc>
        <w:tc>
          <w:tcPr>
            <w:tcW w:w="1842"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$37.16</w:t>
            </w:r>
          </w:p>
        </w:tc>
      </w:tr>
      <w:tr w:rsidR="00E14718" w:rsidRPr="009114F6" w:rsidTr="00DD6CB8">
        <w:trPr>
          <w:trHeight w:val="288"/>
        </w:trPr>
        <w:tc>
          <w:tcPr>
            <w:tcW w:w="3145" w:type="dxa"/>
            <w:shd w:val="clear" w:color="auto" w:fill="auto"/>
            <w:noWrap/>
            <w:vAlign w:val="bottom"/>
            <w:hideMark/>
          </w:tcPr>
          <w:p w:rsidR="00E14718" w:rsidRPr="00C83556" w:rsidRDefault="007C69BF"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Mid-</w:t>
            </w:r>
            <w:r w:rsidR="00B25A9F">
              <w:rPr>
                <w:rFonts w:eastAsia="Times New Roman" w:cs="Arial"/>
                <w:color w:val="000000"/>
                <w:sz w:val="20"/>
                <w:szCs w:val="20"/>
                <w:lang w:eastAsia="en-AU"/>
              </w:rPr>
              <w:t>p</w:t>
            </w:r>
            <w:r w:rsidRPr="00C83556">
              <w:rPr>
                <w:rFonts w:eastAsia="Times New Roman" w:cs="Arial"/>
                <w:color w:val="000000"/>
                <w:sz w:val="20"/>
                <w:szCs w:val="20"/>
                <w:lang w:eastAsia="en-AU"/>
              </w:rPr>
              <w:t>oint</w:t>
            </w:r>
            <w:r w:rsidR="00E14718" w:rsidRPr="00C83556">
              <w:rPr>
                <w:rFonts w:eastAsia="Times New Roman" w:cs="Arial"/>
                <w:color w:val="000000"/>
                <w:sz w:val="20"/>
                <w:szCs w:val="20"/>
                <w:lang w:eastAsia="en-AU"/>
              </w:rPr>
              <w:t xml:space="preserve"> of WTP and BE</w:t>
            </w:r>
          </w:p>
        </w:tc>
        <w:tc>
          <w:tcPr>
            <w:tcW w:w="1442" w:type="dxa"/>
            <w:shd w:val="clear" w:color="auto" w:fill="auto"/>
            <w:noWrap/>
          </w:tcPr>
          <w:p w:rsidR="00E14718" w:rsidRPr="00C83556" w:rsidRDefault="00E14718" w:rsidP="007E113B">
            <w:pPr>
              <w:pStyle w:val="EYTableText"/>
              <w:keepNext/>
              <w:jc w:val="right"/>
              <w:rPr>
                <w:sz w:val="20"/>
                <w:szCs w:val="20"/>
              </w:rPr>
            </w:pPr>
            <w:r w:rsidRPr="00C83556">
              <w:rPr>
                <w:color w:val="000000"/>
                <w:sz w:val="20"/>
                <w:szCs w:val="20"/>
              </w:rPr>
              <w:t>$21.91</w:t>
            </w:r>
          </w:p>
        </w:tc>
        <w:tc>
          <w:tcPr>
            <w:tcW w:w="1469"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$22.70</w:t>
            </w:r>
          </w:p>
        </w:tc>
        <w:tc>
          <w:tcPr>
            <w:tcW w:w="1736" w:type="dxa"/>
            <w:shd w:val="clear" w:color="auto" w:fill="auto"/>
            <w:noWrap/>
          </w:tcPr>
          <w:p w:rsidR="00E14718" w:rsidRPr="00DD6CB8" w:rsidRDefault="00E14718" w:rsidP="007E113B">
            <w:pPr>
              <w:pStyle w:val="EYTableText"/>
              <w:keepNext/>
              <w:jc w:val="right"/>
              <w:rPr>
                <w:sz w:val="20"/>
                <w:szCs w:val="20"/>
              </w:rPr>
            </w:pPr>
            <w:r w:rsidRPr="00602F49">
              <w:rPr>
                <w:color w:val="000000"/>
                <w:sz w:val="20"/>
                <w:szCs w:val="20"/>
              </w:rPr>
              <w:t>$24.01</w:t>
            </w:r>
          </w:p>
        </w:tc>
        <w:tc>
          <w:tcPr>
            <w:tcW w:w="1842"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$21.91</w:t>
            </w:r>
          </w:p>
        </w:tc>
      </w:tr>
      <w:tr w:rsidR="00A91535" w:rsidRPr="009114F6" w:rsidTr="00602F49">
        <w:trPr>
          <w:trHeight w:val="288"/>
        </w:trPr>
        <w:tc>
          <w:tcPr>
            <w:tcW w:w="9634" w:type="dxa"/>
            <w:gridSpan w:val="5"/>
            <w:shd w:val="clear" w:color="auto" w:fill="D9D9D9" w:themeFill="background1" w:themeFillShade="D9"/>
            <w:noWrap/>
            <w:vAlign w:val="bottom"/>
            <w:hideMark/>
          </w:tcPr>
          <w:p w:rsidR="00A91535" w:rsidRPr="00DD6CB8" w:rsidRDefault="00A91535" w:rsidP="00DD6CB8">
            <w:pPr>
              <w:keepNext/>
              <w:spacing w:before="60" w:after="60" w:line="240" w:lineRule="auto"/>
              <w:jc w:val="left"/>
            </w:pPr>
            <w:r w:rsidRPr="00C83556">
              <w:rPr>
                <w:rFonts w:eastAsia="Times New Roman" w:cs="Arial"/>
                <w:b/>
                <w:color w:val="000000"/>
                <w:sz w:val="20"/>
                <w:szCs w:val="20"/>
                <w:lang w:eastAsia="en-AU"/>
              </w:rPr>
              <w:t>Economic benefit - TC</w:t>
            </w:r>
          </w:p>
        </w:tc>
      </w:tr>
      <w:tr w:rsidR="00E14718" w:rsidRPr="009114F6" w:rsidTr="00DD6CB8">
        <w:trPr>
          <w:trHeight w:val="288"/>
        </w:trPr>
        <w:tc>
          <w:tcPr>
            <w:tcW w:w="3145" w:type="dxa"/>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Benefits (PV)</w:t>
            </w:r>
          </w:p>
        </w:tc>
        <w:tc>
          <w:tcPr>
            <w:tcW w:w="1442" w:type="dxa"/>
            <w:shd w:val="clear" w:color="auto" w:fill="auto"/>
            <w:noWrap/>
          </w:tcPr>
          <w:p w:rsidR="00E14718" w:rsidRPr="00C83556" w:rsidRDefault="00E14718" w:rsidP="007E113B">
            <w:pPr>
              <w:pStyle w:val="EYTableText"/>
              <w:keepNext/>
              <w:jc w:val="right"/>
              <w:rPr>
                <w:sz w:val="20"/>
                <w:szCs w:val="20"/>
              </w:rPr>
            </w:pPr>
            <w:r w:rsidRPr="00C83556">
              <w:rPr>
                <w:color w:val="000000"/>
                <w:sz w:val="20"/>
                <w:szCs w:val="20"/>
              </w:rPr>
              <w:t>$4,209,345</w:t>
            </w:r>
          </w:p>
        </w:tc>
        <w:tc>
          <w:tcPr>
            <w:tcW w:w="1469"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$4,209,345</w:t>
            </w:r>
          </w:p>
        </w:tc>
        <w:tc>
          <w:tcPr>
            <w:tcW w:w="1736" w:type="dxa"/>
            <w:shd w:val="clear" w:color="auto" w:fill="auto"/>
            <w:noWrap/>
          </w:tcPr>
          <w:p w:rsidR="00E14718" w:rsidRPr="00DD6CB8" w:rsidRDefault="00E14718" w:rsidP="007E113B">
            <w:pPr>
              <w:pStyle w:val="EYTableText"/>
              <w:keepNext/>
              <w:jc w:val="right"/>
              <w:rPr>
                <w:sz w:val="20"/>
                <w:szCs w:val="20"/>
              </w:rPr>
            </w:pPr>
            <w:r w:rsidRPr="00602F49">
              <w:rPr>
                <w:color w:val="000000"/>
                <w:sz w:val="20"/>
                <w:szCs w:val="20"/>
              </w:rPr>
              <w:t>$4,209,345</w:t>
            </w:r>
          </w:p>
        </w:tc>
        <w:tc>
          <w:tcPr>
            <w:tcW w:w="1842"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$2,200,724</w:t>
            </w:r>
          </w:p>
        </w:tc>
      </w:tr>
      <w:tr w:rsidR="00E14718" w:rsidRPr="009114F6" w:rsidTr="00DD6CB8">
        <w:trPr>
          <w:trHeight w:val="288"/>
        </w:trPr>
        <w:tc>
          <w:tcPr>
            <w:tcW w:w="3145" w:type="dxa"/>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Net Benefits (PV)</w:t>
            </w:r>
          </w:p>
        </w:tc>
        <w:tc>
          <w:tcPr>
            <w:tcW w:w="1442" w:type="dxa"/>
            <w:shd w:val="clear" w:color="auto" w:fill="auto"/>
            <w:noWrap/>
          </w:tcPr>
          <w:p w:rsidR="00E14718" w:rsidRPr="00C83556" w:rsidRDefault="00E14718" w:rsidP="007E113B">
            <w:pPr>
              <w:pStyle w:val="EYTableText"/>
              <w:keepNext/>
              <w:jc w:val="right"/>
              <w:rPr>
                <w:sz w:val="20"/>
                <w:szCs w:val="20"/>
              </w:rPr>
            </w:pPr>
            <w:r w:rsidRPr="00C83556">
              <w:rPr>
                <w:color w:val="000000"/>
                <w:sz w:val="20"/>
                <w:szCs w:val="20"/>
              </w:rPr>
              <w:t>$3,212,577</w:t>
            </w:r>
          </w:p>
        </w:tc>
        <w:tc>
          <w:tcPr>
            <w:tcW w:w="1469"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$2,228,544</w:t>
            </w:r>
          </w:p>
        </w:tc>
        <w:tc>
          <w:tcPr>
            <w:tcW w:w="1736" w:type="dxa"/>
            <w:shd w:val="clear" w:color="auto" w:fill="auto"/>
            <w:noWrap/>
          </w:tcPr>
          <w:p w:rsidR="00E14718" w:rsidRPr="00DD6CB8" w:rsidRDefault="00E14718" w:rsidP="007E113B">
            <w:pPr>
              <w:pStyle w:val="EYTableText"/>
              <w:keepNext/>
              <w:jc w:val="right"/>
              <w:rPr>
                <w:sz w:val="20"/>
                <w:szCs w:val="20"/>
              </w:rPr>
            </w:pPr>
            <w:r w:rsidRPr="00602F49">
              <w:rPr>
                <w:color w:val="000000"/>
                <w:sz w:val="20"/>
                <w:szCs w:val="20"/>
              </w:rPr>
              <w:t>-$384,255</w:t>
            </w:r>
          </w:p>
        </w:tc>
        <w:tc>
          <w:tcPr>
            <w:tcW w:w="1842"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$1,400,146</w:t>
            </w:r>
          </w:p>
        </w:tc>
      </w:tr>
      <w:tr w:rsidR="005047F1" w:rsidRPr="009114F6" w:rsidTr="00602F49">
        <w:trPr>
          <w:trHeight w:val="288"/>
        </w:trPr>
        <w:tc>
          <w:tcPr>
            <w:tcW w:w="9634" w:type="dxa"/>
            <w:gridSpan w:val="5"/>
            <w:shd w:val="clear" w:color="auto" w:fill="D9D9D9" w:themeFill="background1" w:themeFillShade="D9"/>
            <w:noWrap/>
            <w:vAlign w:val="bottom"/>
          </w:tcPr>
          <w:p w:rsidR="005047F1" w:rsidRPr="00602F49" w:rsidRDefault="005047F1" w:rsidP="00DD6CB8">
            <w:pPr>
              <w:keepNext/>
              <w:spacing w:before="60" w:after="60" w:line="240" w:lineRule="auto"/>
              <w:jc w:val="left"/>
            </w:pPr>
            <w:r w:rsidRPr="00C83556">
              <w:rPr>
                <w:rFonts w:eastAsia="Times New Roman" w:cs="Arial"/>
                <w:b/>
                <w:color w:val="000000"/>
                <w:sz w:val="20"/>
                <w:szCs w:val="20"/>
                <w:lang w:eastAsia="en-AU"/>
              </w:rPr>
              <w:t xml:space="preserve">Economic benefit </w:t>
            </w:r>
            <w:r w:rsidR="00B25A9F">
              <w:rPr>
                <w:rFonts w:eastAsia="Times New Roman" w:cs="Arial"/>
                <w:b/>
                <w:color w:val="000000"/>
                <w:sz w:val="20"/>
                <w:szCs w:val="20"/>
                <w:lang w:eastAsia="en-AU"/>
              </w:rPr>
              <w:t>–</w:t>
            </w:r>
            <w:r w:rsidRPr="00C83556">
              <w:rPr>
                <w:rFonts w:eastAsia="Times New Roman" w:cs="Arial"/>
                <w:b/>
                <w:color w:val="000000"/>
                <w:sz w:val="20"/>
                <w:szCs w:val="20"/>
                <w:lang w:eastAsia="en-AU"/>
              </w:rPr>
              <w:t xml:space="preserve"> Mid</w:t>
            </w:r>
            <w:r w:rsidR="00B25A9F">
              <w:rPr>
                <w:rFonts w:eastAsia="Times New Roman" w:cs="Arial"/>
                <w:b/>
                <w:color w:val="000000"/>
                <w:sz w:val="20"/>
                <w:szCs w:val="20"/>
                <w:lang w:eastAsia="en-AU"/>
              </w:rPr>
              <w:t>-p</w:t>
            </w:r>
            <w:r w:rsidRPr="00C83556">
              <w:rPr>
                <w:rFonts w:eastAsia="Times New Roman" w:cs="Arial"/>
                <w:b/>
                <w:color w:val="000000"/>
                <w:sz w:val="20"/>
                <w:szCs w:val="20"/>
                <w:lang w:eastAsia="en-AU"/>
              </w:rPr>
              <w:t>oint</w:t>
            </w:r>
          </w:p>
        </w:tc>
      </w:tr>
      <w:tr w:rsidR="00E14718" w:rsidRPr="009114F6" w:rsidTr="00DD6CB8">
        <w:trPr>
          <w:trHeight w:val="288"/>
        </w:trPr>
        <w:tc>
          <w:tcPr>
            <w:tcW w:w="3145" w:type="dxa"/>
            <w:shd w:val="clear" w:color="auto" w:fill="auto"/>
            <w:noWrap/>
            <w:vAlign w:val="bottom"/>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Benefits (PV)</w:t>
            </w:r>
          </w:p>
        </w:tc>
        <w:tc>
          <w:tcPr>
            <w:tcW w:w="1442" w:type="dxa"/>
            <w:shd w:val="clear" w:color="auto" w:fill="auto"/>
            <w:noWrap/>
          </w:tcPr>
          <w:p w:rsidR="00E14718" w:rsidRPr="00DD6CB8" w:rsidRDefault="00E14718" w:rsidP="007E113B">
            <w:pPr>
              <w:pStyle w:val="EYTableText"/>
              <w:keepNext/>
              <w:jc w:val="right"/>
              <w:rPr>
                <w:sz w:val="20"/>
                <w:szCs w:val="20"/>
              </w:rPr>
            </w:pPr>
            <w:r w:rsidRPr="00C83556">
              <w:rPr>
                <w:color w:val="000000"/>
                <w:sz w:val="20"/>
                <w:szCs w:val="20"/>
              </w:rPr>
              <w:t>$2,481,915</w:t>
            </w:r>
          </w:p>
        </w:tc>
        <w:tc>
          <w:tcPr>
            <w:tcW w:w="1469" w:type="dxa"/>
            <w:shd w:val="clear" w:color="auto" w:fill="auto"/>
            <w:noWrap/>
          </w:tcPr>
          <w:p w:rsidR="00E14718" w:rsidRPr="00DD6CB8" w:rsidRDefault="00E14718" w:rsidP="007E113B">
            <w:pPr>
              <w:pStyle w:val="EYTableText"/>
              <w:keepNext/>
              <w:jc w:val="right"/>
              <w:rPr>
                <w:sz w:val="20"/>
                <w:szCs w:val="20"/>
              </w:rPr>
            </w:pPr>
            <w:r w:rsidRPr="00C83556">
              <w:rPr>
                <w:color w:val="000000"/>
                <w:sz w:val="20"/>
                <w:szCs w:val="20"/>
              </w:rPr>
              <w:t>$2,481,915</w:t>
            </w:r>
          </w:p>
        </w:tc>
        <w:tc>
          <w:tcPr>
            <w:tcW w:w="1736" w:type="dxa"/>
            <w:shd w:val="clear" w:color="auto" w:fill="auto"/>
            <w:noWrap/>
          </w:tcPr>
          <w:p w:rsidR="00E14718" w:rsidRPr="00DD6CB8" w:rsidRDefault="00E14718" w:rsidP="007E113B">
            <w:pPr>
              <w:pStyle w:val="EYTableText"/>
              <w:keepNext/>
              <w:jc w:val="right"/>
              <w:rPr>
                <w:sz w:val="20"/>
                <w:szCs w:val="20"/>
              </w:rPr>
            </w:pPr>
            <w:r w:rsidRPr="00C83556">
              <w:rPr>
                <w:color w:val="000000"/>
                <w:sz w:val="20"/>
                <w:szCs w:val="20"/>
              </w:rPr>
              <w:t>$2,481,915</w:t>
            </w:r>
          </w:p>
        </w:tc>
        <w:tc>
          <w:tcPr>
            <w:tcW w:w="1842" w:type="dxa"/>
            <w:shd w:val="clear" w:color="auto" w:fill="auto"/>
            <w:noWrap/>
          </w:tcPr>
          <w:p w:rsidR="00E14718" w:rsidRPr="00DD6CB8" w:rsidRDefault="00E14718" w:rsidP="007E113B">
            <w:pPr>
              <w:pStyle w:val="EYTableText"/>
              <w:keepNext/>
              <w:jc w:val="right"/>
              <w:rPr>
                <w:sz w:val="20"/>
                <w:szCs w:val="20"/>
              </w:rPr>
            </w:pPr>
            <w:r w:rsidRPr="00C83556">
              <w:rPr>
                <w:color w:val="000000"/>
                <w:sz w:val="20"/>
                <w:szCs w:val="20"/>
              </w:rPr>
              <w:t>$1,297,591</w:t>
            </w:r>
          </w:p>
        </w:tc>
      </w:tr>
      <w:tr w:rsidR="00E14718" w:rsidRPr="009114F6" w:rsidTr="00DD6CB8">
        <w:trPr>
          <w:trHeight w:val="288"/>
        </w:trPr>
        <w:tc>
          <w:tcPr>
            <w:tcW w:w="3145" w:type="dxa"/>
            <w:shd w:val="clear" w:color="auto" w:fill="auto"/>
            <w:noWrap/>
            <w:vAlign w:val="bottom"/>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Net Benefits (PV)</w:t>
            </w:r>
          </w:p>
        </w:tc>
        <w:tc>
          <w:tcPr>
            <w:tcW w:w="1442" w:type="dxa"/>
            <w:shd w:val="clear" w:color="auto" w:fill="auto"/>
            <w:noWrap/>
          </w:tcPr>
          <w:p w:rsidR="00E14718" w:rsidRPr="00DD6CB8" w:rsidRDefault="00E14718" w:rsidP="007E113B">
            <w:pPr>
              <w:pStyle w:val="EYTableText"/>
              <w:keepNext/>
              <w:jc w:val="right"/>
              <w:rPr>
                <w:sz w:val="20"/>
                <w:szCs w:val="20"/>
              </w:rPr>
            </w:pPr>
            <w:r w:rsidRPr="00C83556">
              <w:rPr>
                <w:color w:val="000000"/>
                <w:sz w:val="20"/>
                <w:szCs w:val="20"/>
              </w:rPr>
              <w:t>$1,485,147</w:t>
            </w:r>
          </w:p>
        </w:tc>
        <w:tc>
          <w:tcPr>
            <w:tcW w:w="1469" w:type="dxa"/>
            <w:shd w:val="clear" w:color="auto" w:fill="auto"/>
            <w:noWrap/>
          </w:tcPr>
          <w:p w:rsidR="00E14718" w:rsidRPr="00DD6CB8" w:rsidRDefault="00E14718" w:rsidP="007E113B">
            <w:pPr>
              <w:pStyle w:val="EYTableText"/>
              <w:keepNext/>
              <w:jc w:val="right"/>
              <w:rPr>
                <w:sz w:val="20"/>
                <w:szCs w:val="20"/>
              </w:rPr>
            </w:pPr>
            <w:r w:rsidRPr="00C83556">
              <w:rPr>
                <w:color w:val="000000"/>
                <w:sz w:val="20"/>
                <w:szCs w:val="20"/>
              </w:rPr>
              <w:t>$501,114</w:t>
            </w:r>
          </w:p>
        </w:tc>
        <w:tc>
          <w:tcPr>
            <w:tcW w:w="1736" w:type="dxa"/>
            <w:shd w:val="clear" w:color="auto" w:fill="auto"/>
            <w:noWrap/>
          </w:tcPr>
          <w:p w:rsidR="00E14718" w:rsidRPr="00DD6CB8" w:rsidRDefault="00E14718" w:rsidP="007E113B">
            <w:pPr>
              <w:pStyle w:val="EYTableText"/>
              <w:keepNext/>
              <w:jc w:val="right"/>
              <w:rPr>
                <w:sz w:val="20"/>
                <w:szCs w:val="20"/>
              </w:rPr>
            </w:pPr>
            <w:r w:rsidRPr="00C83556">
              <w:rPr>
                <w:color w:val="000000"/>
                <w:sz w:val="20"/>
                <w:szCs w:val="20"/>
              </w:rPr>
              <w:t>-$2,111,685</w:t>
            </w:r>
          </w:p>
        </w:tc>
        <w:tc>
          <w:tcPr>
            <w:tcW w:w="1842" w:type="dxa"/>
            <w:shd w:val="clear" w:color="auto" w:fill="auto"/>
            <w:noWrap/>
          </w:tcPr>
          <w:p w:rsidR="00E14718" w:rsidRPr="00DD6CB8" w:rsidRDefault="00E14718" w:rsidP="007E113B">
            <w:pPr>
              <w:pStyle w:val="EYTableText"/>
              <w:keepNext/>
              <w:jc w:val="right"/>
              <w:rPr>
                <w:sz w:val="20"/>
                <w:szCs w:val="20"/>
              </w:rPr>
            </w:pPr>
            <w:r w:rsidRPr="00C83556">
              <w:rPr>
                <w:color w:val="000000"/>
                <w:sz w:val="20"/>
                <w:szCs w:val="20"/>
              </w:rPr>
              <w:t>$497,013</w:t>
            </w:r>
          </w:p>
        </w:tc>
      </w:tr>
    </w:tbl>
    <w:p w:rsidR="00D0308F" w:rsidRPr="009114F6" w:rsidRDefault="00CC2143" w:rsidP="00D0308F">
      <w:pPr>
        <w:spacing w:after="0"/>
        <w:rPr>
          <w:sz w:val="20"/>
          <w:szCs w:val="20"/>
        </w:rPr>
      </w:pPr>
      <w:r>
        <w:rPr>
          <w:sz w:val="20"/>
          <w:szCs w:val="20"/>
        </w:rPr>
        <w:br/>
      </w:r>
      <w:r w:rsidR="00D0308F" w:rsidRPr="009114F6">
        <w:rPr>
          <w:sz w:val="20"/>
          <w:szCs w:val="20"/>
        </w:rPr>
        <w:t xml:space="preserve">Notes: </w:t>
      </w:r>
    </w:p>
    <w:p w:rsidR="00D0308F" w:rsidRPr="009114F6" w:rsidRDefault="00D0308F" w:rsidP="00A15416">
      <w:pPr>
        <w:pStyle w:val="ListParagraph"/>
        <w:numPr>
          <w:ilvl w:val="0"/>
          <w:numId w:val="31"/>
        </w:numPr>
        <w:spacing w:after="0"/>
        <w:jc w:val="left"/>
        <w:rPr>
          <w:sz w:val="20"/>
          <w:szCs w:val="20"/>
        </w:rPr>
      </w:pPr>
      <w:r w:rsidRPr="009114F6">
        <w:rPr>
          <w:sz w:val="20"/>
          <w:szCs w:val="20"/>
        </w:rPr>
        <w:t>Present Values have been calculated over a ten year period for both costs and benefits using a real discount rate of 7%.</w:t>
      </w:r>
    </w:p>
    <w:p w:rsidR="00D0308F" w:rsidRPr="009114F6" w:rsidRDefault="00D0308F" w:rsidP="00A15416">
      <w:pPr>
        <w:pStyle w:val="ListParagraph"/>
        <w:numPr>
          <w:ilvl w:val="0"/>
          <w:numId w:val="31"/>
        </w:numPr>
        <w:spacing w:after="0"/>
        <w:jc w:val="left"/>
        <w:rPr>
          <w:sz w:val="20"/>
          <w:szCs w:val="20"/>
        </w:rPr>
      </w:pPr>
      <w:r w:rsidRPr="009114F6">
        <w:rPr>
          <w:sz w:val="20"/>
          <w:szCs w:val="20"/>
        </w:rPr>
        <w:t xml:space="preserve">The break-even point calculates the discounted per person, per trip benefit needed to equal the costs over a 10 year period. </w:t>
      </w:r>
    </w:p>
    <w:p w:rsidR="00275F82" w:rsidRPr="009114F6" w:rsidRDefault="00275F82" w:rsidP="00A15416">
      <w:pPr>
        <w:pStyle w:val="ListParagraph"/>
        <w:numPr>
          <w:ilvl w:val="0"/>
          <w:numId w:val="31"/>
        </w:numPr>
        <w:spacing w:after="0"/>
        <w:jc w:val="left"/>
      </w:pPr>
      <w:r w:rsidRPr="009114F6">
        <w:rPr>
          <w:sz w:val="20"/>
          <w:szCs w:val="20"/>
        </w:rPr>
        <w:t xml:space="preserve">The </w:t>
      </w:r>
      <w:r w:rsidR="00C13C4B">
        <w:rPr>
          <w:sz w:val="20"/>
          <w:szCs w:val="20"/>
        </w:rPr>
        <w:t>non-r</w:t>
      </w:r>
      <w:r w:rsidR="00C13C4B" w:rsidRPr="009114F6">
        <w:rPr>
          <w:sz w:val="20"/>
          <w:szCs w:val="20"/>
        </w:rPr>
        <w:t xml:space="preserve">egulatory </w:t>
      </w:r>
      <w:r w:rsidRPr="009114F6">
        <w:rPr>
          <w:sz w:val="20"/>
          <w:szCs w:val="20"/>
        </w:rPr>
        <w:t>scenario assumes the same type of facility is constructed as under Option A, but that fewer overall are constructed</w:t>
      </w:r>
      <w:r w:rsidRPr="009114F6">
        <w:t xml:space="preserve">. </w:t>
      </w:r>
      <w:r w:rsidRPr="009114F6">
        <w:rPr>
          <w:sz w:val="20"/>
        </w:rPr>
        <w:t>Thus the per facility break</w:t>
      </w:r>
      <w:r w:rsidR="001440BA">
        <w:rPr>
          <w:sz w:val="20"/>
        </w:rPr>
        <w:t>-</w:t>
      </w:r>
      <w:r w:rsidRPr="009114F6">
        <w:rPr>
          <w:sz w:val="20"/>
        </w:rPr>
        <w:t xml:space="preserve">even and WTP </w:t>
      </w:r>
      <w:r w:rsidR="00B75B31" w:rsidRPr="009114F6">
        <w:rPr>
          <w:sz w:val="20"/>
        </w:rPr>
        <w:t>estimates</w:t>
      </w:r>
      <w:r w:rsidRPr="009114F6">
        <w:rPr>
          <w:sz w:val="20"/>
        </w:rPr>
        <w:t xml:space="preserve"> are the same in the non-regulatory scenario as in Option A</w:t>
      </w:r>
      <w:r w:rsidR="001A4990">
        <w:rPr>
          <w:sz w:val="20"/>
        </w:rPr>
        <w:t>.</w:t>
      </w:r>
    </w:p>
    <w:p w:rsidR="00275F82" w:rsidRPr="009114F6" w:rsidRDefault="00CC6F6D" w:rsidP="00A15416">
      <w:pPr>
        <w:pStyle w:val="ListParagraph"/>
        <w:numPr>
          <w:ilvl w:val="0"/>
          <w:numId w:val="31"/>
        </w:numPr>
        <w:spacing w:after="0"/>
        <w:jc w:val="left"/>
        <w:rPr>
          <w:sz w:val="20"/>
          <w:szCs w:val="20"/>
        </w:rPr>
      </w:pPr>
      <w:r w:rsidRPr="009114F6">
        <w:rPr>
          <w:sz w:val="20"/>
          <w:szCs w:val="20"/>
        </w:rPr>
        <w:t>Whole</w:t>
      </w:r>
      <w:r>
        <w:rPr>
          <w:sz w:val="20"/>
          <w:szCs w:val="20"/>
        </w:rPr>
        <w:t>-</w:t>
      </w:r>
      <w:r w:rsidRPr="009114F6">
        <w:rPr>
          <w:sz w:val="20"/>
          <w:szCs w:val="20"/>
        </w:rPr>
        <w:t>of</w:t>
      </w:r>
      <w:r>
        <w:rPr>
          <w:sz w:val="20"/>
          <w:szCs w:val="20"/>
        </w:rPr>
        <w:t>-</w:t>
      </w:r>
      <w:r w:rsidR="00275F82" w:rsidRPr="009114F6">
        <w:rPr>
          <w:sz w:val="20"/>
          <w:szCs w:val="20"/>
        </w:rPr>
        <w:t>economy values are derived by multiplying the estimated benefits per trip and break-even points from the case studies by the assumed number of buildings of each type expected to be developed over the next 10 years.</w:t>
      </w:r>
    </w:p>
    <w:p w:rsidR="00D0308F" w:rsidRPr="009114F6" w:rsidRDefault="00D0308F" w:rsidP="00D0308F"/>
    <w:p w:rsidR="00D0308F" w:rsidRPr="009114F6" w:rsidRDefault="00D0308F" w:rsidP="00275F82">
      <w:pPr>
        <w:pStyle w:val="Caption"/>
        <w:keepNext/>
      </w:pPr>
      <w:bookmarkStart w:id="552" w:name="_Ref521491591"/>
      <w:bookmarkStart w:id="553" w:name="_Toc525897823"/>
      <w:r w:rsidRPr="009114F6">
        <w:lastRenderedPageBreak/>
        <w:t xml:space="preserve">Table </w:t>
      </w:r>
      <w:r w:rsidR="00D128AA">
        <w:rPr>
          <w:noProof/>
        </w:rPr>
        <w:fldChar w:fldCharType="begin"/>
      </w:r>
      <w:r w:rsidR="00D128AA">
        <w:rPr>
          <w:noProof/>
        </w:rPr>
        <w:instrText xml:space="preserve"> STYLEREF 1 \s </w:instrText>
      </w:r>
      <w:r w:rsidR="00D128AA">
        <w:rPr>
          <w:noProof/>
        </w:rPr>
        <w:fldChar w:fldCharType="separate"/>
      </w:r>
      <w:r w:rsidR="00910A73">
        <w:rPr>
          <w:noProof/>
        </w:rPr>
        <w:t>7</w:t>
      </w:r>
      <w:r w:rsidR="00D128AA">
        <w:rPr>
          <w:noProof/>
        </w:rPr>
        <w:fldChar w:fldCharType="end"/>
      </w:r>
      <w:r w:rsidR="00325A73">
        <w:noBreakHyphen/>
      </w:r>
      <w:r w:rsidR="00D128AA">
        <w:rPr>
          <w:noProof/>
        </w:rPr>
        <w:fldChar w:fldCharType="begin"/>
      </w:r>
      <w:r w:rsidR="00D128AA">
        <w:rPr>
          <w:noProof/>
        </w:rPr>
        <w:instrText xml:space="preserve"> SEQ Table \* ARABIC \s 1 </w:instrText>
      </w:r>
      <w:r w:rsidR="00D128AA">
        <w:rPr>
          <w:noProof/>
        </w:rPr>
        <w:fldChar w:fldCharType="separate"/>
      </w:r>
      <w:r w:rsidR="00910A73">
        <w:rPr>
          <w:noProof/>
        </w:rPr>
        <w:t>9</w:t>
      </w:r>
      <w:r w:rsidR="00D128AA">
        <w:rPr>
          <w:noProof/>
        </w:rPr>
        <w:fldChar w:fldCharType="end"/>
      </w:r>
      <w:bookmarkEnd w:id="552"/>
      <w:r w:rsidRPr="009114F6">
        <w:t xml:space="preserve">: Illustrative </w:t>
      </w:r>
      <w:r w:rsidR="00CC6F6D" w:rsidRPr="009114F6">
        <w:t>whole</w:t>
      </w:r>
      <w:r w:rsidR="00CC6F6D">
        <w:t>-</w:t>
      </w:r>
      <w:r w:rsidR="00CC6F6D" w:rsidRPr="009114F6">
        <w:t>of</w:t>
      </w:r>
      <w:r w:rsidR="00CC6F6D">
        <w:t>-</w:t>
      </w:r>
      <w:r w:rsidRPr="009114F6">
        <w:t xml:space="preserve">economy benefits – </w:t>
      </w:r>
      <w:r w:rsidR="00EA7450" w:rsidRPr="009114F6">
        <w:t xml:space="preserve">indoor </w:t>
      </w:r>
      <w:r w:rsidRPr="009114F6">
        <w:t>aquatic facilities</w:t>
      </w:r>
      <w:bookmarkEnd w:id="553"/>
      <w:r w:rsidR="00AF7114">
        <w:t xml:space="preserve"> </w:t>
      </w:r>
    </w:p>
    <w:tbl>
      <w:tblPr>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Caption w:val="Table 7 9: Illustrative whole of economy benefits – indoor aquatic facilities"/>
        <w:tblDescription w:val="Illustrative whole of economy benefits for indoor aquatic facilities."/>
      </w:tblPr>
      <w:tblGrid>
        <w:gridCol w:w="3145"/>
        <w:gridCol w:w="1442"/>
        <w:gridCol w:w="1469"/>
        <w:gridCol w:w="1877"/>
        <w:gridCol w:w="1701"/>
      </w:tblGrid>
      <w:tr w:rsidR="00D0308F" w:rsidRPr="009114F6" w:rsidTr="00DD6CB8">
        <w:trPr>
          <w:trHeight w:val="288"/>
        </w:trPr>
        <w:tc>
          <w:tcPr>
            <w:tcW w:w="31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vAlign w:val="bottom"/>
            <w:hideMark/>
          </w:tcPr>
          <w:p w:rsidR="00D0308F" w:rsidRPr="00C83556" w:rsidRDefault="00D0308F" w:rsidP="00DD6CB8">
            <w:pPr>
              <w:keepNext/>
              <w:spacing w:before="60" w:after="60" w:line="240" w:lineRule="auto"/>
              <w:jc w:val="left"/>
              <w:rPr>
                <w:rFonts w:eastAsia="Times New Roman" w:cs="Arial"/>
                <w:color w:val="FFFFFF" w:themeColor="background1"/>
                <w:sz w:val="20"/>
                <w:szCs w:val="20"/>
                <w:lang w:eastAsia="en-AU"/>
              </w:rPr>
            </w:pPr>
          </w:p>
        </w:tc>
        <w:tc>
          <w:tcPr>
            <w:tcW w:w="14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C83556" w:rsidRDefault="00D0308F" w:rsidP="00DD6CB8">
            <w:pPr>
              <w:keepNext/>
              <w:spacing w:before="60" w:after="60" w:line="240" w:lineRule="auto"/>
              <w:jc w:val="left"/>
              <w:rPr>
                <w:rFonts w:eastAsia="Times New Roman" w:cs="Arial"/>
                <w:color w:val="FFFFFF" w:themeColor="background1"/>
                <w:sz w:val="20"/>
                <w:szCs w:val="20"/>
                <w:lang w:eastAsia="en-AU"/>
              </w:rPr>
            </w:pPr>
            <w:r w:rsidRPr="00C83556">
              <w:rPr>
                <w:rFonts w:eastAsia="Times New Roman" w:cs="Arial"/>
                <w:color w:val="FFFFFF" w:themeColor="background1"/>
                <w:sz w:val="20"/>
                <w:szCs w:val="20"/>
                <w:lang w:eastAsia="en-AU"/>
              </w:rPr>
              <w:t>Regulatory Option A – co-located</w:t>
            </w:r>
          </w:p>
        </w:tc>
        <w:tc>
          <w:tcPr>
            <w:tcW w:w="1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C83556" w:rsidRDefault="00D0308F" w:rsidP="00DD6CB8">
            <w:pPr>
              <w:keepNext/>
              <w:spacing w:before="60" w:after="60" w:line="240" w:lineRule="auto"/>
              <w:jc w:val="left"/>
              <w:rPr>
                <w:rFonts w:eastAsia="Times New Roman" w:cs="Arial"/>
                <w:color w:val="FFFFFF" w:themeColor="background1"/>
                <w:sz w:val="20"/>
                <w:szCs w:val="20"/>
                <w:lang w:eastAsia="en-AU"/>
              </w:rPr>
            </w:pPr>
            <w:r w:rsidRPr="00C83556">
              <w:rPr>
                <w:rFonts w:eastAsia="Times New Roman" w:cs="Arial"/>
                <w:color w:val="FFFFFF" w:themeColor="background1"/>
                <w:sz w:val="20"/>
                <w:szCs w:val="20"/>
                <w:lang w:eastAsia="en-AU"/>
              </w:rPr>
              <w:t>Regulatory Option A - separate</w:t>
            </w:r>
          </w:p>
        </w:tc>
        <w:tc>
          <w:tcPr>
            <w:tcW w:w="18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602F49" w:rsidRDefault="00D0308F" w:rsidP="00DD6CB8">
            <w:pPr>
              <w:keepNext/>
              <w:spacing w:before="60" w:after="60" w:line="240" w:lineRule="auto"/>
              <w:jc w:val="left"/>
              <w:rPr>
                <w:rFonts w:eastAsia="Times New Roman" w:cs="Arial"/>
                <w:color w:val="FFFFFF" w:themeColor="background1"/>
                <w:sz w:val="20"/>
                <w:szCs w:val="20"/>
                <w:lang w:eastAsia="en-AU"/>
              </w:rPr>
            </w:pPr>
            <w:r w:rsidRPr="00602F49">
              <w:rPr>
                <w:rFonts w:eastAsia="Times New Roman" w:cs="Arial"/>
                <w:color w:val="FFFFFF" w:themeColor="background1"/>
                <w:sz w:val="20"/>
                <w:szCs w:val="20"/>
                <w:lang w:eastAsia="en-AU"/>
              </w:rPr>
              <w:t>Regulatory Option B (Changing Places)</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D0308F" w:rsidRPr="00602F49" w:rsidRDefault="00D0308F" w:rsidP="00DD6CB8">
            <w:pPr>
              <w:keepNext/>
              <w:spacing w:before="60" w:after="60" w:line="240" w:lineRule="auto"/>
              <w:jc w:val="left"/>
              <w:rPr>
                <w:rFonts w:eastAsia="Times New Roman" w:cs="Arial"/>
                <w:color w:val="FFFFFF" w:themeColor="background1"/>
                <w:sz w:val="20"/>
                <w:szCs w:val="20"/>
                <w:lang w:eastAsia="en-AU"/>
              </w:rPr>
            </w:pPr>
            <w:r w:rsidRPr="00602F49">
              <w:rPr>
                <w:rFonts w:eastAsia="Times New Roman" w:cs="Arial"/>
                <w:color w:val="FFFFFF" w:themeColor="background1"/>
                <w:sz w:val="20"/>
                <w:szCs w:val="20"/>
                <w:lang w:eastAsia="en-AU"/>
              </w:rPr>
              <w:t>Non</w:t>
            </w:r>
            <w:r w:rsidR="00B25A9F">
              <w:rPr>
                <w:rFonts w:eastAsia="Times New Roman" w:cs="Arial"/>
                <w:color w:val="FFFFFF" w:themeColor="background1"/>
                <w:sz w:val="20"/>
                <w:szCs w:val="20"/>
                <w:lang w:eastAsia="en-AU"/>
              </w:rPr>
              <w:t>-r</w:t>
            </w:r>
            <w:r w:rsidRPr="00602F49">
              <w:rPr>
                <w:rFonts w:eastAsia="Times New Roman" w:cs="Arial"/>
                <w:color w:val="FFFFFF" w:themeColor="background1"/>
                <w:sz w:val="20"/>
                <w:szCs w:val="20"/>
                <w:lang w:eastAsia="en-AU"/>
              </w:rPr>
              <w:t>egulatory Option</w:t>
            </w:r>
          </w:p>
        </w:tc>
      </w:tr>
      <w:tr w:rsidR="00E14718" w:rsidRPr="009114F6" w:rsidTr="00DD6CB8">
        <w:trPr>
          <w:trHeight w:val="288"/>
        </w:trPr>
        <w:tc>
          <w:tcPr>
            <w:tcW w:w="3145" w:type="dxa"/>
            <w:tcBorders>
              <w:top w:val="single" w:sz="4" w:space="0" w:color="FFFFFF" w:themeColor="background1"/>
            </w:tcBorders>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Present Value (PV) of Costs</w:t>
            </w:r>
          </w:p>
        </w:tc>
        <w:tc>
          <w:tcPr>
            <w:tcW w:w="1442" w:type="dxa"/>
            <w:tcBorders>
              <w:top w:val="single" w:sz="4" w:space="0" w:color="FFFFFF" w:themeColor="background1"/>
            </w:tcBorders>
            <w:shd w:val="clear" w:color="auto" w:fill="auto"/>
            <w:noWrap/>
          </w:tcPr>
          <w:p w:rsidR="00E14718" w:rsidRPr="00C83556" w:rsidRDefault="00E14718" w:rsidP="007E113B">
            <w:pPr>
              <w:pStyle w:val="EYTableText"/>
              <w:keepNext/>
              <w:jc w:val="right"/>
              <w:rPr>
                <w:sz w:val="20"/>
                <w:szCs w:val="20"/>
              </w:rPr>
            </w:pPr>
            <w:r w:rsidRPr="00C83556">
              <w:rPr>
                <w:color w:val="000000"/>
                <w:sz w:val="20"/>
                <w:szCs w:val="20"/>
              </w:rPr>
              <w:t>$6,049,351</w:t>
            </w:r>
          </w:p>
        </w:tc>
        <w:tc>
          <w:tcPr>
            <w:tcW w:w="1469" w:type="dxa"/>
            <w:tcBorders>
              <w:top w:val="single" w:sz="4" w:space="0" w:color="FFFFFF" w:themeColor="background1"/>
            </w:tcBorders>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$9,164,910</w:t>
            </w:r>
          </w:p>
        </w:tc>
        <w:tc>
          <w:tcPr>
            <w:tcW w:w="1877" w:type="dxa"/>
            <w:tcBorders>
              <w:top w:val="single" w:sz="4" w:space="0" w:color="FFFFFF" w:themeColor="background1"/>
            </w:tcBorders>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$27,878,400</w:t>
            </w:r>
          </w:p>
        </w:tc>
        <w:tc>
          <w:tcPr>
            <w:tcW w:w="1701" w:type="dxa"/>
            <w:tcBorders>
              <w:top w:val="single" w:sz="4" w:space="0" w:color="FFFFFF" w:themeColor="background1"/>
            </w:tcBorders>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$5,609,065</w:t>
            </w:r>
          </w:p>
        </w:tc>
      </w:tr>
      <w:tr w:rsidR="00424F7C" w:rsidRPr="009114F6" w:rsidTr="00602F49">
        <w:trPr>
          <w:trHeight w:val="288"/>
        </w:trPr>
        <w:tc>
          <w:tcPr>
            <w:tcW w:w="9634" w:type="dxa"/>
            <w:gridSpan w:val="5"/>
            <w:shd w:val="clear" w:color="auto" w:fill="D9D9D9" w:themeFill="background1" w:themeFillShade="D9"/>
            <w:noWrap/>
            <w:vAlign w:val="bottom"/>
            <w:hideMark/>
          </w:tcPr>
          <w:p w:rsidR="00424F7C" w:rsidRPr="00DD6CB8" w:rsidRDefault="00424F7C" w:rsidP="00DD6CB8">
            <w:pPr>
              <w:keepNext/>
              <w:spacing w:before="60" w:after="60" w:line="240" w:lineRule="auto"/>
              <w:jc w:val="left"/>
            </w:pPr>
            <w:r w:rsidRPr="00C83556">
              <w:rPr>
                <w:rFonts w:eastAsia="Times New Roman" w:cs="Arial"/>
                <w:b/>
                <w:color w:val="000000"/>
                <w:sz w:val="20"/>
                <w:szCs w:val="20"/>
                <w:lang w:eastAsia="en-AU"/>
              </w:rPr>
              <w:t>Findings from case studies</w:t>
            </w:r>
          </w:p>
        </w:tc>
      </w:tr>
      <w:tr w:rsidR="00E14718" w:rsidRPr="009114F6" w:rsidTr="00DD6CB8">
        <w:trPr>
          <w:trHeight w:val="288"/>
        </w:trPr>
        <w:tc>
          <w:tcPr>
            <w:tcW w:w="3145" w:type="dxa"/>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Break</w:t>
            </w:r>
            <w:r w:rsidR="001440BA">
              <w:rPr>
                <w:rFonts w:eastAsia="Times New Roman" w:cs="Arial"/>
                <w:color w:val="000000"/>
                <w:sz w:val="20"/>
                <w:szCs w:val="20"/>
                <w:lang w:eastAsia="en-AU"/>
              </w:rPr>
              <w:t>-</w:t>
            </w:r>
            <w:r w:rsidRPr="00C83556">
              <w:rPr>
                <w:rFonts w:eastAsia="Times New Roman" w:cs="Arial"/>
                <w:color w:val="000000"/>
                <w:sz w:val="20"/>
                <w:szCs w:val="20"/>
                <w:lang w:eastAsia="en-AU"/>
              </w:rPr>
              <w:t xml:space="preserve">Even Point (BE, </w:t>
            </w:r>
            <w:r w:rsidR="00B25A9F">
              <w:rPr>
                <w:rFonts w:eastAsia="Times New Roman" w:cs="Arial"/>
                <w:color w:val="000000"/>
                <w:sz w:val="20"/>
                <w:szCs w:val="20"/>
                <w:lang w:eastAsia="en-AU"/>
              </w:rPr>
              <w:t>r</w:t>
            </w:r>
            <w:r w:rsidRPr="00C83556">
              <w:rPr>
                <w:rFonts w:eastAsia="Times New Roman" w:cs="Arial"/>
                <w:color w:val="000000"/>
                <w:sz w:val="20"/>
                <w:szCs w:val="20"/>
                <w:lang w:eastAsia="en-AU"/>
              </w:rPr>
              <w:t>equired benefit per person per trip to break even)</w:t>
            </w:r>
          </w:p>
        </w:tc>
        <w:tc>
          <w:tcPr>
            <w:tcW w:w="1442" w:type="dxa"/>
            <w:shd w:val="clear" w:color="auto" w:fill="auto"/>
            <w:noWrap/>
          </w:tcPr>
          <w:p w:rsidR="00E14718" w:rsidRPr="00C83556" w:rsidRDefault="00E14718" w:rsidP="007E113B">
            <w:pPr>
              <w:pStyle w:val="EYTableText"/>
              <w:keepNext/>
              <w:jc w:val="right"/>
              <w:rPr>
                <w:sz w:val="20"/>
                <w:szCs w:val="20"/>
              </w:rPr>
            </w:pPr>
            <w:r w:rsidRPr="00C83556">
              <w:rPr>
                <w:color w:val="000000"/>
                <w:sz w:val="20"/>
                <w:szCs w:val="20"/>
              </w:rPr>
              <w:t>$5.16</w:t>
            </w:r>
          </w:p>
        </w:tc>
        <w:tc>
          <w:tcPr>
            <w:tcW w:w="1469"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$8.25</w:t>
            </w:r>
          </w:p>
        </w:tc>
        <w:tc>
          <w:tcPr>
            <w:tcW w:w="1877" w:type="dxa"/>
            <w:shd w:val="clear" w:color="auto" w:fill="auto"/>
            <w:noWrap/>
          </w:tcPr>
          <w:p w:rsidR="00E14718" w:rsidRPr="00DD6CB8" w:rsidRDefault="00E14718" w:rsidP="007E113B">
            <w:pPr>
              <w:pStyle w:val="EYTableText"/>
              <w:keepNext/>
              <w:jc w:val="right"/>
              <w:rPr>
                <w:sz w:val="20"/>
                <w:szCs w:val="20"/>
              </w:rPr>
            </w:pPr>
            <w:r w:rsidRPr="00602F49">
              <w:rPr>
                <w:color w:val="000000"/>
                <w:sz w:val="20"/>
                <w:szCs w:val="20"/>
              </w:rPr>
              <w:t>$10.87</w:t>
            </w:r>
          </w:p>
        </w:tc>
        <w:tc>
          <w:tcPr>
            <w:tcW w:w="1701"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$5.16</w:t>
            </w:r>
          </w:p>
        </w:tc>
      </w:tr>
      <w:tr w:rsidR="00424F7C" w:rsidRPr="009114F6" w:rsidTr="00602F49">
        <w:trPr>
          <w:trHeight w:val="288"/>
        </w:trPr>
        <w:tc>
          <w:tcPr>
            <w:tcW w:w="9634" w:type="dxa"/>
            <w:gridSpan w:val="5"/>
            <w:shd w:val="clear" w:color="auto" w:fill="D9D9D9" w:themeFill="background1" w:themeFillShade="D9"/>
            <w:noWrap/>
            <w:vAlign w:val="bottom"/>
            <w:hideMark/>
          </w:tcPr>
          <w:p w:rsidR="00424F7C" w:rsidRPr="00DD6CB8" w:rsidRDefault="00424F7C" w:rsidP="00DD6CB8">
            <w:pPr>
              <w:keepNext/>
              <w:spacing w:before="60" w:after="60" w:line="240" w:lineRule="auto"/>
              <w:jc w:val="left"/>
            </w:pPr>
            <w:r w:rsidRPr="00C83556">
              <w:rPr>
                <w:rFonts w:eastAsia="Times New Roman" w:cs="Arial"/>
                <w:b/>
                <w:color w:val="000000"/>
                <w:sz w:val="20"/>
                <w:szCs w:val="20"/>
                <w:lang w:eastAsia="en-AU"/>
              </w:rPr>
              <w:t>Economic benefit – feeder pop</w:t>
            </w:r>
            <w:r>
              <w:rPr>
                <w:rFonts w:eastAsia="Times New Roman" w:cs="Arial"/>
                <w:b/>
                <w:color w:val="000000"/>
                <w:sz w:val="20"/>
                <w:szCs w:val="20"/>
                <w:lang w:eastAsia="en-AU"/>
              </w:rPr>
              <w:t>ulation:</w:t>
            </w:r>
            <w:r w:rsidRPr="00C83556">
              <w:rPr>
                <w:rFonts w:eastAsia="Times New Roman" w:cs="Arial"/>
                <w:b/>
                <w:color w:val="000000"/>
                <w:sz w:val="20"/>
                <w:szCs w:val="20"/>
                <w:lang w:eastAsia="en-AU"/>
              </w:rPr>
              <w:t xml:space="preserve"> 15,000</w:t>
            </w:r>
          </w:p>
        </w:tc>
      </w:tr>
      <w:tr w:rsidR="00E14718" w:rsidRPr="009114F6" w:rsidTr="00DD6CB8">
        <w:trPr>
          <w:trHeight w:val="288"/>
        </w:trPr>
        <w:tc>
          <w:tcPr>
            <w:tcW w:w="3145" w:type="dxa"/>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Benefits (PV)</w:t>
            </w:r>
          </w:p>
        </w:tc>
        <w:tc>
          <w:tcPr>
            <w:tcW w:w="1442" w:type="dxa"/>
            <w:shd w:val="clear" w:color="auto" w:fill="auto"/>
            <w:noWrap/>
          </w:tcPr>
          <w:p w:rsidR="00E14718" w:rsidRPr="00C83556" w:rsidRDefault="00E14718" w:rsidP="007E113B">
            <w:pPr>
              <w:pStyle w:val="EYTableText"/>
              <w:keepNext/>
              <w:jc w:val="right"/>
              <w:rPr>
                <w:sz w:val="20"/>
                <w:szCs w:val="20"/>
              </w:rPr>
            </w:pPr>
            <w:r w:rsidRPr="00C83556">
              <w:rPr>
                <w:color w:val="000000"/>
                <w:sz w:val="20"/>
                <w:szCs w:val="20"/>
              </w:rPr>
              <w:t>$22,226,290</w:t>
            </w:r>
          </w:p>
        </w:tc>
        <w:tc>
          <w:tcPr>
            <w:tcW w:w="1469"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$22,226,290</w:t>
            </w:r>
          </w:p>
        </w:tc>
        <w:tc>
          <w:tcPr>
            <w:tcW w:w="1877"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$22,226,290</w:t>
            </w:r>
          </w:p>
        </w:tc>
        <w:tc>
          <w:tcPr>
            <w:tcW w:w="1701"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$12,707,671</w:t>
            </w:r>
          </w:p>
        </w:tc>
      </w:tr>
      <w:tr w:rsidR="00E14718" w:rsidRPr="009114F6" w:rsidTr="00DD6CB8">
        <w:trPr>
          <w:trHeight w:val="288"/>
        </w:trPr>
        <w:tc>
          <w:tcPr>
            <w:tcW w:w="3145" w:type="dxa"/>
            <w:shd w:val="clear" w:color="auto" w:fill="auto"/>
            <w:noWrap/>
            <w:vAlign w:val="bottom"/>
            <w:hideMark/>
          </w:tcPr>
          <w:p w:rsidR="00E14718" w:rsidRPr="00C83556" w:rsidRDefault="00E14718" w:rsidP="00E14718">
            <w:pPr>
              <w:keepNext/>
              <w:spacing w:after="0" w:line="240" w:lineRule="auto"/>
              <w:jc w:val="left"/>
              <w:rPr>
                <w:rFonts w:eastAsia="Times New Roman" w:cs="Arial"/>
                <w:color w:val="000000"/>
                <w:sz w:val="20"/>
                <w:szCs w:val="20"/>
                <w:lang w:eastAsia="en-AU"/>
              </w:rPr>
            </w:pPr>
            <w:r w:rsidRPr="00C83556">
              <w:rPr>
                <w:rFonts w:eastAsia="Times New Roman" w:cs="Arial"/>
                <w:color w:val="000000"/>
                <w:sz w:val="20"/>
                <w:szCs w:val="20"/>
                <w:lang w:eastAsia="en-AU"/>
              </w:rPr>
              <w:t>Net Benefits (PV)</w:t>
            </w:r>
          </w:p>
        </w:tc>
        <w:tc>
          <w:tcPr>
            <w:tcW w:w="1442" w:type="dxa"/>
            <w:shd w:val="clear" w:color="auto" w:fill="auto"/>
            <w:noWrap/>
          </w:tcPr>
          <w:p w:rsidR="00E14718" w:rsidRPr="00C83556" w:rsidRDefault="00E14718" w:rsidP="007E113B">
            <w:pPr>
              <w:pStyle w:val="EYTableText"/>
              <w:keepNext/>
              <w:jc w:val="right"/>
              <w:rPr>
                <w:sz w:val="20"/>
                <w:szCs w:val="20"/>
              </w:rPr>
            </w:pPr>
            <w:r w:rsidRPr="00C83556">
              <w:rPr>
                <w:color w:val="000000"/>
                <w:sz w:val="20"/>
                <w:szCs w:val="20"/>
              </w:rPr>
              <w:t>$16,176,940</w:t>
            </w:r>
          </w:p>
        </w:tc>
        <w:tc>
          <w:tcPr>
            <w:tcW w:w="1469"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$13,061,381</w:t>
            </w:r>
          </w:p>
        </w:tc>
        <w:tc>
          <w:tcPr>
            <w:tcW w:w="1877" w:type="dxa"/>
            <w:shd w:val="clear" w:color="auto" w:fill="auto"/>
            <w:noWrap/>
          </w:tcPr>
          <w:p w:rsidR="00E14718" w:rsidRPr="00602F49" w:rsidRDefault="00E14718" w:rsidP="007E113B">
            <w:pPr>
              <w:pStyle w:val="EYTableText"/>
              <w:keepNext/>
              <w:jc w:val="right"/>
              <w:rPr>
                <w:sz w:val="20"/>
                <w:szCs w:val="20"/>
              </w:rPr>
            </w:pPr>
            <w:r w:rsidRPr="00602F49">
              <w:rPr>
                <w:color w:val="000000"/>
                <w:sz w:val="20"/>
                <w:szCs w:val="20"/>
              </w:rPr>
              <w:t>-$5,652,110</w:t>
            </w:r>
          </w:p>
        </w:tc>
        <w:tc>
          <w:tcPr>
            <w:tcW w:w="1701" w:type="dxa"/>
            <w:shd w:val="clear" w:color="auto" w:fill="auto"/>
            <w:noWrap/>
          </w:tcPr>
          <w:p w:rsidR="00E14718" w:rsidRPr="00DD6CB8" w:rsidRDefault="00E14718" w:rsidP="007E113B">
            <w:pPr>
              <w:pStyle w:val="EYTableText"/>
              <w:keepNext/>
              <w:jc w:val="right"/>
              <w:rPr>
                <w:sz w:val="20"/>
                <w:szCs w:val="20"/>
              </w:rPr>
            </w:pPr>
            <w:r w:rsidRPr="00DD6CB8">
              <w:rPr>
                <w:color w:val="000000"/>
                <w:sz w:val="20"/>
                <w:szCs w:val="20"/>
              </w:rPr>
              <w:t>$7,098,606</w:t>
            </w:r>
          </w:p>
        </w:tc>
      </w:tr>
    </w:tbl>
    <w:p w:rsidR="00D0308F" w:rsidRPr="009114F6" w:rsidRDefault="00CC2143" w:rsidP="009114F6">
      <w:pPr>
        <w:keepNext/>
        <w:spacing w:after="0"/>
        <w:rPr>
          <w:sz w:val="20"/>
          <w:szCs w:val="20"/>
        </w:rPr>
      </w:pPr>
      <w:r>
        <w:rPr>
          <w:sz w:val="20"/>
          <w:szCs w:val="20"/>
        </w:rPr>
        <w:br/>
      </w:r>
      <w:r w:rsidR="00D0308F" w:rsidRPr="009114F6">
        <w:rPr>
          <w:sz w:val="20"/>
          <w:szCs w:val="20"/>
        </w:rPr>
        <w:t xml:space="preserve">Notes: </w:t>
      </w:r>
    </w:p>
    <w:p w:rsidR="00D0308F" w:rsidRPr="009114F6" w:rsidRDefault="00D0308F" w:rsidP="00A15416">
      <w:pPr>
        <w:pStyle w:val="ListParagraph"/>
        <w:keepNext/>
        <w:numPr>
          <w:ilvl w:val="0"/>
          <w:numId w:val="32"/>
        </w:numPr>
        <w:spacing w:after="0"/>
        <w:jc w:val="left"/>
        <w:rPr>
          <w:sz w:val="20"/>
          <w:szCs w:val="20"/>
        </w:rPr>
      </w:pPr>
      <w:r w:rsidRPr="009114F6">
        <w:rPr>
          <w:sz w:val="20"/>
          <w:szCs w:val="20"/>
        </w:rPr>
        <w:t>Present Values have been calculated over a ten year period for both costs and benefits using a real discount rate of 7%.</w:t>
      </w:r>
    </w:p>
    <w:p w:rsidR="00D0308F" w:rsidRPr="009114F6" w:rsidRDefault="00D0308F" w:rsidP="00A15416">
      <w:pPr>
        <w:pStyle w:val="ListParagraph"/>
        <w:keepNext/>
        <w:numPr>
          <w:ilvl w:val="0"/>
          <w:numId w:val="32"/>
        </w:numPr>
        <w:spacing w:after="0"/>
        <w:jc w:val="left"/>
        <w:rPr>
          <w:sz w:val="20"/>
          <w:szCs w:val="20"/>
        </w:rPr>
      </w:pPr>
      <w:r w:rsidRPr="009114F6">
        <w:rPr>
          <w:sz w:val="20"/>
          <w:szCs w:val="20"/>
        </w:rPr>
        <w:t xml:space="preserve">The break-even point calculates the discounted per person, per trip benefit needed to equal the costs over a 10 year period. </w:t>
      </w:r>
    </w:p>
    <w:p w:rsidR="00D0308F" w:rsidRPr="00145CFE" w:rsidRDefault="00D0308F" w:rsidP="00A15416">
      <w:pPr>
        <w:pStyle w:val="ListParagraph"/>
        <w:keepNext/>
        <w:numPr>
          <w:ilvl w:val="0"/>
          <w:numId w:val="32"/>
        </w:numPr>
        <w:spacing w:after="0"/>
        <w:jc w:val="left"/>
        <w:rPr>
          <w:sz w:val="20"/>
          <w:szCs w:val="20"/>
        </w:rPr>
      </w:pPr>
      <w:r w:rsidRPr="00145CFE">
        <w:rPr>
          <w:sz w:val="20"/>
          <w:szCs w:val="20"/>
        </w:rPr>
        <w:t xml:space="preserve">15,000 is </w:t>
      </w:r>
      <w:r w:rsidR="00D07FF1" w:rsidRPr="00145CFE">
        <w:rPr>
          <w:sz w:val="20"/>
          <w:szCs w:val="20"/>
        </w:rPr>
        <w:t xml:space="preserve">considered </w:t>
      </w:r>
      <w:r w:rsidRPr="00145CFE">
        <w:rPr>
          <w:sz w:val="20"/>
          <w:szCs w:val="20"/>
        </w:rPr>
        <w:t>an appropriate central scenario</w:t>
      </w:r>
      <w:r w:rsidR="00D07FF1" w:rsidRPr="00145CFE">
        <w:rPr>
          <w:sz w:val="20"/>
          <w:szCs w:val="20"/>
        </w:rPr>
        <w:t xml:space="preserve"> for the feeder population due to the unlikelihood of indoor aquatic facilities being constructed in towns with populations less than that amount</w:t>
      </w:r>
      <w:r w:rsidRPr="00145CFE">
        <w:rPr>
          <w:sz w:val="20"/>
          <w:szCs w:val="20"/>
        </w:rPr>
        <w:t>.</w:t>
      </w:r>
    </w:p>
    <w:p w:rsidR="00D0308F" w:rsidRPr="009114F6" w:rsidRDefault="00D0308F" w:rsidP="00D0308F"/>
    <w:p w:rsidR="00D0308F" w:rsidRPr="001254F7" w:rsidRDefault="00EA7450" w:rsidP="00D0308F">
      <w:pPr>
        <w:pStyle w:val="EYAppendixHeading2"/>
        <w:rPr>
          <w:rFonts w:eastAsiaTheme="minorHAnsi" w:cstheme="minorBidi"/>
          <w:bCs/>
          <w:color w:val="000000" w:themeColor="text1"/>
          <w:sz w:val="24"/>
          <w:szCs w:val="18"/>
        </w:rPr>
      </w:pPr>
      <w:bookmarkStart w:id="554" w:name="_Ref521491289"/>
      <w:bookmarkStart w:id="555" w:name="_Toc525897824"/>
      <w:r w:rsidRPr="008B18B7">
        <w:rPr>
          <w:rFonts w:eastAsiaTheme="minorHAnsi" w:cstheme="minorBidi"/>
          <w:bCs/>
          <w:color w:val="000000" w:themeColor="text1"/>
          <w:sz w:val="24"/>
          <w:szCs w:val="18"/>
        </w:rPr>
        <w:t xml:space="preserve">Table </w:t>
      </w:r>
      <w:r w:rsidR="00325A73" w:rsidRPr="008B18B7">
        <w:rPr>
          <w:rFonts w:eastAsiaTheme="minorHAnsi" w:cstheme="minorBidi"/>
          <w:bCs/>
          <w:color w:val="000000" w:themeColor="text1"/>
          <w:sz w:val="24"/>
          <w:szCs w:val="18"/>
        </w:rPr>
        <w:fldChar w:fldCharType="begin"/>
      </w:r>
      <w:r w:rsidR="00325A73" w:rsidRPr="008B18B7">
        <w:rPr>
          <w:rFonts w:eastAsiaTheme="minorHAnsi" w:cstheme="minorBidi"/>
          <w:bCs/>
          <w:color w:val="000000" w:themeColor="text1"/>
          <w:sz w:val="24"/>
          <w:szCs w:val="18"/>
        </w:rPr>
        <w:instrText xml:space="preserve"> STYLEREF 1 \s </w:instrText>
      </w:r>
      <w:r w:rsidR="00325A73" w:rsidRPr="008B18B7">
        <w:rPr>
          <w:rFonts w:eastAsiaTheme="minorHAnsi" w:cstheme="minorBidi"/>
          <w:bCs/>
          <w:color w:val="000000" w:themeColor="text1"/>
          <w:sz w:val="24"/>
          <w:szCs w:val="18"/>
        </w:rPr>
        <w:fldChar w:fldCharType="separate"/>
      </w:r>
      <w:r w:rsidR="00910A73">
        <w:rPr>
          <w:rFonts w:eastAsiaTheme="minorHAnsi" w:cstheme="minorBidi"/>
          <w:bCs/>
          <w:noProof/>
          <w:color w:val="000000" w:themeColor="text1"/>
          <w:sz w:val="24"/>
          <w:szCs w:val="18"/>
        </w:rPr>
        <w:t>7</w:t>
      </w:r>
      <w:r w:rsidR="00325A73" w:rsidRPr="008B18B7">
        <w:rPr>
          <w:rFonts w:eastAsiaTheme="minorHAnsi" w:cstheme="minorBidi"/>
          <w:bCs/>
          <w:color w:val="000000" w:themeColor="text1"/>
          <w:sz w:val="24"/>
          <w:szCs w:val="18"/>
        </w:rPr>
        <w:fldChar w:fldCharType="end"/>
      </w:r>
      <w:r w:rsidR="00325A73" w:rsidRPr="008B18B7">
        <w:rPr>
          <w:rFonts w:eastAsiaTheme="minorHAnsi" w:cstheme="minorBidi"/>
          <w:bCs/>
          <w:color w:val="000000" w:themeColor="text1"/>
          <w:sz w:val="24"/>
          <w:szCs w:val="18"/>
        </w:rPr>
        <w:noBreakHyphen/>
      </w:r>
      <w:r w:rsidR="00325A73" w:rsidRPr="008B18B7">
        <w:rPr>
          <w:rFonts w:eastAsiaTheme="minorHAnsi" w:cstheme="minorBidi"/>
          <w:bCs/>
          <w:color w:val="000000" w:themeColor="text1"/>
          <w:sz w:val="24"/>
          <w:szCs w:val="18"/>
        </w:rPr>
        <w:fldChar w:fldCharType="begin"/>
      </w:r>
      <w:r w:rsidR="00325A73" w:rsidRPr="008B18B7">
        <w:rPr>
          <w:rFonts w:eastAsiaTheme="minorHAnsi" w:cstheme="minorBidi"/>
          <w:bCs/>
          <w:color w:val="000000" w:themeColor="text1"/>
          <w:sz w:val="24"/>
          <w:szCs w:val="18"/>
        </w:rPr>
        <w:instrText xml:space="preserve"> SEQ Table \* ARABIC \s 1 </w:instrText>
      </w:r>
      <w:r w:rsidR="00325A73" w:rsidRPr="008B18B7">
        <w:rPr>
          <w:rFonts w:eastAsiaTheme="minorHAnsi" w:cstheme="minorBidi"/>
          <w:bCs/>
          <w:color w:val="000000" w:themeColor="text1"/>
          <w:sz w:val="24"/>
          <w:szCs w:val="18"/>
        </w:rPr>
        <w:fldChar w:fldCharType="separate"/>
      </w:r>
      <w:r w:rsidR="00910A73">
        <w:rPr>
          <w:rFonts w:eastAsiaTheme="minorHAnsi" w:cstheme="minorBidi"/>
          <w:bCs/>
          <w:noProof/>
          <w:color w:val="000000" w:themeColor="text1"/>
          <w:sz w:val="24"/>
          <w:szCs w:val="18"/>
        </w:rPr>
        <w:t>10</w:t>
      </w:r>
      <w:r w:rsidR="00325A73" w:rsidRPr="008B18B7">
        <w:rPr>
          <w:rFonts w:eastAsiaTheme="minorHAnsi" w:cstheme="minorBidi"/>
          <w:bCs/>
          <w:color w:val="000000" w:themeColor="text1"/>
          <w:sz w:val="24"/>
          <w:szCs w:val="18"/>
        </w:rPr>
        <w:fldChar w:fldCharType="end"/>
      </w:r>
      <w:bookmarkEnd w:id="554"/>
      <w:r w:rsidRPr="008B18B7">
        <w:rPr>
          <w:rFonts w:eastAsiaTheme="minorHAnsi" w:cstheme="minorBidi"/>
          <w:bCs/>
          <w:color w:val="000000" w:themeColor="text1"/>
          <w:sz w:val="24"/>
          <w:szCs w:val="18"/>
        </w:rPr>
        <w:t xml:space="preserve">: </w:t>
      </w:r>
      <w:r w:rsidR="00D0308F" w:rsidRPr="008B18B7">
        <w:rPr>
          <w:rFonts w:eastAsiaTheme="minorHAnsi" w:cstheme="minorBidi"/>
          <w:bCs/>
          <w:color w:val="000000" w:themeColor="text1"/>
          <w:sz w:val="24"/>
          <w:szCs w:val="18"/>
        </w:rPr>
        <w:t xml:space="preserve">Illustrative </w:t>
      </w:r>
      <w:r w:rsidR="00CC6F6D" w:rsidRPr="008B18B7">
        <w:rPr>
          <w:rFonts w:eastAsiaTheme="minorHAnsi" w:cstheme="minorBidi"/>
          <w:bCs/>
          <w:color w:val="000000" w:themeColor="text1"/>
          <w:sz w:val="24"/>
          <w:szCs w:val="18"/>
        </w:rPr>
        <w:t>whole</w:t>
      </w:r>
      <w:r w:rsidR="00CC6F6D">
        <w:rPr>
          <w:rFonts w:eastAsiaTheme="minorHAnsi" w:cstheme="minorBidi"/>
          <w:bCs/>
          <w:color w:val="000000" w:themeColor="text1"/>
          <w:sz w:val="24"/>
          <w:szCs w:val="18"/>
        </w:rPr>
        <w:t>-</w:t>
      </w:r>
      <w:r w:rsidR="00CC6F6D" w:rsidRPr="008B18B7">
        <w:rPr>
          <w:rFonts w:eastAsiaTheme="minorHAnsi" w:cstheme="minorBidi"/>
          <w:bCs/>
          <w:color w:val="000000" w:themeColor="text1"/>
          <w:sz w:val="24"/>
          <w:szCs w:val="18"/>
        </w:rPr>
        <w:t>of</w:t>
      </w:r>
      <w:r w:rsidR="00CC6F6D">
        <w:rPr>
          <w:rFonts w:eastAsiaTheme="minorHAnsi" w:cstheme="minorBidi"/>
          <w:bCs/>
          <w:color w:val="000000" w:themeColor="text1"/>
          <w:sz w:val="24"/>
          <w:szCs w:val="18"/>
        </w:rPr>
        <w:t>-</w:t>
      </w:r>
      <w:r w:rsidR="00D0308F" w:rsidRPr="008B18B7">
        <w:rPr>
          <w:rFonts w:eastAsiaTheme="minorHAnsi" w:cstheme="minorBidi"/>
          <w:bCs/>
          <w:color w:val="000000" w:themeColor="text1"/>
          <w:sz w:val="24"/>
          <w:szCs w:val="18"/>
        </w:rPr>
        <w:t>economy impacts –</w:t>
      </w:r>
      <w:r w:rsidR="001B5962" w:rsidRPr="008B18B7">
        <w:rPr>
          <w:rFonts w:eastAsiaTheme="minorHAnsi" w:cstheme="minorBidi"/>
          <w:bCs/>
          <w:color w:val="000000" w:themeColor="text1"/>
          <w:sz w:val="24"/>
          <w:szCs w:val="18"/>
        </w:rPr>
        <w:t xml:space="preserve"> </w:t>
      </w:r>
      <w:r w:rsidR="00D0308F" w:rsidRPr="008B18B7">
        <w:rPr>
          <w:rFonts w:eastAsiaTheme="minorHAnsi" w:cstheme="minorBidi"/>
          <w:bCs/>
          <w:color w:val="000000" w:themeColor="text1"/>
          <w:sz w:val="24"/>
          <w:szCs w:val="18"/>
        </w:rPr>
        <w:t>Net Present Value</w:t>
      </w:r>
      <w:r w:rsidR="008B18B7" w:rsidRPr="008B18B7">
        <w:rPr>
          <w:rFonts w:eastAsiaTheme="minorHAnsi" w:cstheme="minorBidi"/>
          <w:bCs/>
          <w:color w:val="000000" w:themeColor="text1"/>
          <w:sz w:val="24"/>
          <w:szCs w:val="18"/>
        </w:rPr>
        <w:t xml:space="preserve"> (Option A)</w:t>
      </w:r>
      <w:bookmarkEnd w:id="555"/>
      <w:r w:rsidR="00D0308F" w:rsidRPr="008B18B7">
        <w:rPr>
          <w:rFonts w:eastAsiaTheme="minorHAnsi" w:cstheme="minorBidi"/>
          <w:bCs/>
          <w:color w:val="000000" w:themeColor="text1"/>
          <w:sz w:val="24"/>
          <w:szCs w:val="18"/>
        </w:rPr>
        <w:t xml:space="preserve"> </w:t>
      </w:r>
    </w:p>
    <w:tbl>
      <w:tblPr>
        <w:tblStyle w:val="TableGrid"/>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Table 7 10: Illustrative whole of economy impacts – Net Present Value (Option A)"/>
        <w:tblDescription w:val="Illustrative whole of economy impacts preseneted in net present value terms."/>
      </w:tblPr>
      <w:tblGrid>
        <w:gridCol w:w="2161"/>
        <w:gridCol w:w="1925"/>
        <w:gridCol w:w="1925"/>
        <w:gridCol w:w="1926"/>
        <w:gridCol w:w="1697"/>
      </w:tblGrid>
      <w:tr w:rsidR="00E170D0" w:rsidRPr="009114F6" w:rsidTr="00DD6CB8">
        <w:tc>
          <w:tcPr>
            <w:tcW w:w="2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rsidR="00E170D0" w:rsidRPr="00C83556" w:rsidRDefault="00E170D0" w:rsidP="00DD6CB8">
            <w:pPr>
              <w:pStyle w:val="EYAppendixHeading2"/>
              <w:spacing w:before="60" w:after="60"/>
              <w:rPr>
                <w:b w:val="0"/>
                <w:color w:val="FFFFFF" w:themeColor="background1"/>
                <w:sz w:val="20"/>
                <w:szCs w:val="20"/>
                <w:lang w:eastAsia="en-AU"/>
              </w:rPr>
            </w:pPr>
            <w:r w:rsidRPr="00C83556">
              <w:rPr>
                <w:b w:val="0"/>
                <w:color w:val="FFFFFF" w:themeColor="background1"/>
                <w:sz w:val="20"/>
                <w:szCs w:val="20"/>
                <w:lang w:eastAsia="en-AU"/>
              </w:rPr>
              <w:t>Building Type</w:t>
            </w:r>
          </w:p>
        </w:tc>
        <w:tc>
          <w:tcPr>
            <w:tcW w:w="1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rsidR="00E170D0" w:rsidRPr="00C83556" w:rsidRDefault="00E170D0" w:rsidP="00DD6CB8">
            <w:pPr>
              <w:pStyle w:val="EYAppendixHeading2"/>
              <w:spacing w:before="60" w:after="60"/>
              <w:rPr>
                <w:b w:val="0"/>
                <w:color w:val="FFFFFF" w:themeColor="background1"/>
                <w:sz w:val="20"/>
                <w:szCs w:val="20"/>
                <w:lang w:eastAsia="en-AU"/>
              </w:rPr>
            </w:pPr>
            <w:r w:rsidRPr="00C83556">
              <w:rPr>
                <w:b w:val="0"/>
                <w:color w:val="FFFFFF" w:themeColor="background1"/>
                <w:sz w:val="20"/>
                <w:szCs w:val="20"/>
                <w:lang w:eastAsia="en-AU"/>
              </w:rPr>
              <w:t>PV Benefits</w:t>
            </w:r>
          </w:p>
        </w:tc>
        <w:tc>
          <w:tcPr>
            <w:tcW w:w="1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rsidR="00E170D0" w:rsidRPr="00C83556" w:rsidRDefault="00E170D0" w:rsidP="00DD6CB8">
            <w:pPr>
              <w:pStyle w:val="EYAppendixHeading2"/>
              <w:spacing w:before="60" w:after="60"/>
              <w:rPr>
                <w:b w:val="0"/>
                <w:color w:val="FFFFFF" w:themeColor="background1"/>
                <w:sz w:val="20"/>
                <w:szCs w:val="20"/>
                <w:lang w:eastAsia="en-AU"/>
              </w:rPr>
            </w:pPr>
            <w:r w:rsidRPr="00C83556">
              <w:rPr>
                <w:b w:val="0"/>
                <w:color w:val="FFFFFF" w:themeColor="background1"/>
                <w:sz w:val="20"/>
                <w:szCs w:val="20"/>
                <w:lang w:eastAsia="en-AU"/>
              </w:rPr>
              <w:t>PV Costs</w:t>
            </w:r>
          </w:p>
        </w:tc>
        <w:tc>
          <w:tcPr>
            <w:tcW w:w="1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rsidR="00E170D0" w:rsidRPr="00602F49" w:rsidRDefault="00E170D0" w:rsidP="00DD6CB8">
            <w:pPr>
              <w:pStyle w:val="EYAppendixHeading2"/>
              <w:spacing w:before="60" w:after="60"/>
              <w:rPr>
                <w:b w:val="0"/>
                <w:color w:val="FFFFFF" w:themeColor="background1"/>
                <w:sz w:val="20"/>
                <w:szCs w:val="20"/>
                <w:lang w:eastAsia="en-AU"/>
              </w:rPr>
            </w:pPr>
            <w:r w:rsidRPr="00602F49">
              <w:rPr>
                <w:b w:val="0"/>
                <w:color w:val="FFFFFF" w:themeColor="background1"/>
                <w:sz w:val="20"/>
                <w:szCs w:val="20"/>
                <w:lang w:eastAsia="en-AU"/>
              </w:rPr>
              <w:t xml:space="preserve">Net </w:t>
            </w:r>
            <w:r w:rsidR="0089250A">
              <w:rPr>
                <w:b w:val="0"/>
                <w:color w:val="FFFFFF" w:themeColor="background1"/>
                <w:sz w:val="20"/>
                <w:szCs w:val="20"/>
                <w:lang w:eastAsia="en-AU"/>
              </w:rPr>
              <w:t>B</w:t>
            </w:r>
            <w:r w:rsidRPr="00602F49">
              <w:rPr>
                <w:b w:val="0"/>
                <w:color w:val="FFFFFF" w:themeColor="background1"/>
                <w:sz w:val="20"/>
                <w:szCs w:val="20"/>
                <w:lang w:eastAsia="en-AU"/>
              </w:rPr>
              <w:t>enefits</w:t>
            </w:r>
          </w:p>
        </w:tc>
        <w:tc>
          <w:tcPr>
            <w:tcW w:w="1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rsidR="00E170D0" w:rsidRPr="00602F49" w:rsidRDefault="00E170D0" w:rsidP="00DD6CB8">
            <w:pPr>
              <w:pStyle w:val="EYAppendixHeading2"/>
              <w:spacing w:before="60" w:after="60"/>
              <w:rPr>
                <w:b w:val="0"/>
                <w:color w:val="FFFFFF" w:themeColor="background1"/>
                <w:sz w:val="20"/>
                <w:szCs w:val="20"/>
                <w:lang w:eastAsia="en-AU"/>
              </w:rPr>
            </w:pPr>
            <w:r w:rsidRPr="00602F49">
              <w:rPr>
                <w:b w:val="0"/>
                <w:color w:val="FFFFFF" w:themeColor="background1"/>
                <w:sz w:val="20"/>
                <w:szCs w:val="20"/>
                <w:lang w:eastAsia="en-AU"/>
              </w:rPr>
              <w:t>Benefit Cost Ratio</w:t>
            </w:r>
          </w:p>
        </w:tc>
      </w:tr>
      <w:tr w:rsidR="00E14718" w:rsidRPr="009114F6" w:rsidTr="00DD6CB8">
        <w:tc>
          <w:tcPr>
            <w:tcW w:w="2161" w:type="dxa"/>
            <w:tcBorders>
              <w:top w:val="single" w:sz="4" w:space="0" w:color="FFFFFF" w:themeColor="background1"/>
            </w:tcBorders>
          </w:tcPr>
          <w:p w:rsidR="00E14718" w:rsidRPr="00C83556" w:rsidRDefault="00E14718" w:rsidP="0089250A">
            <w:pPr>
              <w:pStyle w:val="EYAppendixHeading2"/>
              <w:rPr>
                <w:b w:val="0"/>
                <w:color w:val="000000"/>
                <w:sz w:val="20"/>
                <w:szCs w:val="20"/>
                <w:lang w:eastAsia="en-AU"/>
              </w:rPr>
            </w:pPr>
            <w:r w:rsidRPr="00C83556">
              <w:rPr>
                <w:b w:val="0"/>
                <w:color w:val="000000"/>
                <w:sz w:val="20"/>
                <w:szCs w:val="20"/>
              </w:rPr>
              <w:t xml:space="preserve">Shopping </w:t>
            </w:r>
            <w:r w:rsidR="0089250A">
              <w:rPr>
                <w:b w:val="0"/>
                <w:color w:val="000000"/>
                <w:sz w:val="20"/>
                <w:szCs w:val="20"/>
              </w:rPr>
              <w:t>c</w:t>
            </w:r>
            <w:r w:rsidRPr="00C83556">
              <w:rPr>
                <w:b w:val="0"/>
                <w:color w:val="000000"/>
                <w:sz w:val="20"/>
                <w:szCs w:val="20"/>
              </w:rPr>
              <w:t>entres (&gt;10,000 m</w:t>
            </w:r>
            <w:r w:rsidR="0089250A" w:rsidRPr="00145CFE">
              <w:rPr>
                <w:b w:val="0"/>
                <w:color w:val="000000"/>
                <w:sz w:val="20"/>
                <w:szCs w:val="20"/>
                <w:vertAlign w:val="superscript"/>
              </w:rPr>
              <w:t>2</w:t>
            </w:r>
            <w:r w:rsidRPr="00C83556">
              <w:rPr>
                <w:b w:val="0"/>
                <w:color w:val="000000"/>
                <w:sz w:val="20"/>
                <w:szCs w:val="20"/>
              </w:rPr>
              <w:t>)</w:t>
            </w:r>
          </w:p>
        </w:tc>
        <w:tc>
          <w:tcPr>
            <w:tcW w:w="1925" w:type="dxa"/>
            <w:tcBorders>
              <w:top w:val="single" w:sz="4" w:space="0" w:color="FFFFFF" w:themeColor="background1"/>
            </w:tcBorders>
          </w:tcPr>
          <w:p w:rsidR="00E14718" w:rsidRPr="00602F49" w:rsidRDefault="00E14718" w:rsidP="007E113B">
            <w:pPr>
              <w:pStyle w:val="EYTableText"/>
              <w:keepNext/>
              <w:jc w:val="right"/>
              <w:rPr>
                <w:color w:val="000000"/>
                <w:sz w:val="20"/>
                <w:szCs w:val="20"/>
              </w:rPr>
            </w:pPr>
            <w:r w:rsidRPr="00602F49">
              <w:rPr>
                <w:color w:val="000000"/>
                <w:sz w:val="20"/>
                <w:szCs w:val="20"/>
              </w:rPr>
              <w:t>$163,747,755</w:t>
            </w:r>
          </w:p>
        </w:tc>
        <w:tc>
          <w:tcPr>
            <w:tcW w:w="1925" w:type="dxa"/>
            <w:tcBorders>
              <w:top w:val="single" w:sz="4" w:space="0" w:color="FFFFFF" w:themeColor="background1"/>
            </w:tcBorders>
          </w:tcPr>
          <w:p w:rsidR="00E14718" w:rsidRPr="00602F49" w:rsidRDefault="00E14718" w:rsidP="007E113B">
            <w:pPr>
              <w:pStyle w:val="EYTableText"/>
              <w:keepNext/>
              <w:jc w:val="right"/>
              <w:rPr>
                <w:color w:val="000000"/>
                <w:sz w:val="20"/>
                <w:szCs w:val="20"/>
              </w:rPr>
            </w:pPr>
            <w:r w:rsidRPr="00602F49">
              <w:rPr>
                <w:color w:val="000000"/>
                <w:sz w:val="20"/>
                <w:szCs w:val="20"/>
              </w:rPr>
              <w:t>$9,113,399</w:t>
            </w:r>
          </w:p>
        </w:tc>
        <w:tc>
          <w:tcPr>
            <w:tcW w:w="1926" w:type="dxa"/>
            <w:tcBorders>
              <w:top w:val="single" w:sz="4" w:space="0" w:color="FFFFFF" w:themeColor="background1"/>
            </w:tcBorders>
          </w:tcPr>
          <w:p w:rsidR="00E14718" w:rsidRPr="00602F49" w:rsidRDefault="00E14718" w:rsidP="007E113B">
            <w:pPr>
              <w:pStyle w:val="EYTableText"/>
              <w:keepNext/>
              <w:jc w:val="right"/>
              <w:rPr>
                <w:color w:val="000000"/>
                <w:sz w:val="20"/>
                <w:szCs w:val="20"/>
              </w:rPr>
            </w:pPr>
            <w:r w:rsidRPr="00602F49">
              <w:rPr>
                <w:color w:val="000000"/>
                <w:sz w:val="20"/>
                <w:szCs w:val="20"/>
              </w:rPr>
              <w:t>$154,634,356</w:t>
            </w:r>
          </w:p>
        </w:tc>
        <w:tc>
          <w:tcPr>
            <w:tcW w:w="1697" w:type="dxa"/>
            <w:tcBorders>
              <w:top w:val="single" w:sz="4" w:space="0" w:color="FFFFFF" w:themeColor="background1"/>
            </w:tcBorders>
          </w:tcPr>
          <w:p w:rsidR="00E14718" w:rsidRPr="00C83556" w:rsidRDefault="00E14718" w:rsidP="007E113B">
            <w:pPr>
              <w:pStyle w:val="EYTableText"/>
              <w:keepNext/>
              <w:jc w:val="right"/>
              <w:rPr>
                <w:color w:val="000000"/>
                <w:sz w:val="20"/>
                <w:szCs w:val="20"/>
              </w:rPr>
            </w:pPr>
            <w:r w:rsidRPr="00DD6CB8">
              <w:rPr>
                <w:color w:val="000000"/>
                <w:sz w:val="20"/>
                <w:szCs w:val="20"/>
              </w:rPr>
              <w:t>18.0</w:t>
            </w:r>
          </w:p>
        </w:tc>
      </w:tr>
      <w:tr w:rsidR="00E14718" w:rsidRPr="009114F6" w:rsidTr="00DD6CB8">
        <w:tc>
          <w:tcPr>
            <w:tcW w:w="2161" w:type="dxa"/>
          </w:tcPr>
          <w:p w:rsidR="00E14718" w:rsidRPr="00C83556" w:rsidRDefault="00E14718" w:rsidP="00602F49">
            <w:pPr>
              <w:pStyle w:val="EYAppendixHeading2"/>
              <w:rPr>
                <w:b w:val="0"/>
                <w:color w:val="000000"/>
                <w:sz w:val="20"/>
                <w:szCs w:val="20"/>
                <w:lang w:eastAsia="en-AU"/>
              </w:rPr>
            </w:pPr>
            <w:r w:rsidRPr="00C83556">
              <w:rPr>
                <w:b w:val="0"/>
                <w:color w:val="000000"/>
                <w:sz w:val="20"/>
                <w:szCs w:val="20"/>
              </w:rPr>
              <w:t xml:space="preserve">Museums </w:t>
            </w:r>
          </w:p>
        </w:tc>
        <w:tc>
          <w:tcPr>
            <w:tcW w:w="1925" w:type="dxa"/>
          </w:tcPr>
          <w:p w:rsidR="00E14718" w:rsidRPr="00C83556" w:rsidRDefault="00E14718" w:rsidP="007E113B">
            <w:pPr>
              <w:pStyle w:val="EYTableText"/>
              <w:keepNext/>
              <w:jc w:val="right"/>
              <w:rPr>
                <w:color w:val="000000"/>
                <w:sz w:val="20"/>
                <w:szCs w:val="20"/>
              </w:rPr>
            </w:pPr>
            <w:r w:rsidRPr="00C83556">
              <w:rPr>
                <w:color w:val="000000"/>
                <w:sz w:val="20"/>
                <w:szCs w:val="20"/>
              </w:rPr>
              <w:t>$4,017,786</w:t>
            </w:r>
          </w:p>
        </w:tc>
        <w:tc>
          <w:tcPr>
            <w:tcW w:w="1925" w:type="dxa"/>
          </w:tcPr>
          <w:p w:rsidR="00E14718" w:rsidRPr="00602F49" w:rsidRDefault="00E14718" w:rsidP="007E113B">
            <w:pPr>
              <w:pStyle w:val="EYTableText"/>
              <w:keepNext/>
              <w:jc w:val="right"/>
              <w:rPr>
                <w:color w:val="000000"/>
                <w:sz w:val="20"/>
                <w:szCs w:val="20"/>
              </w:rPr>
            </w:pPr>
            <w:r w:rsidRPr="00602F49">
              <w:rPr>
                <w:color w:val="000000"/>
                <w:sz w:val="20"/>
                <w:szCs w:val="20"/>
              </w:rPr>
              <w:t>$1,306,110</w:t>
            </w:r>
          </w:p>
        </w:tc>
        <w:tc>
          <w:tcPr>
            <w:tcW w:w="1926" w:type="dxa"/>
          </w:tcPr>
          <w:p w:rsidR="00E14718" w:rsidRPr="00602F49" w:rsidRDefault="00E14718" w:rsidP="007E113B">
            <w:pPr>
              <w:pStyle w:val="EYTableText"/>
              <w:keepNext/>
              <w:jc w:val="right"/>
              <w:rPr>
                <w:color w:val="000000"/>
                <w:sz w:val="20"/>
                <w:szCs w:val="20"/>
              </w:rPr>
            </w:pPr>
            <w:r w:rsidRPr="00602F49">
              <w:rPr>
                <w:color w:val="000000"/>
                <w:sz w:val="20"/>
                <w:szCs w:val="20"/>
              </w:rPr>
              <w:t>$2,711,676</w:t>
            </w:r>
          </w:p>
        </w:tc>
        <w:tc>
          <w:tcPr>
            <w:tcW w:w="1697" w:type="dxa"/>
          </w:tcPr>
          <w:p w:rsidR="00E14718" w:rsidRPr="00C83556" w:rsidRDefault="00E14718" w:rsidP="007E113B">
            <w:pPr>
              <w:pStyle w:val="EYTableText"/>
              <w:keepNext/>
              <w:jc w:val="right"/>
              <w:rPr>
                <w:color w:val="000000"/>
                <w:sz w:val="20"/>
                <w:szCs w:val="20"/>
              </w:rPr>
            </w:pPr>
            <w:r w:rsidRPr="00DD6CB8">
              <w:rPr>
                <w:color w:val="000000"/>
                <w:sz w:val="20"/>
                <w:szCs w:val="20"/>
              </w:rPr>
              <w:t>3.1</w:t>
            </w:r>
          </w:p>
        </w:tc>
      </w:tr>
      <w:tr w:rsidR="00E14718" w:rsidRPr="009114F6" w:rsidTr="00DD6CB8">
        <w:tc>
          <w:tcPr>
            <w:tcW w:w="2161" w:type="dxa"/>
          </w:tcPr>
          <w:p w:rsidR="00E14718" w:rsidRPr="00C83556" w:rsidRDefault="00E14718" w:rsidP="00602F49">
            <w:pPr>
              <w:pStyle w:val="EYAppendixHeading2"/>
              <w:rPr>
                <w:b w:val="0"/>
                <w:color w:val="000000"/>
                <w:sz w:val="20"/>
                <w:szCs w:val="20"/>
                <w:lang w:eastAsia="en-AU"/>
              </w:rPr>
            </w:pPr>
            <w:r w:rsidRPr="00C83556">
              <w:rPr>
                <w:b w:val="0"/>
                <w:color w:val="000000"/>
                <w:sz w:val="20"/>
                <w:szCs w:val="20"/>
              </w:rPr>
              <w:t>Stadiums</w:t>
            </w:r>
          </w:p>
        </w:tc>
        <w:tc>
          <w:tcPr>
            <w:tcW w:w="1925" w:type="dxa"/>
          </w:tcPr>
          <w:p w:rsidR="00E14718" w:rsidRPr="00C83556" w:rsidRDefault="00E14718" w:rsidP="007E113B">
            <w:pPr>
              <w:pStyle w:val="EYTableText"/>
              <w:keepNext/>
              <w:jc w:val="right"/>
              <w:rPr>
                <w:color w:val="000000"/>
                <w:sz w:val="20"/>
                <w:szCs w:val="20"/>
              </w:rPr>
            </w:pPr>
            <w:r w:rsidRPr="00C83556">
              <w:rPr>
                <w:color w:val="000000"/>
                <w:sz w:val="20"/>
                <w:szCs w:val="20"/>
              </w:rPr>
              <w:t>$4,209,345</w:t>
            </w:r>
          </w:p>
        </w:tc>
        <w:tc>
          <w:tcPr>
            <w:tcW w:w="1925" w:type="dxa"/>
          </w:tcPr>
          <w:p w:rsidR="00E14718" w:rsidRPr="00602F49" w:rsidRDefault="00E14718" w:rsidP="007E113B">
            <w:pPr>
              <w:pStyle w:val="EYTableText"/>
              <w:keepNext/>
              <w:jc w:val="right"/>
              <w:rPr>
                <w:color w:val="000000"/>
                <w:sz w:val="20"/>
                <w:szCs w:val="20"/>
              </w:rPr>
            </w:pPr>
            <w:r w:rsidRPr="00602F49">
              <w:rPr>
                <w:color w:val="000000"/>
                <w:sz w:val="20"/>
                <w:szCs w:val="20"/>
              </w:rPr>
              <w:t>$996,768</w:t>
            </w:r>
          </w:p>
        </w:tc>
        <w:tc>
          <w:tcPr>
            <w:tcW w:w="1926" w:type="dxa"/>
          </w:tcPr>
          <w:p w:rsidR="00E14718" w:rsidRPr="00602F49" w:rsidRDefault="00E14718" w:rsidP="007E113B">
            <w:pPr>
              <w:pStyle w:val="EYTableText"/>
              <w:keepNext/>
              <w:jc w:val="right"/>
              <w:rPr>
                <w:color w:val="000000"/>
                <w:sz w:val="20"/>
                <w:szCs w:val="20"/>
              </w:rPr>
            </w:pPr>
            <w:r w:rsidRPr="00602F49">
              <w:rPr>
                <w:color w:val="000000"/>
                <w:sz w:val="20"/>
                <w:szCs w:val="20"/>
              </w:rPr>
              <w:t>$3,212,577</w:t>
            </w:r>
          </w:p>
        </w:tc>
        <w:tc>
          <w:tcPr>
            <w:tcW w:w="1697" w:type="dxa"/>
          </w:tcPr>
          <w:p w:rsidR="00E14718" w:rsidRPr="00C83556" w:rsidRDefault="00E14718" w:rsidP="007E113B">
            <w:pPr>
              <w:pStyle w:val="EYTableText"/>
              <w:keepNext/>
              <w:jc w:val="right"/>
              <w:rPr>
                <w:color w:val="000000"/>
                <w:sz w:val="20"/>
                <w:szCs w:val="20"/>
              </w:rPr>
            </w:pPr>
            <w:r w:rsidRPr="00DD6CB8">
              <w:rPr>
                <w:color w:val="000000"/>
                <w:sz w:val="20"/>
                <w:szCs w:val="20"/>
              </w:rPr>
              <w:t>4.2</w:t>
            </w:r>
          </w:p>
        </w:tc>
      </w:tr>
      <w:tr w:rsidR="00E14718" w:rsidRPr="009114F6" w:rsidTr="00DD6CB8">
        <w:tc>
          <w:tcPr>
            <w:tcW w:w="2161" w:type="dxa"/>
          </w:tcPr>
          <w:p w:rsidR="00E14718" w:rsidRPr="00C83556" w:rsidRDefault="00E14718" w:rsidP="00602F49">
            <w:pPr>
              <w:pStyle w:val="EYAppendixHeading2"/>
              <w:rPr>
                <w:b w:val="0"/>
                <w:color w:val="000000"/>
                <w:sz w:val="20"/>
                <w:szCs w:val="20"/>
                <w:lang w:eastAsia="en-AU"/>
              </w:rPr>
            </w:pPr>
            <w:r w:rsidRPr="00C83556">
              <w:rPr>
                <w:b w:val="0"/>
                <w:color w:val="000000"/>
                <w:sz w:val="20"/>
                <w:szCs w:val="20"/>
              </w:rPr>
              <w:t>Public aquatic facilities</w:t>
            </w:r>
          </w:p>
        </w:tc>
        <w:tc>
          <w:tcPr>
            <w:tcW w:w="1925" w:type="dxa"/>
          </w:tcPr>
          <w:p w:rsidR="00E14718" w:rsidRPr="00C83556" w:rsidRDefault="00E14718" w:rsidP="007E113B">
            <w:pPr>
              <w:pStyle w:val="EYTableText"/>
              <w:keepNext/>
              <w:jc w:val="right"/>
              <w:rPr>
                <w:color w:val="000000"/>
                <w:sz w:val="20"/>
                <w:szCs w:val="20"/>
              </w:rPr>
            </w:pPr>
            <w:r w:rsidRPr="00C83556">
              <w:rPr>
                <w:color w:val="000000"/>
                <w:sz w:val="20"/>
                <w:szCs w:val="20"/>
              </w:rPr>
              <w:t>$22,226,290</w:t>
            </w:r>
          </w:p>
        </w:tc>
        <w:tc>
          <w:tcPr>
            <w:tcW w:w="1925" w:type="dxa"/>
          </w:tcPr>
          <w:p w:rsidR="00E14718" w:rsidRPr="00602F49" w:rsidRDefault="00E14718" w:rsidP="007E113B">
            <w:pPr>
              <w:pStyle w:val="EYTableText"/>
              <w:keepNext/>
              <w:jc w:val="right"/>
              <w:rPr>
                <w:color w:val="000000"/>
                <w:sz w:val="20"/>
                <w:szCs w:val="20"/>
              </w:rPr>
            </w:pPr>
            <w:r w:rsidRPr="00602F49">
              <w:rPr>
                <w:color w:val="000000"/>
                <w:sz w:val="20"/>
                <w:szCs w:val="20"/>
              </w:rPr>
              <w:t>$6,049,351</w:t>
            </w:r>
          </w:p>
        </w:tc>
        <w:tc>
          <w:tcPr>
            <w:tcW w:w="1926" w:type="dxa"/>
          </w:tcPr>
          <w:p w:rsidR="00E14718" w:rsidRPr="00602F49" w:rsidRDefault="00E14718" w:rsidP="007E113B">
            <w:pPr>
              <w:pStyle w:val="EYTableText"/>
              <w:keepNext/>
              <w:jc w:val="right"/>
              <w:rPr>
                <w:color w:val="000000"/>
                <w:sz w:val="20"/>
                <w:szCs w:val="20"/>
              </w:rPr>
            </w:pPr>
            <w:r w:rsidRPr="00602F49">
              <w:rPr>
                <w:color w:val="000000"/>
                <w:sz w:val="20"/>
                <w:szCs w:val="20"/>
              </w:rPr>
              <w:t>$16,176,940</w:t>
            </w:r>
          </w:p>
        </w:tc>
        <w:tc>
          <w:tcPr>
            <w:tcW w:w="1697" w:type="dxa"/>
          </w:tcPr>
          <w:p w:rsidR="00E14718" w:rsidRPr="00C83556" w:rsidRDefault="00E14718" w:rsidP="007E113B">
            <w:pPr>
              <w:pStyle w:val="EYTableText"/>
              <w:keepNext/>
              <w:jc w:val="right"/>
              <w:rPr>
                <w:color w:val="000000"/>
                <w:sz w:val="20"/>
                <w:szCs w:val="20"/>
              </w:rPr>
            </w:pPr>
            <w:r w:rsidRPr="00DD6CB8">
              <w:rPr>
                <w:color w:val="000000"/>
                <w:sz w:val="20"/>
                <w:szCs w:val="20"/>
              </w:rPr>
              <w:t>3.7</w:t>
            </w:r>
          </w:p>
        </w:tc>
      </w:tr>
      <w:tr w:rsidR="00E14718" w:rsidRPr="009114F6" w:rsidTr="00DD6CB8">
        <w:tc>
          <w:tcPr>
            <w:tcW w:w="2161" w:type="dxa"/>
          </w:tcPr>
          <w:p w:rsidR="00E14718" w:rsidRPr="00C83556" w:rsidRDefault="00E14718" w:rsidP="00602F49">
            <w:pPr>
              <w:pStyle w:val="EYAppendixHeading2"/>
              <w:rPr>
                <w:b w:val="0"/>
                <w:color w:val="000000"/>
                <w:sz w:val="20"/>
                <w:szCs w:val="20"/>
                <w:lang w:eastAsia="en-AU"/>
              </w:rPr>
            </w:pPr>
            <w:r w:rsidRPr="00C83556">
              <w:rPr>
                <w:b w:val="0"/>
                <w:color w:val="000000"/>
                <w:sz w:val="20"/>
                <w:szCs w:val="20"/>
              </w:rPr>
              <w:t xml:space="preserve">Total </w:t>
            </w:r>
          </w:p>
        </w:tc>
        <w:tc>
          <w:tcPr>
            <w:tcW w:w="1925" w:type="dxa"/>
          </w:tcPr>
          <w:p w:rsidR="00E14718" w:rsidRPr="00C83556" w:rsidRDefault="00E14718" w:rsidP="007E113B">
            <w:pPr>
              <w:pStyle w:val="EYTableText"/>
              <w:keepNext/>
              <w:jc w:val="right"/>
              <w:rPr>
                <w:color w:val="000000"/>
                <w:sz w:val="20"/>
                <w:szCs w:val="20"/>
              </w:rPr>
            </w:pPr>
            <w:r w:rsidRPr="00C83556">
              <w:rPr>
                <w:color w:val="000000"/>
                <w:sz w:val="20"/>
                <w:szCs w:val="20"/>
              </w:rPr>
              <w:t>$194,201,176</w:t>
            </w:r>
          </w:p>
        </w:tc>
        <w:tc>
          <w:tcPr>
            <w:tcW w:w="1925" w:type="dxa"/>
          </w:tcPr>
          <w:p w:rsidR="00E14718" w:rsidRPr="00602F49" w:rsidRDefault="00E14718" w:rsidP="007E113B">
            <w:pPr>
              <w:pStyle w:val="EYTableText"/>
              <w:keepNext/>
              <w:jc w:val="right"/>
              <w:rPr>
                <w:color w:val="000000"/>
                <w:sz w:val="20"/>
                <w:szCs w:val="20"/>
              </w:rPr>
            </w:pPr>
            <w:r w:rsidRPr="00602F49">
              <w:rPr>
                <w:color w:val="000000"/>
                <w:sz w:val="20"/>
                <w:szCs w:val="20"/>
              </w:rPr>
              <w:t>$17,465,628</w:t>
            </w:r>
          </w:p>
        </w:tc>
        <w:tc>
          <w:tcPr>
            <w:tcW w:w="1926" w:type="dxa"/>
          </w:tcPr>
          <w:p w:rsidR="00E14718" w:rsidRPr="00602F49" w:rsidRDefault="00E14718" w:rsidP="007E113B">
            <w:pPr>
              <w:pStyle w:val="EYTableText"/>
              <w:keepNext/>
              <w:jc w:val="right"/>
              <w:rPr>
                <w:color w:val="000000"/>
                <w:sz w:val="20"/>
                <w:szCs w:val="20"/>
              </w:rPr>
            </w:pPr>
            <w:r w:rsidRPr="00602F49">
              <w:rPr>
                <w:color w:val="000000"/>
                <w:sz w:val="20"/>
                <w:szCs w:val="20"/>
              </w:rPr>
              <w:t>$176,735,548</w:t>
            </w:r>
          </w:p>
        </w:tc>
        <w:tc>
          <w:tcPr>
            <w:tcW w:w="1697" w:type="dxa"/>
          </w:tcPr>
          <w:p w:rsidR="00E14718" w:rsidRPr="00C83556" w:rsidRDefault="00E14718" w:rsidP="007E113B">
            <w:pPr>
              <w:pStyle w:val="EYTableText"/>
              <w:keepNext/>
              <w:jc w:val="right"/>
              <w:rPr>
                <w:color w:val="000000"/>
                <w:sz w:val="20"/>
                <w:szCs w:val="20"/>
              </w:rPr>
            </w:pPr>
            <w:r w:rsidRPr="00DD6CB8">
              <w:rPr>
                <w:color w:val="000000"/>
                <w:sz w:val="20"/>
                <w:szCs w:val="20"/>
              </w:rPr>
              <w:t>11.1</w:t>
            </w:r>
          </w:p>
        </w:tc>
      </w:tr>
    </w:tbl>
    <w:p w:rsidR="00D0308F" w:rsidRPr="009114F6" w:rsidRDefault="00CC2143" w:rsidP="00D0308F">
      <w:pPr>
        <w:spacing w:after="0"/>
        <w:rPr>
          <w:sz w:val="20"/>
          <w:szCs w:val="20"/>
        </w:rPr>
      </w:pPr>
      <w:r>
        <w:rPr>
          <w:sz w:val="20"/>
          <w:szCs w:val="20"/>
        </w:rPr>
        <w:br/>
      </w:r>
      <w:r w:rsidR="00D0308F" w:rsidRPr="009114F6">
        <w:rPr>
          <w:sz w:val="20"/>
          <w:szCs w:val="20"/>
        </w:rPr>
        <w:t>Notes:</w:t>
      </w:r>
    </w:p>
    <w:p w:rsidR="00D0308F" w:rsidRPr="008B18B7" w:rsidRDefault="00D0308F" w:rsidP="00A15416">
      <w:pPr>
        <w:pStyle w:val="ListParagraph"/>
        <w:numPr>
          <w:ilvl w:val="0"/>
          <w:numId w:val="33"/>
        </w:numPr>
        <w:spacing w:after="0"/>
        <w:jc w:val="left"/>
        <w:rPr>
          <w:sz w:val="20"/>
          <w:szCs w:val="20"/>
        </w:rPr>
      </w:pPr>
      <w:r w:rsidRPr="008B18B7">
        <w:rPr>
          <w:sz w:val="20"/>
          <w:szCs w:val="20"/>
        </w:rPr>
        <w:t>Present Values have been calculated over a ten year period for both costs and benefits using a real discount rate of 7%.</w:t>
      </w:r>
    </w:p>
    <w:p w:rsidR="00830198" w:rsidRPr="009114F6" w:rsidRDefault="00CC6F6D" w:rsidP="00A15416">
      <w:pPr>
        <w:pStyle w:val="ListParagraph"/>
        <w:numPr>
          <w:ilvl w:val="0"/>
          <w:numId w:val="33"/>
        </w:numPr>
        <w:spacing w:after="0"/>
        <w:jc w:val="left"/>
        <w:rPr>
          <w:sz w:val="20"/>
          <w:szCs w:val="20"/>
        </w:rPr>
      </w:pPr>
      <w:r w:rsidRPr="009114F6">
        <w:rPr>
          <w:sz w:val="20"/>
          <w:szCs w:val="20"/>
        </w:rPr>
        <w:t>Whole</w:t>
      </w:r>
      <w:r>
        <w:rPr>
          <w:sz w:val="20"/>
          <w:szCs w:val="20"/>
        </w:rPr>
        <w:t>-</w:t>
      </w:r>
      <w:r w:rsidRPr="009114F6">
        <w:rPr>
          <w:sz w:val="20"/>
          <w:szCs w:val="20"/>
        </w:rPr>
        <w:t>of</w:t>
      </w:r>
      <w:r>
        <w:rPr>
          <w:sz w:val="20"/>
          <w:szCs w:val="20"/>
        </w:rPr>
        <w:t>-</w:t>
      </w:r>
      <w:r w:rsidR="00830198" w:rsidRPr="009114F6">
        <w:rPr>
          <w:sz w:val="20"/>
          <w:szCs w:val="20"/>
        </w:rPr>
        <w:t>economy values are derived by multiplying the estimated benefits per trip and break-even points from the case studies by the assumed number of buildings of each type expected to be developed over the next 10 years.</w:t>
      </w:r>
    </w:p>
    <w:p w:rsidR="00830198" w:rsidRPr="009114F6" w:rsidRDefault="00830198" w:rsidP="009114F6">
      <w:pPr>
        <w:pStyle w:val="ListParagraph"/>
        <w:spacing w:after="0"/>
        <w:jc w:val="left"/>
        <w:rPr>
          <w:sz w:val="20"/>
          <w:szCs w:val="20"/>
        </w:rPr>
      </w:pPr>
    </w:p>
    <w:p w:rsidR="00275F82" w:rsidRPr="009114F6" w:rsidRDefault="00275F82" w:rsidP="00400534">
      <w:pPr>
        <w:pStyle w:val="Heading2"/>
        <w:numPr>
          <w:ilvl w:val="0"/>
          <w:numId w:val="0"/>
        </w:numPr>
        <w:ind w:left="851"/>
      </w:pPr>
      <w:r w:rsidRPr="009114F6">
        <w:br w:type="page"/>
      </w:r>
    </w:p>
    <w:p w:rsidR="00D4620D" w:rsidRDefault="00D4620D" w:rsidP="00D4620D">
      <w:pPr>
        <w:pStyle w:val="Heading2"/>
      </w:pPr>
      <w:bookmarkStart w:id="556" w:name="_Ref521493662"/>
      <w:bookmarkStart w:id="557" w:name="_Toc525897801"/>
      <w:r>
        <w:lastRenderedPageBreak/>
        <w:t>Regulatory Burden</w:t>
      </w:r>
      <w:bookmarkEnd w:id="540"/>
      <w:bookmarkEnd w:id="556"/>
      <w:bookmarkEnd w:id="557"/>
    </w:p>
    <w:p w:rsidR="00D4620D" w:rsidRDefault="00D4620D" w:rsidP="00BC5184">
      <w:pPr>
        <w:pStyle w:val="EYBodytextwithparaspace"/>
        <w:spacing w:after="200"/>
      </w:pPr>
      <w:r>
        <w:t xml:space="preserve">In line with the </w:t>
      </w:r>
      <w:r w:rsidR="0095079E">
        <w:t>best practice regulation principles</w:t>
      </w:r>
      <w:r>
        <w:t xml:space="preserve"> we have </w:t>
      </w:r>
      <w:r w:rsidR="00A33CC6">
        <w:t xml:space="preserve">calculated </w:t>
      </w:r>
      <w:r>
        <w:t xml:space="preserve">the </w:t>
      </w:r>
      <w:r w:rsidR="00A33CC6">
        <w:t xml:space="preserve">estimated regulatory burden </w:t>
      </w:r>
      <w:r w:rsidR="00BC5184">
        <w:t>as follows:</w:t>
      </w:r>
      <w:r>
        <w:t xml:space="preserve"> </w:t>
      </w:r>
    </w:p>
    <w:p w:rsidR="00D4620D" w:rsidRDefault="00D4620D" w:rsidP="00D4620D">
      <w:pPr>
        <w:pStyle w:val="EYBulletedText1"/>
      </w:pPr>
      <w:r>
        <w:t>Costs are presented</w:t>
      </w:r>
      <w:r w:rsidRPr="005E4D41">
        <w:t xml:space="preserve"> over a 10</w:t>
      </w:r>
      <w:r>
        <w:t>-</w:t>
      </w:r>
      <w:r w:rsidRPr="005E4D41">
        <w:t xml:space="preserve">year duration of </w:t>
      </w:r>
      <w:r>
        <w:t>the</w:t>
      </w:r>
      <w:r w:rsidRPr="005E4D41">
        <w:t xml:space="preserve"> regulation</w:t>
      </w:r>
      <w:r>
        <w:t xml:space="preserve">. </w:t>
      </w:r>
    </w:p>
    <w:p w:rsidR="0086665D" w:rsidRPr="00A33CC6" w:rsidRDefault="0086665D" w:rsidP="00D4620D">
      <w:pPr>
        <w:pStyle w:val="EYBulletedText1"/>
      </w:pPr>
      <w:r w:rsidRPr="00A33CC6">
        <w:t xml:space="preserve">The </w:t>
      </w:r>
      <w:r w:rsidR="00B103D8">
        <w:t>Commonwealth</w:t>
      </w:r>
      <w:r w:rsidR="004431D4">
        <w:t>’</w:t>
      </w:r>
      <w:r w:rsidR="00B103D8">
        <w:t xml:space="preserve">s share of regulatory </w:t>
      </w:r>
      <w:r w:rsidR="000765FE">
        <w:t xml:space="preserve">burden </w:t>
      </w:r>
      <w:r w:rsidR="000765FE" w:rsidRPr="00A33CC6">
        <w:t>is</w:t>
      </w:r>
      <w:r w:rsidRPr="00A33CC6">
        <w:t xml:space="preserve"> assumed to be one-ninth of the total cost</w:t>
      </w:r>
      <w:r w:rsidR="00B103D8">
        <w:t xml:space="preserve">. </w:t>
      </w:r>
    </w:p>
    <w:p w:rsidR="00D4620D" w:rsidRDefault="00D4620D" w:rsidP="00D4620D">
      <w:pPr>
        <w:pStyle w:val="EYBodytextwithparaspace"/>
      </w:pPr>
      <w:r>
        <w:t xml:space="preserve">As stated previously, the results provided above implicitly assume that the burden of construction will fall on the developers - i.e. that the builders/developers of a shopping centre will themselves fund the addition of an </w:t>
      </w:r>
      <w:r w:rsidR="00667694">
        <w:t>AACF</w:t>
      </w:r>
      <w:r w:rsidR="00B25BB6">
        <w:t xml:space="preserve"> as was </w:t>
      </w:r>
      <w:r>
        <w:t xml:space="preserve">the case when </w:t>
      </w:r>
      <w:r w:rsidR="0089250A">
        <w:t>SASFs</w:t>
      </w:r>
      <w:r>
        <w:t xml:space="preserve"> were mandated</w:t>
      </w:r>
      <w:r w:rsidR="007E6A42">
        <w:t>.</w:t>
      </w:r>
      <w:r>
        <w:t xml:space="preserve"> </w:t>
      </w:r>
      <w:r w:rsidR="00E24874">
        <w:t>In other words, u</w:t>
      </w:r>
      <w:r w:rsidR="00AF798E">
        <w:t>nder</w:t>
      </w:r>
      <w:r w:rsidR="0086665D">
        <w:t xml:space="preserve"> the regulatory option the burden of regulation is assumed to fall entirely on the business sector.</w:t>
      </w:r>
    </w:p>
    <w:p w:rsidR="00D4620D" w:rsidRPr="00777747" w:rsidRDefault="00D4620D" w:rsidP="00D4620D">
      <w:pPr>
        <w:pStyle w:val="Caption"/>
      </w:pPr>
      <w:bookmarkStart w:id="558" w:name="_Toc525897825"/>
      <w:r w:rsidRPr="001E5FAC">
        <w:t xml:space="preserve">Table </w:t>
      </w:r>
      <w:r w:rsidR="00D128AA">
        <w:rPr>
          <w:noProof/>
        </w:rPr>
        <w:fldChar w:fldCharType="begin"/>
      </w:r>
      <w:r w:rsidR="00D128AA">
        <w:rPr>
          <w:noProof/>
        </w:rPr>
        <w:instrText xml:space="preserve"> STYLEREF 1 \s </w:instrText>
      </w:r>
      <w:r w:rsidR="00D128AA">
        <w:rPr>
          <w:noProof/>
        </w:rPr>
        <w:fldChar w:fldCharType="separate"/>
      </w:r>
      <w:r w:rsidR="00910A73">
        <w:rPr>
          <w:noProof/>
        </w:rPr>
        <w:t>7</w:t>
      </w:r>
      <w:r w:rsidR="00D128AA">
        <w:rPr>
          <w:noProof/>
        </w:rPr>
        <w:fldChar w:fldCharType="end"/>
      </w:r>
      <w:r w:rsidR="00325A73">
        <w:noBreakHyphen/>
      </w:r>
      <w:r w:rsidR="00D128AA">
        <w:rPr>
          <w:noProof/>
        </w:rPr>
        <w:fldChar w:fldCharType="begin"/>
      </w:r>
      <w:r w:rsidR="00D128AA">
        <w:rPr>
          <w:noProof/>
        </w:rPr>
        <w:instrText xml:space="preserve"> SEQ Table \* ARABIC \s 1 </w:instrText>
      </w:r>
      <w:r w:rsidR="00D128AA">
        <w:rPr>
          <w:noProof/>
        </w:rPr>
        <w:fldChar w:fldCharType="separate"/>
      </w:r>
      <w:r w:rsidR="00910A73">
        <w:rPr>
          <w:noProof/>
        </w:rPr>
        <w:t>11</w:t>
      </w:r>
      <w:r w:rsidR="00D128AA">
        <w:rPr>
          <w:noProof/>
        </w:rPr>
        <w:fldChar w:fldCharType="end"/>
      </w:r>
      <w:r w:rsidRPr="001E5FAC">
        <w:t xml:space="preserve">: Average annual </w:t>
      </w:r>
      <w:r w:rsidR="0086665D" w:rsidRPr="001E5FAC">
        <w:t>regulatory burden</w:t>
      </w:r>
      <w:r w:rsidR="00AF798E" w:rsidRPr="001E5FAC">
        <w:t xml:space="preserve"> </w:t>
      </w:r>
      <w:r w:rsidRPr="001E5FAC">
        <w:t>(from business as usual)</w:t>
      </w:r>
      <w:bookmarkEnd w:id="558"/>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Caption w:val="Table 7 11: Average annual regulatory burden (from business as usual)"/>
        <w:tblDescription w:val="The avergae annual regulatory burden from business as usual."/>
      </w:tblPr>
      <w:tblGrid>
        <w:gridCol w:w="2165"/>
        <w:gridCol w:w="1674"/>
        <w:gridCol w:w="2207"/>
        <w:gridCol w:w="1980"/>
        <w:gridCol w:w="1601"/>
      </w:tblGrid>
      <w:tr w:rsidR="00E8335D" w:rsidRPr="00535998" w:rsidTr="00DD6CB8">
        <w:tc>
          <w:tcPr>
            <w:tcW w:w="2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tcPr>
          <w:p w:rsidR="00D4620D" w:rsidRPr="00DD6CB8" w:rsidRDefault="00D4620D" w:rsidP="00DD6CB8">
            <w:pPr>
              <w:pStyle w:val="EYTableText"/>
              <w:spacing w:before="60" w:after="60"/>
              <w:rPr>
                <w:color w:val="FFFFFF" w:themeColor="background1"/>
                <w:sz w:val="20"/>
                <w:szCs w:val="20"/>
              </w:rPr>
            </w:pPr>
            <w:r w:rsidRPr="00DD6CB8">
              <w:rPr>
                <w:color w:val="FFFFFF" w:themeColor="background1"/>
                <w:sz w:val="20"/>
                <w:szCs w:val="20"/>
              </w:rPr>
              <w:t xml:space="preserve">Change in </w:t>
            </w:r>
            <w:r w:rsidR="0089250A">
              <w:rPr>
                <w:color w:val="FFFFFF" w:themeColor="background1"/>
                <w:sz w:val="20"/>
                <w:szCs w:val="20"/>
              </w:rPr>
              <w:t>C</w:t>
            </w:r>
            <w:r w:rsidRPr="00DD6CB8">
              <w:rPr>
                <w:color w:val="FFFFFF" w:themeColor="background1"/>
                <w:sz w:val="20"/>
                <w:szCs w:val="20"/>
              </w:rPr>
              <w:t xml:space="preserve">osts </w:t>
            </w:r>
          </w:p>
        </w:tc>
        <w:tc>
          <w:tcPr>
            <w:tcW w:w="1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tcPr>
          <w:p w:rsidR="00D4620D" w:rsidRPr="00DD6CB8" w:rsidRDefault="00D4620D" w:rsidP="00DD6CB8">
            <w:pPr>
              <w:pStyle w:val="EYTableText"/>
              <w:spacing w:before="60" w:after="60"/>
              <w:rPr>
                <w:color w:val="FFFFFF" w:themeColor="background1"/>
                <w:sz w:val="20"/>
                <w:szCs w:val="20"/>
              </w:rPr>
            </w:pPr>
            <w:r w:rsidRPr="00DD6CB8">
              <w:rPr>
                <w:color w:val="FFFFFF" w:themeColor="background1"/>
                <w:sz w:val="20"/>
                <w:szCs w:val="20"/>
              </w:rPr>
              <w:t>Business</w:t>
            </w:r>
          </w:p>
        </w:tc>
        <w:tc>
          <w:tcPr>
            <w:tcW w:w="22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tcPr>
          <w:p w:rsidR="00D4620D" w:rsidRPr="00DD6CB8" w:rsidRDefault="00D4620D" w:rsidP="00DD6CB8">
            <w:pPr>
              <w:pStyle w:val="EYTableText"/>
              <w:spacing w:before="60" w:after="60"/>
              <w:rPr>
                <w:color w:val="FFFFFF" w:themeColor="background1"/>
                <w:sz w:val="20"/>
                <w:szCs w:val="20"/>
              </w:rPr>
            </w:pPr>
            <w:r w:rsidRPr="00DD6CB8">
              <w:rPr>
                <w:color w:val="FFFFFF" w:themeColor="background1"/>
                <w:sz w:val="20"/>
                <w:szCs w:val="20"/>
              </w:rPr>
              <w:t>Community Organisations</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tcPr>
          <w:p w:rsidR="00D4620D" w:rsidRPr="00DD6CB8" w:rsidRDefault="00D4620D" w:rsidP="00DD6CB8">
            <w:pPr>
              <w:pStyle w:val="EYTableText"/>
              <w:spacing w:before="60" w:after="60"/>
              <w:rPr>
                <w:color w:val="FFFFFF" w:themeColor="background1"/>
                <w:sz w:val="20"/>
                <w:szCs w:val="20"/>
              </w:rPr>
            </w:pPr>
            <w:r w:rsidRPr="00DD6CB8">
              <w:rPr>
                <w:color w:val="FFFFFF" w:themeColor="background1"/>
                <w:sz w:val="20"/>
                <w:szCs w:val="20"/>
              </w:rPr>
              <w:t>Individuals</w:t>
            </w:r>
          </w:p>
        </w:tc>
        <w:tc>
          <w:tcPr>
            <w:tcW w:w="16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tcPr>
          <w:p w:rsidR="00D4620D" w:rsidRPr="00DD6CB8" w:rsidRDefault="00D4620D" w:rsidP="00DD6CB8">
            <w:pPr>
              <w:pStyle w:val="EYTableText"/>
              <w:spacing w:before="60" w:after="60"/>
              <w:rPr>
                <w:color w:val="FFFFFF" w:themeColor="background1"/>
                <w:sz w:val="20"/>
                <w:szCs w:val="20"/>
              </w:rPr>
            </w:pPr>
            <w:r w:rsidRPr="00DD6CB8">
              <w:rPr>
                <w:color w:val="FFFFFF" w:themeColor="background1"/>
                <w:sz w:val="20"/>
                <w:szCs w:val="20"/>
              </w:rPr>
              <w:t xml:space="preserve">Total </w:t>
            </w:r>
            <w:r w:rsidR="0089250A">
              <w:rPr>
                <w:color w:val="FFFFFF" w:themeColor="background1"/>
                <w:sz w:val="20"/>
                <w:szCs w:val="20"/>
              </w:rPr>
              <w:t>C</w:t>
            </w:r>
            <w:r w:rsidRPr="00DD6CB8">
              <w:rPr>
                <w:color w:val="FFFFFF" w:themeColor="background1"/>
                <w:sz w:val="20"/>
                <w:szCs w:val="20"/>
              </w:rPr>
              <w:t xml:space="preserve">hange in </w:t>
            </w:r>
            <w:r w:rsidR="0089250A">
              <w:rPr>
                <w:color w:val="FFFFFF" w:themeColor="background1"/>
                <w:sz w:val="20"/>
                <w:szCs w:val="20"/>
              </w:rPr>
              <w:t>C</w:t>
            </w:r>
            <w:r w:rsidRPr="00DD6CB8">
              <w:rPr>
                <w:color w:val="FFFFFF" w:themeColor="background1"/>
                <w:sz w:val="20"/>
                <w:szCs w:val="20"/>
              </w:rPr>
              <w:t>ost</w:t>
            </w:r>
          </w:p>
        </w:tc>
      </w:tr>
      <w:tr w:rsidR="00E24874" w:rsidRPr="00535998" w:rsidTr="00DD6CB8">
        <w:tc>
          <w:tcPr>
            <w:tcW w:w="2165" w:type="dxa"/>
            <w:tcBorders>
              <w:top w:val="single" w:sz="4" w:space="0" w:color="FFFFFF" w:themeColor="background1"/>
            </w:tcBorders>
            <w:shd w:val="clear" w:color="auto" w:fill="auto"/>
            <w:noWrap/>
          </w:tcPr>
          <w:p w:rsidR="00E24874" w:rsidRPr="00391453" w:rsidRDefault="00E24874" w:rsidP="00602F49">
            <w:pPr>
              <w:pStyle w:val="EYTableText"/>
              <w:rPr>
                <w:sz w:val="20"/>
                <w:szCs w:val="20"/>
              </w:rPr>
            </w:pPr>
            <w:r w:rsidRPr="00C83556">
              <w:rPr>
                <w:sz w:val="20"/>
                <w:szCs w:val="20"/>
                <w:lang w:eastAsia="en-AU"/>
              </w:rPr>
              <w:t>Regulatory Option A – co-located</w:t>
            </w:r>
          </w:p>
        </w:tc>
        <w:tc>
          <w:tcPr>
            <w:tcW w:w="1674" w:type="dxa"/>
            <w:tcBorders>
              <w:top w:val="single" w:sz="4" w:space="0" w:color="FFFFFF" w:themeColor="background1"/>
            </w:tcBorders>
            <w:shd w:val="clear" w:color="auto" w:fill="auto"/>
            <w:noWrap/>
          </w:tcPr>
          <w:p w:rsidR="00E24874" w:rsidRPr="00DD6CB8" w:rsidRDefault="00E24874" w:rsidP="007E113B">
            <w:pPr>
              <w:pStyle w:val="EYTableText"/>
              <w:jc w:val="right"/>
              <w:rPr>
                <w:sz w:val="20"/>
                <w:szCs w:val="20"/>
              </w:rPr>
            </w:pPr>
            <w:r w:rsidRPr="00DD6CB8">
              <w:rPr>
                <w:color w:val="000000"/>
                <w:sz w:val="20"/>
                <w:szCs w:val="20"/>
              </w:rPr>
              <w:t>$2,512,761</w:t>
            </w:r>
          </w:p>
        </w:tc>
        <w:tc>
          <w:tcPr>
            <w:tcW w:w="2207" w:type="dxa"/>
            <w:tcBorders>
              <w:top w:val="single" w:sz="4" w:space="0" w:color="FFFFFF" w:themeColor="background1"/>
            </w:tcBorders>
            <w:shd w:val="clear" w:color="auto" w:fill="auto"/>
            <w:noWrap/>
          </w:tcPr>
          <w:p w:rsidR="00E24874" w:rsidRPr="00DD6CB8" w:rsidRDefault="00E24874" w:rsidP="007E113B">
            <w:pPr>
              <w:pStyle w:val="EYTableText"/>
              <w:jc w:val="right"/>
              <w:rPr>
                <w:sz w:val="20"/>
                <w:szCs w:val="20"/>
              </w:rPr>
            </w:pPr>
            <w:r w:rsidRPr="00DD6CB8">
              <w:rPr>
                <w:color w:val="000000"/>
                <w:sz w:val="20"/>
                <w:szCs w:val="20"/>
              </w:rPr>
              <w:t>$0</w:t>
            </w:r>
          </w:p>
        </w:tc>
        <w:tc>
          <w:tcPr>
            <w:tcW w:w="1980" w:type="dxa"/>
            <w:tcBorders>
              <w:top w:val="single" w:sz="4" w:space="0" w:color="FFFFFF" w:themeColor="background1"/>
            </w:tcBorders>
            <w:shd w:val="clear" w:color="auto" w:fill="auto"/>
            <w:noWrap/>
          </w:tcPr>
          <w:p w:rsidR="00E24874" w:rsidRPr="00DD6CB8" w:rsidRDefault="00E24874" w:rsidP="007E113B">
            <w:pPr>
              <w:pStyle w:val="EYTableText"/>
              <w:jc w:val="right"/>
              <w:rPr>
                <w:sz w:val="20"/>
                <w:szCs w:val="20"/>
              </w:rPr>
            </w:pPr>
            <w:r w:rsidRPr="00DD6CB8">
              <w:rPr>
                <w:color w:val="000000"/>
                <w:sz w:val="20"/>
                <w:szCs w:val="20"/>
              </w:rPr>
              <w:t>$0</w:t>
            </w:r>
          </w:p>
        </w:tc>
        <w:tc>
          <w:tcPr>
            <w:tcW w:w="1601" w:type="dxa"/>
            <w:tcBorders>
              <w:top w:val="single" w:sz="4" w:space="0" w:color="FFFFFF" w:themeColor="background1"/>
            </w:tcBorders>
            <w:shd w:val="clear" w:color="auto" w:fill="auto"/>
            <w:noWrap/>
          </w:tcPr>
          <w:p w:rsidR="00E24874" w:rsidRPr="00DD6CB8" w:rsidRDefault="00E24874" w:rsidP="007E113B">
            <w:pPr>
              <w:pStyle w:val="EYTableText"/>
              <w:jc w:val="right"/>
              <w:rPr>
                <w:sz w:val="20"/>
                <w:szCs w:val="20"/>
              </w:rPr>
            </w:pPr>
            <w:r w:rsidRPr="00DD6CB8">
              <w:rPr>
                <w:color w:val="000000"/>
                <w:sz w:val="20"/>
                <w:szCs w:val="20"/>
              </w:rPr>
              <w:t>$2,512,761</w:t>
            </w:r>
          </w:p>
        </w:tc>
      </w:tr>
      <w:tr w:rsidR="00E24874" w:rsidRPr="00535998" w:rsidTr="00DD6CB8">
        <w:tc>
          <w:tcPr>
            <w:tcW w:w="2165" w:type="dxa"/>
            <w:shd w:val="clear" w:color="auto" w:fill="auto"/>
            <w:noWrap/>
          </w:tcPr>
          <w:p w:rsidR="00E24874" w:rsidRPr="00391453" w:rsidRDefault="00E24874" w:rsidP="00C167D1">
            <w:pPr>
              <w:pStyle w:val="EYTableText"/>
              <w:rPr>
                <w:sz w:val="20"/>
                <w:szCs w:val="20"/>
              </w:rPr>
            </w:pPr>
            <w:r w:rsidRPr="00C83556">
              <w:rPr>
                <w:sz w:val="20"/>
                <w:szCs w:val="20"/>
                <w:lang w:eastAsia="en-AU"/>
              </w:rPr>
              <w:t>Regulatory Option B – Separate</w:t>
            </w:r>
          </w:p>
        </w:tc>
        <w:tc>
          <w:tcPr>
            <w:tcW w:w="1674" w:type="dxa"/>
            <w:shd w:val="clear" w:color="auto" w:fill="auto"/>
            <w:noWrap/>
          </w:tcPr>
          <w:p w:rsidR="00E24874" w:rsidRPr="00DD6CB8" w:rsidRDefault="00E24874" w:rsidP="007E113B">
            <w:pPr>
              <w:pStyle w:val="EYTableText"/>
              <w:jc w:val="right"/>
              <w:rPr>
                <w:sz w:val="20"/>
                <w:szCs w:val="20"/>
              </w:rPr>
            </w:pPr>
            <w:r w:rsidRPr="00DD6CB8">
              <w:rPr>
                <w:color w:val="000000"/>
                <w:sz w:val="20"/>
                <w:szCs w:val="20"/>
              </w:rPr>
              <w:t>$</w:t>
            </w:r>
            <w:r w:rsidR="005A0AB3" w:rsidRPr="00DD6CB8">
              <w:rPr>
                <w:color w:val="000000"/>
                <w:sz w:val="20"/>
                <w:szCs w:val="20"/>
              </w:rPr>
              <w:t>8</w:t>
            </w:r>
            <w:r w:rsidRPr="00DD6CB8">
              <w:rPr>
                <w:color w:val="000000"/>
                <w:sz w:val="20"/>
                <w:szCs w:val="20"/>
              </w:rPr>
              <w:t>,</w:t>
            </w:r>
            <w:r w:rsidR="005A0AB3" w:rsidRPr="00DD6CB8">
              <w:rPr>
                <w:color w:val="000000"/>
                <w:sz w:val="20"/>
                <w:szCs w:val="20"/>
              </w:rPr>
              <w:t>911</w:t>
            </w:r>
            <w:r w:rsidRPr="00DD6CB8">
              <w:rPr>
                <w:color w:val="000000"/>
                <w:sz w:val="20"/>
                <w:szCs w:val="20"/>
              </w:rPr>
              <w:t>,</w:t>
            </w:r>
            <w:r w:rsidR="005A0AB3" w:rsidRPr="00DD6CB8">
              <w:rPr>
                <w:color w:val="000000"/>
                <w:sz w:val="20"/>
                <w:szCs w:val="20"/>
              </w:rPr>
              <w:t>764</w:t>
            </w:r>
          </w:p>
        </w:tc>
        <w:tc>
          <w:tcPr>
            <w:tcW w:w="2207" w:type="dxa"/>
            <w:shd w:val="clear" w:color="auto" w:fill="auto"/>
            <w:noWrap/>
          </w:tcPr>
          <w:p w:rsidR="00E24874" w:rsidRPr="00DD6CB8" w:rsidRDefault="00E24874" w:rsidP="007E113B">
            <w:pPr>
              <w:pStyle w:val="EYTableText"/>
              <w:jc w:val="right"/>
              <w:rPr>
                <w:sz w:val="20"/>
                <w:szCs w:val="20"/>
              </w:rPr>
            </w:pPr>
            <w:r w:rsidRPr="00DD6CB8">
              <w:rPr>
                <w:color w:val="000000"/>
                <w:sz w:val="20"/>
                <w:szCs w:val="20"/>
              </w:rPr>
              <w:t>$0</w:t>
            </w:r>
          </w:p>
        </w:tc>
        <w:tc>
          <w:tcPr>
            <w:tcW w:w="1980" w:type="dxa"/>
            <w:shd w:val="clear" w:color="auto" w:fill="auto"/>
            <w:noWrap/>
          </w:tcPr>
          <w:p w:rsidR="00E24874" w:rsidRPr="00DD6CB8" w:rsidRDefault="00E24874" w:rsidP="007E113B">
            <w:pPr>
              <w:pStyle w:val="EYTableText"/>
              <w:jc w:val="right"/>
              <w:rPr>
                <w:sz w:val="20"/>
                <w:szCs w:val="20"/>
              </w:rPr>
            </w:pPr>
            <w:r w:rsidRPr="00DD6CB8">
              <w:rPr>
                <w:color w:val="000000"/>
                <w:sz w:val="20"/>
                <w:szCs w:val="20"/>
              </w:rPr>
              <w:t>$0</w:t>
            </w:r>
          </w:p>
        </w:tc>
        <w:tc>
          <w:tcPr>
            <w:tcW w:w="1601" w:type="dxa"/>
            <w:shd w:val="clear" w:color="auto" w:fill="auto"/>
            <w:noWrap/>
          </w:tcPr>
          <w:p w:rsidR="00E24874" w:rsidRPr="00DD6CB8" w:rsidRDefault="00E24874" w:rsidP="007E113B">
            <w:pPr>
              <w:pStyle w:val="EYTableText"/>
              <w:jc w:val="right"/>
              <w:rPr>
                <w:sz w:val="20"/>
                <w:szCs w:val="20"/>
              </w:rPr>
            </w:pPr>
            <w:r w:rsidRPr="00DD6CB8">
              <w:rPr>
                <w:color w:val="000000"/>
                <w:sz w:val="20"/>
                <w:szCs w:val="20"/>
              </w:rPr>
              <w:t>$</w:t>
            </w:r>
            <w:r w:rsidR="005A0AB3" w:rsidRPr="00DD6CB8">
              <w:rPr>
                <w:color w:val="000000"/>
                <w:sz w:val="20"/>
                <w:szCs w:val="20"/>
              </w:rPr>
              <w:t>8</w:t>
            </w:r>
            <w:r w:rsidRPr="00DD6CB8">
              <w:rPr>
                <w:color w:val="000000"/>
                <w:sz w:val="20"/>
                <w:szCs w:val="20"/>
              </w:rPr>
              <w:t>,</w:t>
            </w:r>
            <w:r w:rsidR="005A0AB3" w:rsidRPr="00DD6CB8">
              <w:rPr>
                <w:color w:val="000000"/>
                <w:sz w:val="20"/>
                <w:szCs w:val="20"/>
              </w:rPr>
              <w:t>911</w:t>
            </w:r>
            <w:r w:rsidRPr="00DD6CB8">
              <w:rPr>
                <w:color w:val="000000"/>
                <w:sz w:val="20"/>
                <w:szCs w:val="20"/>
              </w:rPr>
              <w:t>,</w:t>
            </w:r>
            <w:r w:rsidR="005A0AB3" w:rsidRPr="00DD6CB8">
              <w:rPr>
                <w:color w:val="000000"/>
                <w:sz w:val="20"/>
                <w:szCs w:val="20"/>
              </w:rPr>
              <w:t>764</w:t>
            </w:r>
          </w:p>
        </w:tc>
      </w:tr>
      <w:tr w:rsidR="00E24874" w:rsidRPr="004C2EF3" w:rsidTr="00DD6CB8">
        <w:tc>
          <w:tcPr>
            <w:tcW w:w="2165" w:type="dxa"/>
            <w:shd w:val="clear" w:color="auto" w:fill="auto"/>
            <w:noWrap/>
          </w:tcPr>
          <w:p w:rsidR="00E24874" w:rsidRPr="00DD6CB8" w:rsidRDefault="00E24874" w:rsidP="00602F49">
            <w:pPr>
              <w:pStyle w:val="EYTableText"/>
              <w:rPr>
                <w:sz w:val="20"/>
                <w:szCs w:val="20"/>
              </w:rPr>
            </w:pPr>
            <w:r w:rsidRPr="00DD6CB8">
              <w:rPr>
                <w:sz w:val="20"/>
                <w:szCs w:val="20"/>
              </w:rPr>
              <w:t xml:space="preserve">Regulatory Option C </w:t>
            </w:r>
            <w:r w:rsidR="00C167D1" w:rsidRPr="00C83556">
              <w:rPr>
                <w:sz w:val="20"/>
                <w:szCs w:val="20"/>
                <w:lang w:eastAsia="en-AU"/>
              </w:rPr>
              <w:t>–</w:t>
            </w:r>
            <w:r w:rsidRPr="00DD6CB8">
              <w:rPr>
                <w:sz w:val="20"/>
                <w:szCs w:val="20"/>
              </w:rPr>
              <w:t xml:space="preserve"> Changing Places </w:t>
            </w:r>
          </w:p>
        </w:tc>
        <w:tc>
          <w:tcPr>
            <w:tcW w:w="1674" w:type="dxa"/>
            <w:shd w:val="clear" w:color="auto" w:fill="auto"/>
            <w:noWrap/>
          </w:tcPr>
          <w:p w:rsidR="00E24874" w:rsidRPr="00DD6CB8" w:rsidRDefault="00E24874" w:rsidP="007E113B">
            <w:pPr>
              <w:pStyle w:val="EYTableText"/>
              <w:jc w:val="right"/>
              <w:rPr>
                <w:color w:val="000000"/>
                <w:sz w:val="20"/>
                <w:szCs w:val="20"/>
              </w:rPr>
            </w:pPr>
            <w:r w:rsidRPr="00DD6CB8">
              <w:rPr>
                <w:color w:val="000000"/>
                <w:sz w:val="20"/>
                <w:szCs w:val="20"/>
              </w:rPr>
              <w:t>$1</w:t>
            </w:r>
            <w:r w:rsidR="005A0AB3" w:rsidRPr="00DD6CB8">
              <w:rPr>
                <w:color w:val="000000"/>
                <w:sz w:val="20"/>
                <w:szCs w:val="20"/>
              </w:rPr>
              <w:t>5,948,878</w:t>
            </w:r>
          </w:p>
        </w:tc>
        <w:tc>
          <w:tcPr>
            <w:tcW w:w="2207" w:type="dxa"/>
            <w:shd w:val="clear" w:color="auto" w:fill="auto"/>
            <w:noWrap/>
          </w:tcPr>
          <w:p w:rsidR="00E24874" w:rsidRPr="00DD6CB8" w:rsidRDefault="00E24874" w:rsidP="007E113B">
            <w:pPr>
              <w:pStyle w:val="EYTableText"/>
              <w:jc w:val="right"/>
              <w:rPr>
                <w:color w:val="000000"/>
                <w:sz w:val="20"/>
                <w:szCs w:val="20"/>
              </w:rPr>
            </w:pPr>
            <w:r w:rsidRPr="00DD6CB8">
              <w:rPr>
                <w:color w:val="000000"/>
                <w:sz w:val="20"/>
                <w:szCs w:val="20"/>
              </w:rPr>
              <w:t>$0</w:t>
            </w:r>
          </w:p>
        </w:tc>
        <w:tc>
          <w:tcPr>
            <w:tcW w:w="1980" w:type="dxa"/>
            <w:shd w:val="clear" w:color="auto" w:fill="auto"/>
            <w:noWrap/>
          </w:tcPr>
          <w:p w:rsidR="00E24874" w:rsidRPr="00DD6CB8" w:rsidRDefault="00E24874" w:rsidP="007E113B">
            <w:pPr>
              <w:pStyle w:val="EYTableText"/>
              <w:jc w:val="right"/>
              <w:rPr>
                <w:color w:val="000000"/>
                <w:sz w:val="20"/>
                <w:szCs w:val="20"/>
              </w:rPr>
            </w:pPr>
            <w:r w:rsidRPr="00DD6CB8">
              <w:rPr>
                <w:color w:val="000000"/>
                <w:sz w:val="20"/>
                <w:szCs w:val="20"/>
              </w:rPr>
              <w:t>$0</w:t>
            </w:r>
          </w:p>
        </w:tc>
        <w:tc>
          <w:tcPr>
            <w:tcW w:w="1601" w:type="dxa"/>
            <w:shd w:val="clear" w:color="auto" w:fill="auto"/>
            <w:noWrap/>
          </w:tcPr>
          <w:p w:rsidR="00E24874" w:rsidRPr="00DD6CB8" w:rsidRDefault="00E24874" w:rsidP="007E113B">
            <w:pPr>
              <w:pStyle w:val="EYTableText"/>
              <w:jc w:val="right"/>
              <w:rPr>
                <w:color w:val="000000"/>
                <w:sz w:val="20"/>
                <w:szCs w:val="20"/>
              </w:rPr>
            </w:pPr>
            <w:r w:rsidRPr="00DD6CB8">
              <w:rPr>
                <w:color w:val="000000"/>
                <w:sz w:val="20"/>
                <w:szCs w:val="20"/>
              </w:rPr>
              <w:t>$1</w:t>
            </w:r>
            <w:r w:rsidR="005A0AB3" w:rsidRPr="00DD6CB8">
              <w:rPr>
                <w:color w:val="000000"/>
                <w:sz w:val="20"/>
                <w:szCs w:val="20"/>
              </w:rPr>
              <w:t>5</w:t>
            </w:r>
            <w:r w:rsidRPr="00DD6CB8">
              <w:rPr>
                <w:color w:val="000000"/>
                <w:sz w:val="20"/>
                <w:szCs w:val="20"/>
              </w:rPr>
              <w:t>,</w:t>
            </w:r>
            <w:r w:rsidR="005A0AB3" w:rsidRPr="00DD6CB8">
              <w:rPr>
                <w:color w:val="000000"/>
                <w:sz w:val="20"/>
                <w:szCs w:val="20"/>
              </w:rPr>
              <w:t>948</w:t>
            </w:r>
            <w:r w:rsidRPr="00DD6CB8">
              <w:rPr>
                <w:color w:val="000000"/>
                <w:sz w:val="20"/>
                <w:szCs w:val="20"/>
              </w:rPr>
              <w:t>,</w:t>
            </w:r>
            <w:r w:rsidR="005A0AB3" w:rsidRPr="00DD6CB8">
              <w:rPr>
                <w:color w:val="000000"/>
                <w:sz w:val="20"/>
                <w:szCs w:val="20"/>
              </w:rPr>
              <w:t>878</w:t>
            </w:r>
          </w:p>
        </w:tc>
      </w:tr>
    </w:tbl>
    <w:p w:rsidR="00D01AD2" w:rsidRDefault="00D01AD2" w:rsidP="00D4620D">
      <w:pPr>
        <w:spacing w:after="0"/>
      </w:pPr>
    </w:p>
    <w:p w:rsidR="00D4620D" w:rsidRPr="00DB1504" w:rsidRDefault="00B25BB6" w:rsidP="00363EB8">
      <w:pPr>
        <w:pBdr>
          <w:top w:val="single" w:sz="4" w:space="1" w:color="auto"/>
          <w:left w:val="single" w:sz="4" w:space="4" w:color="auto"/>
          <w:bottom w:val="single" w:sz="4" w:space="1" w:color="auto"/>
          <w:right w:val="single" w:sz="4" w:space="4" w:color="auto"/>
        </w:pBdr>
        <w:shd w:val="clear" w:color="auto" w:fill="FFE600"/>
        <w:spacing w:after="100" w:line="240" w:lineRule="auto"/>
        <w:jc w:val="left"/>
        <w:rPr>
          <w:rFonts w:cs="Arial"/>
          <w:b/>
          <w:szCs w:val="24"/>
        </w:rPr>
      </w:pPr>
      <w:r>
        <w:rPr>
          <w:rFonts w:cs="Arial"/>
          <w:b/>
          <w:szCs w:val="24"/>
        </w:rPr>
        <w:t>End user c</w:t>
      </w:r>
      <w:r w:rsidR="00D4620D" w:rsidRPr="00DB1504">
        <w:rPr>
          <w:rFonts w:cs="Arial"/>
          <w:b/>
          <w:szCs w:val="24"/>
        </w:rPr>
        <w:t>onsultation findings</w:t>
      </w:r>
    </w:p>
    <w:p w:rsidR="00D4620D" w:rsidRPr="00354873" w:rsidRDefault="00D4620D" w:rsidP="005C0583">
      <w:p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Pr>
          <w:rFonts w:cs="Arial"/>
          <w:szCs w:val="24"/>
        </w:rPr>
        <w:t>All participants interviewed were highly supportive of</w:t>
      </w:r>
      <w:r w:rsidR="006716F2">
        <w:rPr>
          <w:rFonts w:cs="Arial"/>
          <w:szCs w:val="24"/>
        </w:rPr>
        <w:t>,</w:t>
      </w:r>
      <w:r>
        <w:rPr>
          <w:rFonts w:cs="Arial"/>
          <w:szCs w:val="24"/>
        </w:rPr>
        <w:t xml:space="preserve"> and advocated for</w:t>
      </w:r>
      <w:r w:rsidR="006716F2">
        <w:rPr>
          <w:rFonts w:cs="Arial"/>
          <w:szCs w:val="24"/>
        </w:rPr>
        <w:t>,</w:t>
      </w:r>
      <w:r>
        <w:rPr>
          <w:rFonts w:cs="Arial"/>
          <w:szCs w:val="24"/>
        </w:rPr>
        <w:t xml:space="preserve"> the installation of </w:t>
      </w:r>
      <w:r w:rsidR="006716F2">
        <w:rPr>
          <w:rFonts w:cs="Arial"/>
          <w:szCs w:val="24"/>
        </w:rPr>
        <w:t>AACFs</w:t>
      </w:r>
      <w:r>
        <w:rPr>
          <w:rFonts w:cs="Arial"/>
          <w:szCs w:val="24"/>
        </w:rPr>
        <w:t>.  They were also pragmatic</w:t>
      </w:r>
      <w:r w:rsidR="0089250A">
        <w:rPr>
          <w:rFonts w:cs="Arial"/>
          <w:szCs w:val="24"/>
        </w:rPr>
        <w:t>,</w:t>
      </w:r>
      <w:r>
        <w:rPr>
          <w:rFonts w:cs="Arial"/>
          <w:szCs w:val="24"/>
        </w:rPr>
        <w:t xml:space="preserve"> indicating that </w:t>
      </w:r>
      <w:r w:rsidR="0089250A">
        <w:rPr>
          <w:rFonts w:cs="Arial"/>
          <w:szCs w:val="24"/>
        </w:rPr>
        <w:t xml:space="preserve">AACFs </w:t>
      </w:r>
      <w:r>
        <w:rPr>
          <w:rFonts w:cs="Arial"/>
          <w:szCs w:val="24"/>
        </w:rPr>
        <w:t>should be installed wherever possible and practicable to do so, and that a ‘five star’ facility was not necessarily needed</w:t>
      </w:r>
      <w:r w:rsidR="00F95754">
        <w:rPr>
          <w:rFonts w:cs="Arial"/>
          <w:szCs w:val="24"/>
        </w:rPr>
        <w:t>. They also</w:t>
      </w:r>
      <w:r>
        <w:rPr>
          <w:rFonts w:cs="Arial"/>
          <w:szCs w:val="24"/>
        </w:rPr>
        <w:t xml:space="preserve"> </w:t>
      </w:r>
      <w:r w:rsidRPr="001F20F2">
        <w:rPr>
          <w:rFonts w:cs="Arial"/>
          <w:szCs w:val="24"/>
        </w:rPr>
        <w:t>indicat</w:t>
      </w:r>
      <w:r w:rsidR="00F95754">
        <w:rPr>
          <w:rFonts w:cs="Arial"/>
          <w:szCs w:val="24"/>
        </w:rPr>
        <w:t>ed</w:t>
      </w:r>
      <w:r w:rsidRPr="001F20F2">
        <w:rPr>
          <w:rFonts w:cs="Arial"/>
          <w:szCs w:val="24"/>
        </w:rPr>
        <w:t xml:space="preserve"> that there may be alternatives to some aspects, such as </w:t>
      </w:r>
      <w:r w:rsidR="00F95754">
        <w:rPr>
          <w:rFonts w:cs="Arial"/>
          <w:szCs w:val="24"/>
        </w:rPr>
        <w:t xml:space="preserve">potentially </w:t>
      </w:r>
      <w:r w:rsidRPr="001F20F2">
        <w:rPr>
          <w:rFonts w:cs="Arial"/>
          <w:szCs w:val="24"/>
        </w:rPr>
        <w:t>using wall</w:t>
      </w:r>
      <w:r w:rsidR="0089250A">
        <w:rPr>
          <w:rFonts w:cs="Arial"/>
          <w:szCs w:val="24"/>
        </w:rPr>
        <w:t>-</w:t>
      </w:r>
      <w:r w:rsidR="00F95754">
        <w:rPr>
          <w:rFonts w:cs="Arial"/>
          <w:szCs w:val="24"/>
        </w:rPr>
        <w:t>mounted</w:t>
      </w:r>
      <w:r w:rsidR="0089250A">
        <w:rPr>
          <w:rFonts w:cs="Arial"/>
          <w:szCs w:val="24"/>
        </w:rPr>
        <w:t>,</w:t>
      </w:r>
      <w:r w:rsidR="00F95754" w:rsidRPr="001F20F2">
        <w:rPr>
          <w:rFonts w:cs="Arial"/>
          <w:szCs w:val="24"/>
        </w:rPr>
        <w:t xml:space="preserve"> </w:t>
      </w:r>
      <w:r w:rsidRPr="001F20F2">
        <w:rPr>
          <w:rFonts w:cs="Arial"/>
          <w:szCs w:val="24"/>
        </w:rPr>
        <w:t>height</w:t>
      </w:r>
      <w:r w:rsidR="0089250A">
        <w:rPr>
          <w:rFonts w:cs="Arial"/>
          <w:szCs w:val="24"/>
        </w:rPr>
        <w:t>-</w:t>
      </w:r>
      <w:r w:rsidRPr="001F20F2">
        <w:rPr>
          <w:rFonts w:cs="Arial"/>
          <w:szCs w:val="24"/>
        </w:rPr>
        <w:t>adjustable change table</w:t>
      </w:r>
      <w:r w:rsidR="00F95754">
        <w:rPr>
          <w:rFonts w:cs="Arial"/>
          <w:szCs w:val="24"/>
        </w:rPr>
        <w:t>s</w:t>
      </w:r>
      <w:r w:rsidRPr="001F20F2">
        <w:rPr>
          <w:rFonts w:cs="Arial"/>
          <w:szCs w:val="24"/>
        </w:rPr>
        <w:t xml:space="preserve"> </w:t>
      </w:r>
      <w:r w:rsidR="00F95754">
        <w:rPr>
          <w:rFonts w:cs="Arial"/>
          <w:szCs w:val="24"/>
        </w:rPr>
        <w:t xml:space="preserve">as an alternative to </w:t>
      </w:r>
      <w:r w:rsidRPr="001F20F2">
        <w:rPr>
          <w:rFonts w:cs="Arial"/>
          <w:szCs w:val="24"/>
        </w:rPr>
        <w:t xml:space="preserve">ceiling hoists. </w:t>
      </w:r>
    </w:p>
    <w:p w:rsidR="00D4620D" w:rsidRPr="00BF33A8" w:rsidRDefault="00D4620D" w:rsidP="00D4620D">
      <w:pPr>
        <w:spacing w:after="0"/>
        <w:rPr>
          <w:sz w:val="2"/>
          <w:szCs w:val="2"/>
        </w:rPr>
      </w:pPr>
    </w:p>
    <w:p w:rsidR="009E4B9E" w:rsidRDefault="008F3849" w:rsidP="009260BA">
      <w:pPr>
        <w:pStyle w:val="Caption"/>
        <w:pBdr>
          <w:top w:val="single" w:sz="4" w:space="1" w:color="auto"/>
          <w:left w:val="single" w:sz="4" w:space="4" w:color="auto"/>
          <w:bottom w:val="single" w:sz="4" w:space="1" w:color="auto"/>
          <w:right w:val="single" w:sz="4" w:space="4" w:color="auto"/>
        </w:pBdr>
        <w:shd w:val="clear" w:color="auto" w:fill="D9D9D9" w:themeFill="background1" w:themeFillShade="D9"/>
      </w:pPr>
      <w:r>
        <w:t>Consultation q</w:t>
      </w:r>
      <w:r w:rsidR="009E4B9E">
        <w:t>uestion</w:t>
      </w:r>
      <w:r w:rsidR="00611D26">
        <w:t>s</w:t>
      </w:r>
      <w:r w:rsidR="009E4B9E">
        <w:t xml:space="preserve"> </w:t>
      </w:r>
    </w:p>
    <w:p w:rsidR="00E81AB8" w:rsidRDefault="00E81AB8" w:rsidP="00A15416">
      <w:pPr>
        <w:pStyle w:val="Caption"/>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ind w:hanging="720"/>
      </w:pPr>
      <w:bookmarkStart w:id="559" w:name="_Ref506883496"/>
      <w:r w:rsidRPr="00987E4D">
        <w:rPr>
          <w:b w:val="0"/>
        </w:rPr>
        <w:t>Do you agree with the preliminary finding that AACF be provided in Class 6 shopping centres larger than 10,</w:t>
      </w:r>
      <w:r w:rsidR="006B112B" w:rsidRPr="00987E4D">
        <w:rPr>
          <w:b w:val="0"/>
        </w:rPr>
        <w:t>000</w:t>
      </w:r>
      <w:r w:rsidR="006B112B">
        <w:rPr>
          <w:b w:val="0"/>
        </w:rPr>
        <w:t>m</w:t>
      </w:r>
      <w:r w:rsidR="006B112B" w:rsidRPr="00400534">
        <w:rPr>
          <w:b w:val="0"/>
          <w:vertAlign w:val="superscript"/>
        </w:rPr>
        <w:t>2</w:t>
      </w:r>
      <w:r w:rsidR="006B112B" w:rsidRPr="00987E4D">
        <w:rPr>
          <w:b w:val="0"/>
        </w:rPr>
        <w:t xml:space="preserve"> </w:t>
      </w:r>
      <w:r w:rsidRPr="00987E4D">
        <w:rPr>
          <w:b w:val="0"/>
        </w:rPr>
        <w:t>and Class 9b assembly buildings?</w:t>
      </w:r>
    </w:p>
    <w:p w:rsidR="00D01AD2" w:rsidRDefault="00987E4D" w:rsidP="00A15416">
      <w:pPr>
        <w:pStyle w:val="Caption"/>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ind w:hanging="720"/>
        <w:rPr>
          <w:b w:val="0"/>
        </w:rPr>
      </w:pPr>
      <w:r>
        <w:rPr>
          <w:b w:val="0"/>
        </w:rPr>
        <w:t xml:space="preserve">Should an AACF be allowed to be counted as an SASF? </w:t>
      </w:r>
      <w:bookmarkEnd w:id="559"/>
    </w:p>
    <w:p w:rsidR="00987E4D" w:rsidRPr="00611D26" w:rsidRDefault="00611D26" w:rsidP="00A15416">
      <w:pPr>
        <w:pStyle w:val="Caption"/>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ind w:hanging="720"/>
        <w:rPr>
          <w:b w:val="0"/>
        </w:rPr>
      </w:pPr>
      <w:bookmarkStart w:id="560" w:name="_Ref506883501"/>
      <w:r>
        <w:rPr>
          <w:b w:val="0"/>
        </w:rPr>
        <w:t xml:space="preserve">Should an AACF be allowed to be counted as an SASF only where there is at least one other SASF provided in its own right? </w:t>
      </w:r>
    </w:p>
    <w:p w:rsidR="00611D26" w:rsidRPr="00CC2143" w:rsidRDefault="00611D26" w:rsidP="00CC2143">
      <w:pPr>
        <w:pStyle w:val="NormalWeb"/>
        <w:spacing w:after="0" w:line="240" w:lineRule="auto"/>
        <w:rPr>
          <w:rFonts w:ascii="Arial" w:hAnsi="Arial" w:cstheme="minorBidi"/>
          <w:szCs w:val="22"/>
        </w:rPr>
      </w:pPr>
    </w:p>
    <w:p w:rsidR="00611D26" w:rsidRPr="001E5FAC" w:rsidRDefault="002157BB" w:rsidP="00DD6CB8">
      <w:pPr>
        <w:pStyle w:val="Caption"/>
        <w:keepNext/>
        <w:pBdr>
          <w:top w:val="single" w:sz="4" w:space="1" w:color="auto"/>
          <w:left w:val="single" w:sz="4" w:space="4" w:color="auto"/>
          <w:bottom w:val="single" w:sz="4" w:space="1" w:color="auto"/>
          <w:right w:val="single" w:sz="4" w:space="4" w:color="auto"/>
        </w:pBdr>
        <w:shd w:val="clear" w:color="auto" w:fill="F2F2F2" w:themeFill="background1" w:themeFillShade="F2"/>
      </w:pPr>
      <w:r w:rsidRPr="001E5FAC">
        <w:t>Stakeholder feedback</w:t>
      </w:r>
    </w:p>
    <w:p w:rsidR="00611D26" w:rsidRPr="001E5FAC" w:rsidRDefault="006B112B" w:rsidP="0040053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bookmarkStart w:id="561" w:name="_Ref506883508"/>
      <w:bookmarkEnd w:id="560"/>
      <w:r>
        <w:rPr>
          <w:b w:val="0"/>
        </w:rPr>
        <w:t>T</w:t>
      </w:r>
      <w:r w:rsidR="00611D26" w:rsidRPr="001E5FAC">
        <w:rPr>
          <w:b w:val="0"/>
        </w:rPr>
        <w:t>here was general agreement with the preliminary finding</w:t>
      </w:r>
      <w:r>
        <w:rPr>
          <w:b w:val="0"/>
        </w:rPr>
        <w:t xml:space="preserve"> that an AACF should be provided in Class 6 shop</w:t>
      </w:r>
      <w:r w:rsidR="00F8657D">
        <w:rPr>
          <w:b w:val="0"/>
        </w:rPr>
        <w:t>ping centres larger than 10,000</w:t>
      </w:r>
      <w:r>
        <w:rPr>
          <w:b w:val="0"/>
        </w:rPr>
        <w:t>m</w:t>
      </w:r>
      <w:r w:rsidRPr="00400534">
        <w:rPr>
          <w:b w:val="0"/>
          <w:vertAlign w:val="superscript"/>
        </w:rPr>
        <w:t>2</w:t>
      </w:r>
      <w:r>
        <w:rPr>
          <w:b w:val="0"/>
        </w:rPr>
        <w:t xml:space="preserve"> and Class 9b assembly buildings. However,</w:t>
      </w:r>
      <w:r w:rsidR="00611D26" w:rsidRPr="001E5FAC">
        <w:rPr>
          <w:b w:val="0"/>
        </w:rPr>
        <w:t xml:space="preserve"> caveats by some responses </w:t>
      </w:r>
      <w:r w:rsidR="00F17F81" w:rsidRPr="001E5FAC">
        <w:rPr>
          <w:b w:val="0"/>
        </w:rPr>
        <w:t xml:space="preserve">such as those provided by Shoalhaven City Council, TfNSW, the Australasian Railway Association and disability advocates </w:t>
      </w:r>
      <w:r w:rsidR="00611D26" w:rsidRPr="001E5FAC">
        <w:rPr>
          <w:b w:val="0"/>
        </w:rPr>
        <w:lastRenderedPageBreak/>
        <w:t xml:space="preserve">included </w:t>
      </w:r>
      <w:r w:rsidR="00F17F81" w:rsidRPr="001E5FAC">
        <w:rPr>
          <w:b w:val="0"/>
        </w:rPr>
        <w:t xml:space="preserve">reducing or </w:t>
      </w:r>
      <w:r w:rsidR="00611D26" w:rsidRPr="001E5FAC">
        <w:rPr>
          <w:b w:val="0"/>
        </w:rPr>
        <w:t>removing the 10,</w:t>
      </w:r>
      <w:r w:rsidRPr="001E5FAC">
        <w:rPr>
          <w:b w:val="0"/>
        </w:rPr>
        <w:t>000</w:t>
      </w:r>
      <w:r>
        <w:rPr>
          <w:b w:val="0"/>
        </w:rPr>
        <w:t>m</w:t>
      </w:r>
      <w:r w:rsidRPr="00400534">
        <w:rPr>
          <w:b w:val="0"/>
          <w:vertAlign w:val="superscript"/>
        </w:rPr>
        <w:t>2</w:t>
      </w:r>
      <w:r w:rsidRPr="001E5FAC">
        <w:rPr>
          <w:b w:val="0"/>
        </w:rPr>
        <w:t xml:space="preserve"> </w:t>
      </w:r>
      <w:r w:rsidR="00611D26" w:rsidRPr="001E5FAC">
        <w:rPr>
          <w:b w:val="0"/>
        </w:rPr>
        <w:t xml:space="preserve">threshold, excluding rail stations and including </w:t>
      </w:r>
      <w:r w:rsidR="002D118B" w:rsidRPr="001E5FAC">
        <w:rPr>
          <w:b w:val="0"/>
        </w:rPr>
        <w:t xml:space="preserve">Class </w:t>
      </w:r>
      <w:r w:rsidR="00611D26" w:rsidRPr="001E5FAC">
        <w:rPr>
          <w:b w:val="0"/>
        </w:rPr>
        <w:t xml:space="preserve">9a major hospitals. </w:t>
      </w:r>
    </w:p>
    <w:p w:rsidR="001A6A99" w:rsidRPr="001E5FAC" w:rsidRDefault="00611D26" w:rsidP="0040053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2B182F">
        <w:rPr>
          <w:b w:val="0"/>
        </w:rPr>
        <w:t>Responses were roughly split between a</w:t>
      </w:r>
      <w:r w:rsidRPr="00D14EDB">
        <w:rPr>
          <w:b w:val="0"/>
        </w:rPr>
        <w:t>greement and disagreement on the counting of AACFs as SASFs</w:t>
      </w:r>
      <w:r w:rsidR="0080464A" w:rsidRPr="00D14EDB">
        <w:rPr>
          <w:b w:val="0"/>
        </w:rPr>
        <w:t>.</w:t>
      </w:r>
      <w:r w:rsidR="002109F0" w:rsidRPr="00D14EDB">
        <w:rPr>
          <w:b w:val="0"/>
        </w:rPr>
        <w:t xml:space="preserve"> TfNSW, Shoalhaven City Council and some disability advocates generally express</w:t>
      </w:r>
      <w:r w:rsidR="0080464A" w:rsidRPr="00D14EDB">
        <w:rPr>
          <w:b w:val="0"/>
        </w:rPr>
        <w:t>ed</w:t>
      </w:r>
      <w:r w:rsidR="002109F0" w:rsidRPr="00D14EDB">
        <w:rPr>
          <w:b w:val="0"/>
        </w:rPr>
        <w:t xml:space="preserve"> some level of support </w:t>
      </w:r>
      <w:r w:rsidR="00BF17FB">
        <w:rPr>
          <w:b w:val="0"/>
        </w:rPr>
        <w:t xml:space="preserve">and the Victorian </w:t>
      </w:r>
      <w:r w:rsidR="00B25133">
        <w:rPr>
          <w:b w:val="0"/>
        </w:rPr>
        <w:t>HHS</w:t>
      </w:r>
      <w:r w:rsidR="00BF17FB">
        <w:rPr>
          <w:b w:val="0"/>
        </w:rPr>
        <w:t>BA</w:t>
      </w:r>
      <w:r w:rsidR="002109F0" w:rsidRPr="00D14EDB">
        <w:rPr>
          <w:b w:val="0"/>
        </w:rPr>
        <w:t>, the Department of Social Services</w:t>
      </w:r>
      <w:r w:rsidR="00C37418" w:rsidRPr="006803A1">
        <w:rPr>
          <w:b w:val="0"/>
        </w:rPr>
        <w:t>, the Australasian Railway Association</w:t>
      </w:r>
      <w:r w:rsidR="002109F0" w:rsidRPr="006803A1">
        <w:rPr>
          <w:b w:val="0"/>
        </w:rPr>
        <w:t xml:space="preserve"> and some disability advocates </w:t>
      </w:r>
      <w:r w:rsidR="00C37418" w:rsidRPr="006803A1">
        <w:rPr>
          <w:b w:val="0"/>
        </w:rPr>
        <w:t>express</w:t>
      </w:r>
      <w:r w:rsidR="0080464A" w:rsidRPr="006803A1">
        <w:rPr>
          <w:b w:val="0"/>
        </w:rPr>
        <w:t>ed</w:t>
      </w:r>
      <w:r w:rsidR="00C37418" w:rsidRPr="006803A1">
        <w:rPr>
          <w:b w:val="0"/>
        </w:rPr>
        <w:t xml:space="preserve"> some level of opposition</w:t>
      </w:r>
      <w:r w:rsidR="002109F0" w:rsidRPr="006803A1">
        <w:rPr>
          <w:b w:val="0"/>
        </w:rPr>
        <w:t xml:space="preserve"> to the merged categorisation</w:t>
      </w:r>
      <w:r w:rsidRPr="00866060">
        <w:rPr>
          <w:b w:val="0"/>
        </w:rPr>
        <w:t xml:space="preserve">. </w:t>
      </w:r>
    </w:p>
    <w:p w:rsidR="00611D26" w:rsidRPr="001E5FAC" w:rsidRDefault="00611D26" w:rsidP="0040053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val="0"/>
        </w:rPr>
      </w:pPr>
      <w:r w:rsidRPr="001E5FAC">
        <w:rPr>
          <w:b w:val="0"/>
        </w:rPr>
        <w:t>Key reasons for counting AACFs as SASFs included ease of managing space</w:t>
      </w:r>
      <w:r w:rsidR="001A6A99" w:rsidRPr="001E5FAC">
        <w:rPr>
          <w:b w:val="0"/>
        </w:rPr>
        <w:t>,</w:t>
      </w:r>
      <w:r w:rsidRPr="001E5FAC">
        <w:rPr>
          <w:b w:val="0"/>
        </w:rPr>
        <w:t xml:space="preserve"> site const</w:t>
      </w:r>
      <w:r w:rsidR="005E3194" w:rsidRPr="001E5FAC">
        <w:rPr>
          <w:b w:val="0"/>
        </w:rPr>
        <w:t xml:space="preserve">raints for venue owners </w:t>
      </w:r>
      <w:r w:rsidR="001A6A99" w:rsidRPr="001E5FAC">
        <w:rPr>
          <w:b w:val="0"/>
        </w:rPr>
        <w:t>as well as reduced</w:t>
      </w:r>
      <w:r w:rsidR="005E3194" w:rsidRPr="001E5FAC">
        <w:rPr>
          <w:b w:val="0"/>
        </w:rPr>
        <w:t xml:space="preserve"> cost</w:t>
      </w:r>
      <w:r w:rsidRPr="001E5FAC">
        <w:rPr>
          <w:b w:val="0"/>
        </w:rPr>
        <w:t xml:space="preserve">. Responses </w:t>
      </w:r>
      <w:r w:rsidR="0089250A">
        <w:rPr>
          <w:b w:val="0"/>
        </w:rPr>
        <w:t xml:space="preserve">that were </w:t>
      </w:r>
      <w:r w:rsidRPr="001E5FAC">
        <w:rPr>
          <w:b w:val="0"/>
        </w:rPr>
        <w:t>of the view that AACFs could be counted as SASFs caveated this position with the importance of functional user testing of AACFs to ensure the peninsula toilet did not exclude a proportion of people</w:t>
      </w:r>
      <w:r w:rsidR="0089250A">
        <w:rPr>
          <w:b w:val="0"/>
        </w:rPr>
        <w:t xml:space="preserve"> with disability</w:t>
      </w:r>
      <w:r w:rsidRPr="001E5FAC">
        <w:rPr>
          <w:b w:val="0"/>
        </w:rPr>
        <w:t xml:space="preserve"> from use of the facility. Responses </w:t>
      </w:r>
      <w:r w:rsidR="0089250A">
        <w:rPr>
          <w:b w:val="0"/>
        </w:rPr>
        <w:t>that</w:t>
      </w:r>
      <w:r w:rsidR="0089250A" w:rsidRPr="001E5FAC">
        <w:rPr>
          <w:b w:val="0"/>
        </w:rPr>
        <w:t xml:space="preserve"> </w:t>
      </w:r>
      <w:r w:rsidRPr="001E5FAC">
        <w:rPr>
          <w:b w:val="0"/>
        </w:rPr>
        <w:t>disagreed noted the separate purposes and user groups of SASFs and AACFs, and the need for access to AACFs to be actively managed to prevent misuse.</w:t>
      </w:r>
      <w:r w:rsidRPr="001E5FAC">
        <w:rPr>
          <w:rFonts w:ascii="Verdana" w:hAnsi="Verdana"/>
          <w:b w:val="0"/>
        </w:rPr>
        <w:t xml:space="preserve"> </w:t>
      </w:r>
      <w:r w:rsidR="0019117E" w:rsidRPr="001E5FAC">
        <w:rPr>
          <w:b w:val="0"/>
        </w:rPr>
        <w:t xml:space="preserve">For the reasons described in </w:t>
      </w:r>
      <w:r w:rsidR="007C69BF">
        <w:rPr>
          <w:b w:val="0"/>
        </w:rPr>
        <w:t>S</w:t>
      </w:r>
      <w:r w:rsidR="007C69BF" w:rsidRPr="001E5FAC">
        <w:rPr>
          <w:b w:val="0"/>
        </w:rPr>
        <w:t>ection</w:t>
      </w:r>
      <w:r w:rsidR="007C69BF">
        <w:rPr>
          <w:b w:val="0"/>
        </w:rPr>
        <w:t xml:space="preserve"> </w:t>
      </w:r>
      <w:r w:rsidR="00D84F72">
        <w:rPr>
          <w:b w:val="0"/>
        </w:rPr>
        <w:fldChar w:fldCharType="begin"/>
      </w:r>
      <w:r w:rsidR="00D84F72">
        <w:rPr>
          <w:b w:val="0"/>
        </w:rPr>
        <w:instrText xml:space="preserve"> REF _Ref521502148 \r \h </w:instrText>
      </w:r>
      <w:r w:rsidR="00D84F72">
        <w:rPr>
          <w:b w:val="0"/>
        </w:rPr>
      </w:r>
      <w:r w:rsidR="00D84F72">
        <w:rPr>
          <w:b w:val="0"/>
        </w:rPr>
        <w:fldChar w:fldCharType="separate"/>
      </w:r>
      <w:r w:rsidR="00910A73">
        <w:rPr>
          <w:b w:val="0"/>
        </w:rPr>
        <w:t>7.2.4</w:t>
      </w:r>
      <w:r w:rsidR="00D84F72">
        <w:rPr>
          <w:b w:val="0"/>
        </w:rPr>
        <w:fldChar w:fldCharType="end"/>
      </w:r>
      <w:r w:rsidR="008D13C5">
        <w:rPr>
          <w:b w:val="0"/>
        </w:rPr>
        <w:t xml:space="preserve"> </w:t>
      </w:r>
      <w:r w:rsidR="00D84F72">
        <w:rPr>
          <w:b w:val="0"/>
        </w:rPr>
        <w:t>it is considered AACFs meeti</w:t>
      </w:r>
      <w:r w:rsidR="0019117E" w:rsidRPr="001E5FAC">
        <w:rPr>
          <w:b w:val="0"/>
        </w:rPr>
        <w:t xml:space="preserve">ng minimum requirements should be allowed to be co-located with SASFs. It is noted that this change will also reduce the financial and economic costs of AACFs while still addressing the defined problem. </w:t>
      </w:r>
      <w:r w:rsidR="0019117E" w:rsidRPr="001E5FAC">
        <w:t xml:space="preserve"> </w:t>
      </w:r>
    </w:p>
    <w:bookmarkEnd w:id="561"/>
    <w:p w:rsidR="005A57E2" w:rsidRPr="001E5FAC" w:rsidRDefault="003651D8" w:rsidP="0040053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1E5FAC">
        <w:rPr>
          <w:b w:val="0"/>
        </w:rPr>
        <w:t xml:space="preserve">Responses </w:t>
      </w:r>
      <w:r w:rsidR="0019117E" w:rsidRPr="001E5FAC">
        <w:rPr>
          <w:b w:val="0"/>
        </w:rPr>
        <w:t>diverged</w:t>
      </w:r>
      <w:r w:rsidRPr="001E5FAC">
        <w:rPr>
          <w:b w:val="0"/>
        </w:rPr>
        <w:t xml:space="preserve"> on the </w:t>
      </w:r>
      <w:r w:rsidR="0019117E" w:rsidRPr="001E5FAC">
        <w:rPr>
          <w:b w:val="0"/>
        </w:rPr>
        <w:t xml:space="preserve">issue of </w:t>
      </w:r>
      <w:r w:rsidRPr="001E5FAC">
        <w:rPr>
          <w:b w:val="0"/>
        </w:rPr>
        <w:t>counting AACFs</w:t>
      </w:r>
      <w:r w:rsidR="000163D4" w:rsidRPr="001E5FAC">
        <w:rPr>
          <w:b w:val="0"/>
        </w:rPr>
        <w:t xml:space="preserve"> as SASFs where there is at least one other SASF provided in its own right</w:t>
      </w:r>
      <w:r w:rsidR="0019117E" w:rsidRPr="001E5FAC">
        <w:rPr>
          <w:b w:val="0"/>
        </w:rPr>
        <w:t>. O</w:t>
      </w:r>
      <w:r w:rsidR="00C37418" w:rsidRPr="001E5FAC">
        <w:rPr>
          <w:b w:val="0"/>
        </w:rPr>
        <w:t xml:space="preserve">rganisations who provided responses to Question 15 </w:t>
      </w:r>
      <w:r w:rsidR="0019117E" w:rsidRPr="001E5FAC">
        <w:rPr>
          <w:b w:val="0"/>
        </w:rPr>
        <w:t xml:space="preserve">in some cases </w:t>
      </w:r>
      <w:r w:rsidR="00C37418" w:rsidRPr="001E5FAC">
        <w:rPr>
          <w:b w:val="0"/>
        </w:rPr>
        <w:t>chang</w:t>
      </w:r>
      <w:r w:rsidR="0019117E" w:rsidRPr="001E5FAC">
        <w:rPr>
          <w:b w:val="0"/>
        </w:rPr>
        <w:t>ed</w:t>
      </w:r>
      <w:r w:rsidR="00C37418" w:rsidRPr="001E5FAC">
        <w:rPr>
          <w:b w:val="0"/>
        </w:rPr>
        <w:t xml:space="preserve"> their position</w:t>
      </w:r>
      <w:r w:rsidRPr="001E5FAC">
        <w:rPr>
          <w:b w:val="0"/>
        </w:rPr>
        <w:t>.</w:t>
      </w:r>
      <w:r w:rsidR="000163D4" w:rsidRPr="001E5FAC">
        <w:rPr>
          <w:b w:val="0"/>
        </w:rPr>
        <w:t xml:space="preserve"> Reasons noted for disagreement include</w:t>
      </w:r>
      <w:r w:rsidR="005811B5">
        <w:rPr>
          <w:b w:val="0"/>
        </w:rPr>
        <w:t>d</w:t>
      </w:r>
      <w:r w:rsidR="000163D4" w:rsidRPr="001E5FAC">
        <w:rPr>
          <w:b w:val="0"/>
        </w:rPr>
        <w:t xml:space="preserve"> the average length of time using a AACF being greater than that of a SASF, the separate purposes of SASFs and AACFs, and the need for access to AACFs to be actively managed to prevent misuse. R</w:t>
      </w:r>
      <w:r w:rsidR="00BC614A" w:rsidRPr="001E5FAC">
        <w:rPr>
          <w:b w:val="0"/>
        </w:rPr>
        <w:t>espons</w:t>
      </w:r>
      <w:r w:rsidR="000163D4" w:rsidRPr="001E5FAC">
        <w:rPr>
          <w:b w:val="0"/>
        </w:rPr>
        <w:t xml:space="preserve">es in agreement commonly caveated their position with </w:t>
      </w:r>
      <w:r w:rsidR="00BD2F1C" w:rsidRPr="001E5FAC">
        <w:rPr>
          <w:b w:val="0"/>
        </w:rPr>
        <w:t xml:space="preserve">the importance of ensuring the peninsula toilet did not exclude a proportion of people </w:t>
      </w:r>
      <w:r w:rsidR="001009AA">
        <w:rPr>
          <w:b w:val="0"/>
        </w:rPr>
        <w:t xml:space="preserve">with disability </w:t>
      </w:r>
      <w:r w:rsidR="00BD2F1C" w:rsidRPr="001E5FAC">
        <w:rPr>
          <w:b w:val="0"/>
        </w:rPr>
        <w:t>from use of the AACF.</w:t>
      </w:r>
    </w:p>
    <w:p w:rsidR="006528C2" w:rsidRPr="001E5FAC" w:rsidRDefault="0019117E" w:rsidP="0040053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pPr>
      <w:r w:rsidRPr="001E5FAC">
        <w:rPr>
          <w:b w:val="0"/>
        </w:rPr>
        <w:t xml:space="preserve">The revised specification clarifies AACFs that meet minimum requirements will be categorised as SASFs. This revision negates the need to consider if AACFs should be allowed to be counted as SASFs only where there is at least one other SASF provided in its own right. </w:t>
      </w:r>
      <w:r w:rsidRPr="001E5FAC">
        <w:t xml:space="preserve">  </w:t>
      </w:r>
      <w:bookmarkStart w:id="562" w:name="_Ref517878327"/>
      <w:r w:rsidR="006528C2" w:rsidRPr="001E5FAC">
        <w:br w:type="page"/>
      </w:r>
    </w:p>
    <w:p w:rsidR="000E437F" w:rsidRPr="001E5FAC" w:rsidRDefault="000E437F" w:rsidP="00145D1B">
      <w:pPr>
        <w:pStyle w:val="Heading1"/>
      </w:pPr>
      <w:bookmarkStart w:id="563" w:name="_Toc525897802"/>
      <w:r w:rsidRPr="001E5FAC">
        <w:lastRenderedPageBreak/>
        <w:t>Summary</w:t>
      </w:r>
      <w:bookmarkEnd w:id="562"/>
      <w:bookmarkEnd w:id="563"/>
    </w:p>
    <w:p w:rsidR="00E03978" w:rsidRPr="001E5FAC" w:rsidRDefault="0019117E" w:rsidP="00145D1B">
      <w:pPr>
        <w:pStyle w:val="Heading2"/>
      </w:pPr>
      <w:bookmarkStart w:id="564" w:name="_Ref503960312"/>
      <w:bookmarkStart w:id="565" w:name="_Ref503960320"/>
      <w:bookmarkStart w:id="566" w:name="_Toc504063184"/>
      <w:bookmarkStart w:id="567" w:name="_Toc504388874"/>
      <w:bookmarkStart w:id="568" w:name="_Toc504401725"/>
      <w:bookmarkStart w:id="569" w:name="_Toc504649931"/>
      <w:bookmarkStart w:id="570" w:name="_Toc525897803"/>
      <w:bookmarkStart w:id="571" w:name="_Toc408237969"/>
      <w:bookmarkStart w:id="572" w:name="_Toc408314161"/>
      <w:bookmarkEnd w:id="541"/>
      <w:bookmarkEnd w:id="542"/>
      <w:bookmarkEnd w:id="543"/>
      <w:bookmarkEnd w:id="544"/>
      <w:bookmarkEnd w:id="545"/>
      <w:bookmarkEnd w:id="546"/>
      <w:bookmarkEnd w:id="547"/>
      <w:r w:rsidRPr="001E5FAC">
        <w:t>I</w:t>
      </w:r>
      <w:r w:rsidR="00912ADF" w:rsidRPr="001E5FAC">
        <w:t>mplications</w:t>
      </w:r>
      <w:r w:rsidR="00BD639B" w:rsidRPr="001E5FAC">
        <w:t xml:space="preserve"> of the</w:t>
      </w:r>
      <w:r w:rsidRPr="001E5FAC">
        <w:t xml:space="preserve"> analysis</w:t>
      </w:r>
      <w:bookmarkEnd w:id="564"/>
      <w:bookmarkEnd w:id="565"/>
      <w:bookmarkEnd w:id="566"/>
      <w:bookmarkEnd w:id="567"/>
      <w:bookmarkEnd w:id="568"/>
      <w:bookmarkEnd w:id="569"/>
      <w:bookmarkEnd w:id="570"/>
    </w:p>
    <w:p w:rsidR="00B278F9" w:rsidRPr="001E5FAC" w:rsidRDefault="00D01AD2" w:rsidP="004A5772">
      <w:pPr>
        <w:pStyle w:val="EYBodytextwithparaspace"/>
      </w:pPr>
      <w:r w:rsidRPr="001E5FAC">
        <w:t>The analysis indicates that</w:t>
      </w:r>
      <w:r w:rsidR="00B278F9" w:rsidRPr="001E5FAC">
        <w:t xml:space="preserve"> </w:t>
      </w:r>
      <w:r w:rsidR="006C0B36" w:rsidRPr="001E5FAC">
        <w:t>t</w:t>
      </w:r>
      <w:r w:rsidR="00B278F9" w:rsidRPr="001E5FAC">
        <w:t>he co-locat</w:t>
      </w:r>
      <w:r w:rsidRPr="001E5FAC">
        <w:t>ion</w:t>
      </w:r>
      <w:r w:rsidR="00B278F9" w:rsidRPr="001E5FAC">
        <w:t xml:space="preserve"> option,</w:t>
      </w:r>
      <w:r w:rsidR="00F95754" w:rsidRPr="001E5FAC">
        <w:t xml:space="preserve"> where at least one standard accessible facility is provided</w:t>
      </w:r>
      <w:r w:rsidR="006C0B36" w:rsidRPr="001E5FAC">
        <w:t xml:space="preserve">, </w:t>
      </w:r>
      <w:r w:rsidR="00B278F9" w:rsidRPr="001E5FAC">
        <w:t>reduces the overall costs</w:t>
      </w:r>
      <w:r w:rsidR="006C0B36" w:rsidRPr="001E5FAC">
        <w:t xml:space="preserve"> and</w:t>
      </w:r>
      <w:r w:rsidR="00B278F9" w:rsidRPr="001E5FAC">
        <w:t xml:space="preserve"> delivers a greater level of benefit relative to </w:t>
      </w:r>
      <w:r w:rsidR="006C0B36" w:rsidRPr="00AF7114">
        <w:t>the other options.</w:t>
      </w:r>
      <w:r w:rsidR="00B278F9" w:rsidRPr="00AF7114">
        <w:t xml:space="preserve"> </w:t>
      </w:r>
      <w:r w:rsidR="006C0B36" w:rsidRPr="00AF7114">
        <w:t>While the limitations of the analysis of the case studies are acknowledged, it is considered that they</w:t>
      </w:r>
      <w:r w:rsidR="0019117E" w:rsidRPr="00AF7114">
        <w:t xml:space="preserve"> establish</w:t>
      </w:r>
      <w:r w:rsidR="006C0B36" w:rsidRPr="00AF7114">
        <w:t xml:space="preserve"> </w:t>
      </w:r>
      <w:r w:rsidR="0019117E" w:rsidRPr="00AF7114">
        <w:t xml:space="preserve">the merits and </w:t>
      </w:r>
      <w:r w:rsidR="006C0B36" w:rsidRPr="00AF7114">
        <w:t xml:space="preserve">are suitably representative to </w:t>
      </w:r>
      <w:r w:rsidR="0019117E" w:rsidRPr="00AF7114">
        <w:t xml:space="preserve">inform thresholds </w:t>
      </w:r>
      <w:r w:rsidR="0089250A">
        <w:t>to</w:t>
      </w:r>
      <w:r w:rsidR="0089250A" w:rsidRPr="00AF7114">
        <w:t xml:space="preserve"> </w:t>
      </w:r>
      <w:r w:rsidR="006C0B36" w:rsidRPr="00AF7114">
        <w:t xml:space="preserve">the extent feasible </w:t>
      </w:r>
      <w:r w:rsidR="0089250A">
        <w:t>for</w:t>
      </w:r>
      <w:r w:rsidR="0089250A" w:rsidRPr="00AF7114">
        <w:t xml:space="preserve"> </w:t>
      </w:r>
      <w:r w:rsidR="006C0B36" w:rsidRPr="00AF7114">
        <w:t>Class 6 shopping centres and Class 9b assembly buildings</w:t>
      </w:r>
      <w:r w:rsidR="006C0B36" w:rsidRPr="001E5FAC">
        <w:t>.</w:t>
      </w:r>
    </w:p>
    <w:p w:rsidR="00D431EF" w:rsidRPr="001E5FAC" w:rsidRDefault="00D431EF" w:rsidP="004A5772">
      <w:pPr>
        <w:pStyle w:val="EYBodytextwithparaspace"/>
      </w:pPr>
      <w:bookmarkStart w:id="573" w:name="_Toc517350941"/>
      <w:bookmarkStart w:id="574" w:name="_Toc517351105"/>
      <w:bookmarkStart w:id="575" w:name="_Toc517773409"/>
      <w:bookmarkStart w:id="576" w:name="_Toc517788556"/>
      <w:bookmarkStart w:id="577" w:name="_Toc517794985"/>
      <w:bookmarkEnd w:id="573"/>
      <w:bookmarkEnd w:id="574"/>
      <w:bookmarkEnd w:id="575"/>
      <w:bookmarkEnd w:id="576"/>
      <w:bookmarkEnd w:id="577"/>
      <w:r w:rsidRPr="002B182F">
        <w:t xml:space="preserve">There are </w:t>
      </w:r>
      <w:r w:rsidR="007C7718" w:rsidRPr="00D14EDB">
        <w:t>a range of considerations</w:t>
      </w:r>
      <w:r w:rsidRPr="00D14EDB">
        <w:t xml:space="preserve"> associated with </w:t>
      </w:r>
      <w:r w:rsidR="002E1E36" w:rsidRPr="00D14EDB">
        <w:t xml:space="preserve">amending the </w:t>
      </w:r>
      <w:r w:rsidR="0083057B" w:rsidRPr="00D14EDB">
        <w:t xml:space="preserve">Premises Standards and the </w:t>
      </w:r>
      <w:r w:rsidR="002E1E36" w:rsidRPr="006803A1">
        <w:t xml:space="preserve">NCC </w:t>
      </w:r>
      <w:r w:rsidR="00445C52" w:rsidRPr="006803A1">
        <w:t>to</w:t>
      </w:r>
      <w:r w:rsidR="002E1E36" w:rsidRPr="006803A1">
        <w:t xml:space="preserve"> require </w:t>
      </w:r>
      <w:r w:rsidR="007C7718" w:rsidRPr="006803A1">
        <w:t>AACFs</w:t>
      </w:r>
      <w:r w:rsidR="002E1E36" w:rsidRPr="006803A1">
        <w:t xml:space="preserve"> to be provided in Class </w:t>
      </w:r>
      <w:r w:rsidR="00632B37" w:rsidRPr="006803A1">
        <w:t xml:space="preserve">6 </w:t>
      </w:r>
      <w:r w:rsidR="002E1E36" w:rsidRPr="00450C12">
        <w:t xml:space="preserve">shopping centres and </w:t>
      </w:r>
      <w:r w:rsidR="006B28B8" w:rsidRPr="006220C9">
        <w:t>Class 9b</w:t>
      </w:r>
      <w:r w:rsidR="002E1E36" w:rsidRPr="006220C9">
        <w:t xml:space="preserve"> assembly buildings. </w:t>
      </w:r>
      <w:r w:rsidR="007C7718" w:rsidRPr="00866060">
        <w:t>This section discusses a few such considerations.</w:t>
      </w:r>
    </w:p>
    <w:p w:rsidR="00EF5242" w:rsidRPr="001E5FAC" w:rsidRDefault="00C62B1B" w:rsidP="00EF5242">
      <w:pPr>
        <w:pStyle w:val="Heading3"/>
      </w:pPr>
      <w:r w:rsidRPr="001E5FAC">
        <w:t>What will trigger the requirements?</w:t>
      </w:r>
    </w:p>
    <w:p w:rsidR="009F62B1" w:rsidRPr="00AF7114" w:rsidRDefault="009F62B1" w:rsidP="00BC5184">
      <w:pPr>
        <w:pStyle w:val="EYBodytextwithparaspace"/>
        <w:spacing w:after="200"/>
        <w:rPr>
          <w:b/>
        </w:rPr>
      </w:pPr>
      <w:r w:rsidRPr="00AF7114">
        <w:rPr>
          <w:rStyle w:val="EYBodytextwithparaspaceChar"/>
        </w:rPr>
        <w:t xml:space="preserve">As discussed in </w:t>
      </w:r>
      <w:r w:rsidR="007C69BF">
        <w:rPr>
          <w:rStyle w:val="EYBodytextwithparaspaceChar"/>
        </w:rPr>
        <w:t>S</w:t>
      </w:r>
      <w:r w:rsidR="007C69BF" w:rsidRPr="00AF7114">
        <w:rPr>
          <w:rStyle w:val="EYBodytextwithparaspaceChar"/>
        </w:rPr>
        <w:t xml:space="preserve">ection </w:t>
      </w:r>
      <w:r w:rsidRPr="00AF7114">
        <w:rPr>
          <w:rStyle w:val="EYBodytextwithparaspaceChar"/>
        </w:rPr>
        <w:fldChar w:fldCharType="begin"/>
      </w:r>
      <w:r w:rsidRPr="00AF7114">
        <w:rPr>
          <w:rStyle w:val="EYBodytextwithparaspaceChar"/>
        </w:rPr>
        <w:instrText xml:space="preserve"> REF _Ref517944896 \r \h </w:instrText>
      </w:r>
      <w:r w:rsidR="00EF5242" w:rsidRPr="00AF7114">
        <w:rPr>
          <w:rStyle w:val="EYBodytextwithparaspaceChar"/>
        </w:rPr>
        <w:instrText xml:space="preserve"> \* MERGEFORMAT </w:instrText>
      </w:r>
      <w:r w:rsidRPr="00AF7114">
        <w:rPr>
          <w:rStyle w:val="EYBodytextwithparaspaceChar"/>
        </w:rPr>
      </w:r>
      <w:r w:rsidRPr="00AF7114">
        <w:rPr>
          <w:rStyle w:val="EYBodytextwithparaspaceChar"/>
        </w:rPr>
        <w:fldChar w:fldCharType="separate"/>
      </w:r>
      <w:r w:rsidR="00910A73">
        <w:rPr>
          <w:rStyle w:val="EYBodytextwithparaspaceChar"/>
        </w:rPr>
        <w:t>7.2.1</w:t>
      </w:r>
      <w:r w:rsidRPr="00AF7114">
        <w:rPr>
          <w:rStyle w:val="EYBodytextwithparaspaceChar"/>
        </w:rPr>
        <w:fldChar w:fldCharType="end"/>
      </w:r>
      <w:r w:rsidRPr="00AF7114">
        <w:rPr>
          <w:rStyle w:val="EYBodytextwithparaspaceChar"/>
        </w:rPr>
        <w:t xml:space="preserve">, the imposition of a threshold is considered necessary in order to ensure small buildings are not unfairly required to build a facility that </w:t>
      </w:r>
      <w:r w:rsidRPr="00AF7114">
        <w:t>would see little usage</w:t>
      </w:r>
      <w:r w:rsidR="0007373A">
        <w:t xml:space="preserve"> and may impact on their financial viability</w:t>
      </w:r>
      <w:r w:rsidRPr="00AF7114">
        <w:t>. It is recommended that the requirements be as follows:</w:t>
      </w:r>
    </w:p>
    <w:p w:rsidR="007D4A30" w:rsidRPr="00AF7114" w:rsidRDefault="007D4A30" w:rsidP="00CC2143">
      <w:pPr>
        <w:pStyle w:val="EYBulletedText1"/>
      </w:pPr>
      <w:r w:rsidRPr="00AF7114">
        <w:t>The installation of an AACF i</w:t>
      </w:r>
      <w:r w:rsidR="007616E1">
        <w:t>s required for</w:t>
      </w:r>
      <w:r w:rsidRPr="00AF7114">
        <w:t xml:space="preserve"> new shopping centres or redevelopment</w:t>
      </w:r>
      <w:r w:rsidR="007616E1">
        <w:t>s</w:t>
      </w:r>
      <w:r w:rsidRPr="00AF7114">
        <w:t xml:space="preserve"> with a design occupancy greater than 3,500</w:t>
      </w:r>
      <w:r w:rsidR="005F4D4B">
        <w:t>.</w:t>
      </w:r>
    </w:p>
    <w:p w:rsidR="007D4A30" w:rsidRPr="00AF7114" w:rsidRDefault="007D4A30" w:rsidP="00AF7114">
      <w:pPr>
        <w:pStyle w:val="EYBulletedText1"/>
      </w:pPr>
      <w:r w:rsidRPr="00AF7114">
        <w:t xml:space="preserve">The installation of an AACF is required for all </w:t>
      </w:r>
      <w:r w:rsidR="008E5C4A">
        <w:t xml:space="preserve">new </w:t>
      </w:r>
      <w:r w:rsidRPr="00AF7114">
        <w:t>museums with a design occupancy greater than 1,500</w:t>
      </w:r>
      <w:r w:rsidR="005F4D4B">
        <w:t>.</w:t>
      </w:r>
    </w:p>
    <w:p w:rsidR="007D4A30" w:rsidRPr="00AF7114" w:rsidRDefault="007D4A30" w:rsidP="00AF7114">
      <w:pPr>
        <w:pStyle w:val="EYBulletedText1"/>
      </w:pPr>
      <w:r w:rsidRPr="00AF7114">
        <w:t xml:space="preserve"> The installation of an AACF is required for</w:t>
      </w:r>
      <w:r w:rsidR="00400EC4">
        <w:t xml:space="preserve"> all</w:t>
      </w:r>
      <w:r w:rsidRPr="00AF7114">
        <w:t xml:space="preserve"> </w:t>
      </w:r>
      <w:r w:rsidR="008E5C4A">
        <w:t xml:space="preserve">new </w:t>
      </w:r>
      <w:r w:rsidRPr="00AF7114">
        <w:t>theatres</w:t>
      </w:r>
      <w:r w:rsidR="00231EC6">
        <w:t xml:space="preserve">, </w:t>
      </w:r>
      <w:r w:rsidR="00400EC4">
        <w:t xml:space="preserve">with a design </w:t>
      </w:r>
      <w:r w:rsidR="008E5C4A">
        <w:t>occupancy greater than 1,500</w:t>
      </w:r>
      <w:r w:rsidR="005F4D4B">
        <w:t>.</w:t>
      </w:r>
      <w:r w:rsidRPr="00AF7114">
        <w:t xml:space="preserve"> </w:t>
      </w:r>
    </w:p>
    <w:p w:rsidR="007D4A30" w:rsidRPr="00AF7114" w:rsidRDefault="007D4A30" w:rsidP="00AF7114">
      <w:pPr>
        <w:pStyle w:val="EYBulletedText1"/>
      </w:pPr>
      <w:r w:rsidRPr="00AF7114">
        <w:t xml:space="preserve">The installation of an AACF is required for all </w:t>
      </w:r>
      <w:r w:rsidR="008E5C4A">
        <w:t xml:space="preserve">new </w:t>
      </w:r>
      <w:r w:rsidRPr="00AF7114">
        <w:t>stadiums with a design occupancy greater than 35,000.</w:t>
      </w:r>
    </w:p>
    <w:p w:rsidR="007D4A30" w:rsidRPr="00AF7114" w:rsidRDefault="007D4A30" w:rsidP="00AF7114">
      <w:pPr>
        <w:pStyle w:val="EYBulletedText1"/>
      </w:pPr>
      <w:r w:rsidRPr="00AF7114">
        <w:t xml:space="preserve">The installation of an AACF is required for all </w:t>
      </w:r>
      <w:r w:rsidR="008E5C4A">
        <w:t xml:space="preserve">new </w:t>
      </w:r>
      <w:r w:rsidRPr="00AF7114">
        <w:t xml:space="preserve">indoor aquatic facilities where the main </w:t>
      </w:r>
      <w:r w:rsidR="00311261">
        <w:t xml:space="preserve">swimming </w:t>
      </w:r>
      <w:r w:rsidRPr="00AF7114">
        <w:t xml:space="preserve">pool area’s perimeter exceeds 70m (sufficient to capture a 25m </w:t>
      </w:r>
      <w:r w:rsidR="00311261">
        <w:t xml:space="preserve">swimming </w:t>
      </w:r>
      <w:r w:rsidRPr="00AF7114">
        <w:t>pool and above)</w:t>
      </w:r>
      <w:r w:rsidR="005F4D4B">
        <w:t>.</w:t>
      </w:r>
    </w:p>
    <w:p w:rsidR="007D4A30" w:rsidRPr="00AF7114" w:rsidRDefault="007D4A30" w:rsidP="00AF7114">
      <w:pPr>
        <w:pStyle w:val="EYBulletedText1"/>
      </w:pPr>
      <w:r w:rsidRPr="00AF7114">
        <w:t>The installation of an AACF is required for all new airports or airport redevelopments</w:t>
      </w:r>
      <w:r w:rsidR="00011CA7">
        <w:t>.</w:t>
      </w:r>
    </w:p>
    <w:p w:rsidR="00D7130E" w:rsidRPr="001E5FAC" w:rsidRDefault="00D7130E" w:rsidP="00145D1B">
      <w:pPr>
        <w:pStyle w:val="Heading3"/>
      </w:pPr>
      <w:r w:rsidRPr="001E5FAC">
        <w:t>Unintended consequences</w:t>
      </w:r>
    </w:p>
    <w:p w:rsidR="00CC2143" w:rsidRDefault="00F64260" w:rsidP="00145CFE">
      <w:pPr>
        <w:pStyle w:val="EYBodytextwithparaspace"/>
        <w:rPr>
          <w:b/>
          <w:i/>
        </w:rPr>
      </w:pPr>
      <w:r w:rsidRPr="008B18B7">
        <w:t>At the proposed thresholds and</w:t>
      </w:r>
      <w:r>
        <w:t xml:space="preserve"> b</w:t>
      </w:r>
      <w:r w:rsidR="00977F03" w:rsidRPr="001E5FAC">
        <w:t xml:space="preserve">eing applicable </w:t>
      </w:r>
      <w:r w:rsidR="00C10C37" w:rsidRPr="002B182F">
        <w:t xml:space="preserve">to </w:t>
      </w:r>
      <w:r w:rsidR="00977F03" w:rsidRPr="002B182F">
        <w:t>prospective developments only, it is not anticipated that the proposed regulation would g</w:t>
      </w:r>
      <w:r w:rsidR="00977F03" w:rsidRPr="00D14EDB">
        <w:t xml:space="preserve">enerate </w:t>
      </w:r>
      <w:r w:rsidR="006716F2" w:rsidRPr="00D14EDB">
        <w:t xml:space="preserve">many </w:t>
      </w:r>
      <w:r w:rsidR="00977F03" w:rsidRPr="00D14EDB">
        <w:t>unintended consequences.</w:t>
      </w:r>
      <w:r w:rsidR="0056179C" w:rsidRPr="006803A1">
        <w:t xml:space="preserve"> One potentially noteworthy unintended consequence would be the potential for the requirements to capture smaller </w:t>
      </w:r>
      <w:r w:rsidR="00E1546F" w:rsidRPr="006803A1">
        <w:t>buildings</w:t>
      </w:r>
      <w:r w:rsidR="0056179C" w:rsidRPr="006803A1">
        <w:t xml:space="preserve">, or potentially even buildings of other classifications. The former issue is intended to be </w:t>
      </w:r>
      <w:r w:rsidR="00752541">
        <w:t>treated</w:t>
      </w:r>
      <w:r w:rsidR="0056179C" w:rsidRPr="006803A1">
        <w:t xml:space="preserve">, to the </w:t>
      </w:r>
      <w:r w:rsidR="00E1546F" w:rsidRPr="00866060">
        <w:t>extent</w:t>
      </w:r>
      <w:r w:rsidR="0056179C" w:rsidRPr="001E5FAC">
        <w:t xml:space="preserve"> possible, by the imposition of </w:t>
      </w:r>
      <w:r w:rsidR="00752541">
        <w:t>minimum</w:t>
      </w:r>
      <w:r w:rsidR="0056179C" w:rsidRPr="001E5FAC">
        <w:t xml:space="preserve"> </w:t>
      </w:r>
      <w:r w:rsidR="00E1546F" w:rsidRPr="001E5FAC">
        <w:t>thresholds</w:t>
      </w:r>
      <w:r w:rsidR="0056179C" w:rsidRPr="001E5FAC">
        <w:t xml:space="preserve"> as described in </w:t>
      </w:r>
      <w:r w:rsidR="005311A3">
        <w:t>S</w:t>
      </w:r>
      <w:r w:rsidR="0056179C" w:rsidRPr="001E5FAC">
        <w:t xml:space="preserve">ection </w:t>
      </w:r>
      <w:r w:rsidR="0056179C" w:rsidRPr="00B208D1">
        <w:fldChar w:fldCharType="begin"/>
      </w:r>
      <w:r w:rsidR="0056179C" w:rsidRPr="001E5FAC">
        <w:instrText xml:space="preserve"> REF _Ref517944896 \r \h </w:instrText>
      </w:r>
      <w:r w:rsidR="001E5FAC">
        <w:instrText xml:space="preserve"> \* MERGEFORMAT </w:instrText>
      </w:r>
      <w:r w:rsidR="0056179C" w:rsidRPr="00B208D1">
        <w:fldChar w:fldCharType="separate"/>
      </w:r>
      <w:r w:rsidR="00910A73">
        <w:t>7.2.1</w:t>
      </w:r>
      <w:r w:rsidR="0056179C" w:rsidRPr="00B208D1">
        <w:fldChar w:fldCharType="end"/>
      </w:r>
      <w:r w:rsidR="0056179C" w:rsidRPr="001E5FAC">
        <w:t xml:space="preserve">. The latter is a definitional issue of the respective </w:t>
      </w:r>
      <w:r w:rsidR="00E1546F" w:rsidRPr="001E5FAC">
        <w:t>building</w:t>
      </w:r>
      <w:r w:rsidR="0056179C" w:rsidRPr="001E5FAC">
        <w:t xml:space="preserve"> classifications and is outside the </w:t>
      </w:r>
      <w:r w:rsidR="00E1546F" w:rsidRPr="001E5FAC">
        <w:t>scope</w:t>
      </w:r>
      <w:r w:rsidR="0056179C" w:rsidRPr="001E5FAC">
        <w:t xml:space="preserve"> of this RIS.</w:t>
      </w:r>
      <w:r w:rsidR="00CC2143">
        <w:rPr>
          <w:b/>
          <w:i/>
        </w:rPr>
        <w:br w:type="page"/>
      </w:r>
    </w:p>
    <w:p w:rsidR="002A08D1" w:rsidRPr="001E5FAC" w:rsidRDefault="0019117E" w:rsidP="00363EB8">
      <w:pPr>
        <w:pBdr>
          <w:top w:val="single" w:sz="4" w:space="1" w:color="auto"/>
          <w:left w:val="single" w:sz="4" w:space="4" w:color="auto"/>
          <w:bottom w:val="single" w:sz="4" w:space="1" w:color="auto"/>
          <w:right w:val="single" w:sz="4" w:space="4" w:color="auto"/>
        </w:pBdr>
        <w:shd w:val="clear" w:color="auto" w:fill="FFE600"/>
        <w:jc w:val="left"/>
        <w:rPr>
          <w:rFonts w:cs="Arial"/>
          <w:b/>
          <w:i/>
          <w:szCs w:val="24"/>
        </w:rPr>
      </w:pPr>
      <w:r w:rsidRPr="001E5FAC">
        <w:rPr>
          <w:rFonts w:cs="Arial"/>
          <w:b/>
          <w:i/>
          <w:szCs w:val="24"/>
        </w:rPr>
        <w:lastRenderedPageBreak/>
        <w:t>End user c</w:t>
      </w:r>
      <w:r w:rsidR="00DB1504" w:rsidRPr="001E5FAC">
        <w:rPr>
          <w:rFonts w:cs="Arial"/>
          <w:b/>
          <w:i/>
          <w:szCs w:val="24"/>
        </w:rPr>
        <w:t>onsultation findings</w:t>
      </w:r>
    </w:p>
    <w:p w:rsidR="00A75CF2" w:rsidRPr="001E5FAC" w:rsidRDefault="002A08D1" w:rsidP="00363EB8">
      <w:p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sidRPr="001E5FAC">
        <w:rPr>
          <w:rFonts w:cs="Arial"/>
          <w:szCs w:val="24"/>
        </w:rPr>
        <w:t xml:space="preserve">All participants were also adamant that entry to the facilities should be restricted through a key card access system to help reduce vandalism, ensure the cleanliness and hygiene of the facilities, and minimise the possibility of them being used as places for the homeless to sleep, </w:t>
      </w:r>
      <w:r w:rsidR="00E40F66" w:rsidRPr="001E5FAC">
        <w:rPr>
          <w:rFonts w:cs="Arial"/>
          <w:szCs w:val="24"/>
        </w:rPr>
        <w:t>use</w:t>
      </w:r>
      <w:r w:rsidR="006716F2" w:rsidRPr="001E5FAC">
        <w:rPr>
          <w:rFonts w:cs="Arial"/>
          <w:szCs w:val="24"/>
        </w:rPr>
        <w:t>d</w:t>
      </w:r>
      <w:r w:rsidR="00E40F66" w:rsidRPr="001E5FAC">
        <w:rPr>
          <w:rFonts w:cs="Arial"/>
          <w:szCs w:val="24"/>
        </w:rPr>
        <w:t xml:space="preserve"> for illicit purposes</w:t>
      </w:r>
      <w:r w:rsidRPr="001E5FAC">
        <w:rPr>
          <w:rFonts w:cs="Arial"/>
          <w:szCs w:val="24"/>
        </w:rPr>
        <w:t xml:space="preserve">, and others to largely abuse and destroy, all of which further reduces access and inclusivity for people with </w:t>
      </w:r>
      <w:r w:rsidR="0007373A">
        <w:rPr>
          <w:rFonts w:cs="Arial"/>
          <w:szCs w:val="24"/>
        </w:rPr>
        <w:t xml:space="preserve">complex </w:t>
      </w:r>
      <w:r w:rsidRPr="001E5FAC">
        <w:rPr>
          <w:rFonts w:cs="Arial"/>
          <w:szCs w:val="24"/>
        </w:rPr>
        <w:t>disability.</w:t>
      </w:r>
    </w:p>
    <w:p w:rsidR="002A08D1" w:rsidRPr="001E5FAC" w:rsidRDefault="002A08D1" w:rsidP="00363EB8">
      <w:pPr>
        <w:pBdr>
          <w:top w:val="single" w:sz="4" w:space="1" w:color="auto"/>
          <w:left w:val="single" w:sz="4" w:space="4" w:color="auto"/>
          <w:bottom w:val="single" w:sz="4" w:space="1" w:color="auto"/>
          <w:right w:val="single" w:sz="4" w:space="4" w:color="auto"/>
        </w:pBdr>
        <w:shd w:val="clear" w:color="auto" w:fill="FFE600"/>
        <w:spacing w:line="240" w:lineRule="auto"/>
        <w:jc w:val="left"/>
        <w:rPr>
          <w:rFonts w:cs="Arial"/>
          <w:szCs w:val="24"/>
        </w:rPr>
      </w:pPr>
      <w:r w:rsidRPr="001E5FAC">
        <w:rPr>
          <w:rStyle w:val="SubtleEmphasis"/>
          <w:rFonts w:cs="Arial"/>
          <w:color w:val="auto"/>
          <w:szCs w:val="24"/>
        </w:rPr>
        <w:t>“I visited three of them [</w:t>
      </w:r>
      <w:r w:rsidR="00CA7E80" w:rsidRPr="001E5FAC">
        <w:rPr>
          <w:rStyle w:val="SubtleEmphasis"/>
          <w:rFonts w:cs="Arial"/>
          <w:color w:val="auto"/>
          <w:szCs w:val="24"/>
        </w:rPr>
        <w:t>C</w:t>
      </w:r>
      <w:r w:rsidRPr="001E5FAC">
        <w:rPr>
          <w:rStyle w:val="SubtleEmphasis"/>
          <w:rFonts w:cs="Arial"/>
          <w:color w:val="auto"/>
          <w:szCs w:val="24"/>
        </w:rPr>
        <w:t xml:space="preserve">hanging </w:t>
      </w:r>
      <w:r w:rsidR="00CA7E80" w:rsidRPr="001E5FAC">
        <w:rPr>
          <w:rStyle w:val="SubtleEmphasis"/>
          <w:rFonts w:cs="Arial"/>
          <w:color w:val="auto"/>
          <w:szCs w:val="24"/>
        </w:rPr>
        <w:t>P</w:t>
      </w:r>
      <w:r w:rsidRPr="001E5FAC">
        <w:rPr>
          <w:rStyle w:val="SubtleEmphasis"/>
          <w:rFonts w:cs="Arial"/>
          <w:color w:val="auto"/>
          <w:szCs w:val="24"/>
        </w:rPr>
        <w:t xml:space="preserve">laces facilities] a few weeks ago to assess their suitability for </w:t>
      </w:r>
      <w:r w:rsidR="00E3049C" w:rsidRPr="001E5FAC">
        <w:rPr>
          <w:rStyle w:val="SubtleEmphasis"/>
          <w:rFonts w:cs="Arial"/>
          <w:color w:val="auto"/>
          <w:szCs w:val="24"/>
        </w:rPr>
        <w:t>[my son]</w:t>
      </w:r>
      <w:r w:rsidRPr="001E5FAC">
        <w:rPr>
          <w:rStyle w:val="SubtleEmphasis"/>
          <w:rFonts w:cs="Arial"/>
          <w:color w:val="auto"/>
          <w:szCs w:val="24"/>
        </w:rPr>
        <w:t xml:space="preserve">, but I would NOT have used any of them they were so filthy, unhygienic, and not maintained.  They were just open to everyone to abuse …” </w:t>
      </w:r>
      <w:r w:rsidRPr="001E5FAC">
        <w:rPr>
          <w:rFonts w:eastAsia="Calibri" w:cs="Arial"/>
          <w:szCs w:val="24"/>
        </w:rPr>
        <w:t>(Mother,</w:t>
      </w:r>
      <w:r w:rsidR="00363EB8" w:rsidRPr="001E5FAC">
        <w:rPr>
          <w:rFonts w:eastAsia="Calibri" w:cs="Arial"/>
          <w:szCs w:val="24"/>
        </w:rPr>
        <w:t> </w:t>
      </w:r>
      <w:r w:rsidRPr="001E5FAC">
        <w:rPr>
          <w:rFonts w:eastAsia="Calibri" w:cs="Arial"/>
          <w:szCs w:val="24"/>
        </w:rPr>
        <w:t>VIC)</w:t>
      </w:r>
      <w:r w:rsidR="007616E1">
        <w:rPr>
          <w:rFonts w:eastAsia="Calibri" w:cs="Arial"/>
          <w:szCs w:val="24"/>
        </w:rPr>
        <w:t>.</w:t>
      </w:r>
    </w:p>
    <w:p w:rsidR="006B112B" w:rsidRPr="001E5FAC" w:rsidRDefault="008F3849" w:rsidP="006B112B">
      <w:pPr>
        <w:pBdr>
          <w:top w:val="single" w:sz="4" w:space="1" w:color="auto"/>
          <w:left w:val="single" w:sz="4" w:space="1" w:color="auto"/>
          <w:bottom w:val="single" w:sz="4" w:space="1" w:color="auto"/>
          <w:right w:val="single" w:sz="4" w:space="1" w:color="auto"/>
        </w:pBdr>
        <w:shd w:val="clear" w:color="auto" w:fill="D9D9D9" w:themeFill="background1" w:themeFillShade="D9"/>
        <w:rPr>
          <w:b/>
        </w:rPr>
      </w:pPr>
      <w:r w:rsidRPr="001E5FAC">
        <w:rPr>
          <w:b/>
        </w:rPr>
        <w:t>Consultation q</w:t>
      </w:r>
      <w:r w:rsidR="002E0AC9" w:rsidRPr="001E5FAC">
        <w:rPr>
          <w:b/>
        </w:rPr>
        <w:t>uestion</w:t>
      </w:r>
      <w:r w:rsidR="00AB1EB2" w:rsidRPr="001E5FAC">
        <w:rPr>
          <w:b/>
        </w:rPr>
        <w:t>s</w:t>
      </w:r>
    </w:p>
    <w:p w:rsidR="00D70B26" w:rsidRPr="001E5FAC" w:rsidRDefault="00955B95" w:rsidP="00400534">
      <w:pPr>
        <w:pStyle w:val="EYBulletedText1"/>
        <w:pBdr>
          <w:top w:val="single" w:sz="4" w:space="1" w:color="auto"/>
          <w:left w:val="single" w:sz="4" w:space="1" w:color="auto"/>
          <w:bottom w:val="single" w:sz="4" w:space="1" w:color="auto"/>
          <w:right w:val="single" w:sz="4" w:space="1" w:color="auto"/>
        </w:pBdr>
        <w:shd w:val="clear" w:color="auto" w:fill="D9D9D9" w:themeFill="background1" w:themeFillShade="D9"/>
      </w:pPr>
      <w:bookmarkStart w:id="578" w:name="_Ref506883513"/>
      <w:r w:rsidRPr="001E5FAC">
        <w:t>What do you consider to be the policy implications of these findings?</w:t>
      </w:r>
    </w:p>
    <w:p w:rsidR="00D70B26" w:rsidRPr="001E5FAC" w:rsidRDefault="00D70B26" w:rsidP="00400534">
      <w:pPr>
        <w:pStyle w:val="EYBulletedText1"/>
        <w:pBdr>
          <w:top w:val="single" w:sz="4" w:space="1" w:color="auto"/>
          <w:left w:val="single" w:sz="4" w:space="1" w:color="auto"/>
          <w:bottom w:val="single" w:sz="4" w:space="1" w:color="auto"/>
          <w:right w:val="single" w:sz="4" w:space="1" w:color="auto"/>
        </w:pBdr>
        <w:shd w:val="clear" w:color="auto" w:fill="D9D9D9" w:themeFill="background1" w:themeFillShade="D9"/>
      </w:pPr>
      <w:r w:rsidRPr="001E5FAC">
        <w:t>Do you agree that AACFs should be mandated for shopping centres with a design occupancy in excess of 2000 people?</w:t>
      </w:r>
    </w:p>
    <w:p w:rsidR="00D70B26" w:rsidRPr="001E5FAC" w:rsidRDefault="00D70B26" w:rsidP="00400534">
      <w:pPr>
        <w:pStyle w:val="EYBulletedText1"/>
        <w:pBdr>
          <w:top w:val="single" w:sz="4" w:space="1" w:color="auto"/>
          <w:left w:val="single" w:sz="4" w:space="1" w:color="auto"/>
          <w:bottom w:val="single" w:sz="4" w:space="1" w:color="auto"/>
          <w:right w:val="single" w:sz="4" w:space="1" w:color="auto"/>
        </w:pBdr>
        <w:shd w:val="clear" w:color="auto" w:fill="D9D9D9" w:themeFill="background1" w:themeFillShade="D9"/>
      </w:pPr>
      <w:r w:rsidRPr="001E5FAC">
        <w:t>Should AACFs be mandated for museums and stadiums? If so, what should the ‘cut-off’ thresholds be for incorporation into the NCC?</w:t>
      </w:r>
    </w:p>
    <w:p w:rsidR="00955B95" w:rsidRPr="001E5FAC" w:rsidRDefault="00D70B26" w:rsidP="00400534">
      <w:pPr>
        <w:pStyle w:val="EYBulletedText1"/>
        <w:pBdr>
          <w:top w:val="single" w:sz="4" w:space="1" w:color="auto"/>
          <w:left w:val="single" w:sz="4" w:space="1" w:color="auto"/>
          <w:bottom w:val="single" w:sz="4" w:space="1" w:color="auto"/>
          <w:right w:val="single" w:sz="4" w:space="1" w:color="auto"/>
        </w:pBdr>
        <w:shd w:val="clear" w:color="auto" w:fill="D9D9D9" w:themeFill="background1" w:themeFillShade="D9"/>
      </w:pPr>
      <w:r w:rsidRPr="001E5FAC">
        <w:t>Are there any other thresholds apart from design occupancy/seating capacity that could be used to trigger the requirement for an AACF?</w:t>
      </w:r>
    </w:p>
    <w:p w:rsidR="00527A90" w:rsidRPr="00BF33A8" w:rsidRDefault="00527A90" w:rsidP="00527A90">
      <w:pPr>
        <w:rPr>
          <w:sz w:val="2"/>
          <w:szCs w:val="2"/>
        </w:rPr>
      </w:pPr>
      <w:bookmarkStart w:id="579" w:name="_Ref506883524"/>
      <w:bookmarkEnd w:id="578"/>
    </w:p>
    <w:p w:rsidR="00D70B26" w:rsidRPr="00AF7114" w:rsidRDefault="002157BB" w:rsidP="0040053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pPr>
      <w:r w:rsidRPr="00AF7114">
        <w:t>Stakeholder feedback</w:t>
      </w:r>
    </w:p>
    <w:p w:rsidR="00C94580" w:rsidRPr="00AF7114" w:rsidRDefault="00D70B26" w:rsidP="0040053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sidRPr="00AF7114">
        <w:rPr>
          <w:b w:val="0"/>
        </w:rPr>
        <w:t xml:space="preserve">A wide variety of responses were provided covering topics such as the need to control access to AACFs to prevent misuse and this control conflicting with various accessibility requirements, the inclusion of AACFs in public buildings meeting the requirements and/or intent of published government strategies and plans, and the perceived lack of feasibility of implementation at rail stations. </w:t>
      </w:r>
      <w:r w:rsidR="00311D62" w:rsidRPr="00AF7114">
        <w:rPr>
          <w:b w:val="0"/>
        </w:rPr>
        <w:t>TfNSW discussed the key challenges in establishing an</w:t>
      </w:r>
      <w:r w:rsidR="007616E1">
        <w:rPr>
          <w:b w:val="0"/>
        </w:rPr>
        <w:t>d</w:t>
      </w:r>
      <w:r w:rsidR="00311D62" w:rsidRPr="00AF7114">
        <w:rPr>
          <w:b w:val="0"/>
        </w:rPr>
        <w:t xml:space="preserve"> operationalising the policy in the form of a two-step process </w:t>
      </w:r>
      <w:r w:rsidR="00C94580" w:rsidRPr="00AF7114">
        <w:rPr>
          <w:b w:val="0"/>
        </w:rPr>
        <w:t xml:space="preserve">and concluded: </w:t>
      </w:r>
    </w:p>
    <w:p w:rsidR="002D7A82" w:rsidRPr="001E5FAC" w:rsidRDefault="00C94580" w:rsidP="0040053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rPr>
          <w:rFonts w:eastAsia="Times New Roman" w:cs="Arial"/>
          <w:sz w:val="36"/>
          <w:szCs w:val="24"/>
        </w:rPr>
      </w:pPr>
      <w:r w:rsidRPr="00AF7114">
        <w:rPr>
          <w:b w:val="0"/>
        </w:rPr>
        <w:t>“</w:t>
      </w:r>
      <w:r w:rsidRPr="00AF7114">
        <w:rPr>
          <w:b w:val="0"/>
          <w:i/>
        </w:rPr>
        <w:t>The activities outlined above represent considerable investment of budget and resource that sit over and above the assessed costs to build and maintain an AACF as represented in the RIS. Further, consideration may need to also be made for the potential perverse outcome and policy decision to not include any toilet facilities for customer use in transport environments as provision of these requirements are costly to install and maintain in existing sites where demand is low</w:t>
      </w:r>
      <w:r w:rsidRPr="00AF7114">
        <w:rPr>
          <w:b w:val="0"/>
        </w:rPr>
        <w:t>.”</w:t>
      </w:r>
      <w:r w:rsidR="00311D62" w:rsidRPr="00AF7114">
        <w:rPr>
          <w:b w:val="0"/>
        </w:rPr>
        <w:t xml:space="preserve"> </w:t>
      </w:r>
      <w:bookmarkStart w:id="580" w:name="_Toc408237970"/>
      <w:bookmarkStart w:id="581" w:name="_Toc408314162"/>
      <w:bookmarkStart w:id="582" w:name="_Toc504063187"/>
      <w:bookmarkStart w:id="583" w:name="_Toc504388877"/>
      <w:bookmarkStart w:id="584" w:name="_Toc504401728"/>
      <w:bookmarkStart w:id="585" w:name="_Toc504649934"/>
      <w:bookmarkEnd w:id="571"/>
      <w:bookmarkEnd w:id="572"/>
      <w:bookmarkEnd w:id="579"/>
    </w:p>
    <w:p w:rsidR="00C87639" w:rsidRDefault="00C87639">
      <w:pPr>
        <w:jc w:val="left"/>
        <w:rPr>
          <w:rFonts w:eastAsia="Times New Roman" w:cs="Arial"/>
          <w:b/>
          <w:bCs/>
          <w:sz w:val="36"/>
          <w:szCs w:val="24"/>
        </w:rPr>
      </w:pPr>
      <w:r>
        <w:br w:type="page"/>
      </w:r>
    </w:p>
    <w:p w:rsidR="00415B0A" w:rsidRPr="00AF7114" w:rsidRDefault="00A33977" w:rsidP="00DB1162">
      <w:pPr>
        <w:pStyle w:val="Heading1"/>
      </w:pPr>
      <w:bookmarkStart w:id="586" w:name="_Toc525897804"/>
      <w:r w:rsidRPr="001E5FAC">
        <w:lastRenderedPageBreak/>
        <w:t>Conclusion</w:t>
      </w:r>
      <w:bookmarkEnd w:id="580"/>
      <w:bookmarkEnd w:id="581"/>
      <w:r w:rsidR="007655E3" w:rsidRPr="001E5FAC">
        <w:t>s</w:t>
      </w:r>
      <w:bookmarkEnd w:id="586"/>
      <w:r w:rsidR="007655E3" w:rsidRPr="001E5FAC">
        <w:t xml:space="preserve"> </w:t>
      </w:r>
      <w:bookmarkEnd w:id="582"/>
      <w:bookmarkEnd w:id="583"/>
      <w:bookmarkEnd w:id="584"/>
      <w:bookmarkEnd w:id="585"/>
    </w:p>
    <w:p w:rsidR="00613FC9" w:rsidRPr="00AF7114" w:rsidRDefault="006716F2" w:rsidP="00BC5184">
      <w:pPr>
        <w:pStyle w:val="EYBodytextwithparaspace"/>
        <w:spacing w:after="200"/>
      </w:pPr>
      <w:r w:rsidRPr="00AF7114">
        <w:t xml:space="preserve">The findings of this </w:t>
      </w:r>
      <w:r w:rsidR="00330040" w:rsidRPr="00AF7114">
        <w:t xml:space="preserve">Final RIS </w:t>
      </w:r>
      <w:r w:rsidRPr="00AF7114">
        <w:t xml:space="preserve">support the proposal that </w:t>
      </w:r>
      <w:r w:rsidR="003E4334" w:rsidRPr="00AF7114">
        <w:t>the NCC and Premise</w:t>
      </w:r>
      <w:r w:rsidR="00661CFA" w:rsidRPr="00AF7114">
        <w:t>s</w:t>
      </w:r>
      <w:r w:rsidR="003E4334" w:rsidRPr="00AF7114">
        <w:t xml:space="preserve"> Standards be amended to </w:t>
      </w:r>
      <w:r w:rsidR="00D36BEA" w:rsidRPr="00AF7114">
        <w:t xml:space="preserve">require </w:t>
      </w:r>
      <w:r w:rsidR="00774F1C" w:rsidRPr="00AF7114">
        <w:t xml:space="preserve">co-located </w:t>
      </w:r>
      <w:r w:rsidRPr="00AF7114">
        <w:t xml:space="preserve">AACFs </w:t>
      </w:r>
      <w:r w:rsidR="00613FC9" w:rsidRPr="00AF7114">
        <w:t>for the following building types:</w:t>
      </w:r>
      <w:r w:rsidRPr="00AF7114">
        <w:t xml:space="preserve"> </w:t>
      </w:r>
    </w:p>
    <w:p w:rsidR="00613FC9" w:rsidRPr="00AF7114" w:rsidRDefault="006716F2" w:rsidP="00DB1162">
      <w:pPr>
        <w:pStyle w:val="EYBulletedText1"/>
      </w:pPr>
      <w:r w:rsidRPr="00AF7114">
        <w:t xml:space="preserve">Class 6 shopping centres </w:t>
      </w:r>
      <w:r w:rsidR="007D4A30" w:rsidRPr="00AF7114">
        <w:t>with a design occupancy in excess of 3,500</w:t>
      </w:r>
      <w:r w:rsidR="00AF7114">
        <w:t>.</w:t>
      </w:r>
      <w:r w:rsidR="007D4A30" w:rsidRPr="00AF7114">
        <w:t xml:space="preserve"> </w:t>
      </w:r>
    </w:p>
    <w:p w:rsidR="00613FC9" w:rsidRPr="00AF7114" w:rsidRDefault="00D36BEA" w:rsidP="00DB1162">
      <w:pPr>
        <w:pStyle w:val="EYBulletedText1"/>
      </w:pPr>
      <w:r w:rsidRPr="00AF7114">
        <w:t>C</w:t>
      </w:r>
      <w:r w:rsidR="00661CFA" w:rsidRPr="00AF7114">
        <w:t xml:space="preserve">lass 9b buildings </w:t>
      </w:r>
      <w:r w:rsidRPr="00AF7114">
        <w:t>where</w:t>
      </w:r>
      <w:r w:rsidR="00661CFA" w:rsidRPr="00BE7C80">
        <w:t xml:space="preserve"> installation of an AACF is warranted include museums</w:t>
      </w:r>
      <w:r w:rsidR="00F64260" w:rsidRPr="008B18B7">
        <w:t>, theatres</w:t>
      </w:r>
      <w:r w:rsidR="007D4A30" w:rsidRPr="00AF7114">
        <w:t xml:space="preserve"> and </w:t>
      </w:r>
      <w:r w:rsidR="00AF7114" w:rsidRPr="00AF7114">
        <w:t>art galleries</w:t>
      </w:r>
      <w:r w:rsidR="007D4A30" w:rsidRPr="00AF7114">
        <w:t xml:space="preserve"> with design occupancy greater than 1,500,</w:t>
      </w:r>
      <w:r w:rsidRPr="00AF7114">
        <w:t xml:space="preserve"> </w:t>
      </w:r>
      <w:r w:rsidR="00661CFA" w:rsidRPr="00AF7114">
        <w:t>indoor aquatic facilities</w:t>
      </w:r>
      <w:r w:rsidR="007D4A30" w:rsidRPr="00AF7114">
        <w:t xml:space="preserve"> with a main </w:t>
      </w:r>
      <w:r w:rsidR="00311261">
        <w:t xml:space="preserve">swimming </w:t>
      </w:r>
      <w:r w:rsidR="007D4A30" w:rsidRPr="00AF7114">
        <w:t>pool area perimeter greater than 70m</w:t>
      </w:r>
      <w:r w:rsidRPr="00AF7114">
        <w:t>,</w:t>
      </w:r>
      <w:r w:rsidR="00304F01" w:rsidRPr="00AF7114">
        <w:t xml:space="preserve"> stadiums</w:t>
      </w:r>
      <w:r w:rsidR="007D4A30" w:rsidRPr="00AF7114">
        <w:t xml:space="preserve"> with design occupancy (seating capacity) greater than 35,000</w:t>
      </w:r>
      <w:r w:rsidR="00304F01" w:rsidRPr="00AF7114">
        <w:t>,</w:t>
      </w:r>
      <w:r w:rsidR="00661CFA" w:rsidRPr="00AF7114">
        <w:t xml:space="preserve"> and</w:t>
      </w:r>
      <w:r w:rsidR="0007373A">
        <w:t xml:space="preserve"> new</w:t>
      </w:r>
      <w:r w:rsidR="00661CFA" w:rsidRPr="00AF7114">
        <w:t xml:space="preserve"> airports</w:t>
      </w:r>
      <w:r w:rsidR="0007373A">
        <w:t xml:space="preserve"> and airport redevelopments</w:t>
      </w:r>
      <w:r w:rsidR="00661CFA" w:rsidRPr="00AF7114">
        <w:t>.</w:t>
      </w:r>
    </w:p>
    <w:p w:rsidR="00661CFA" w:rsidRPr="00AF7114" w:rsidRDefault="00613FC9" w:rsidP="00CC2143">
      <w:pPr>
        <w:pStyle w:val="EYBodytextwithparaspace"/>
      </w:pPr>
      <w:r w:rsidRPr="00AF7114">
        <w:t>Owing to a range of other barriers to public transport usage unrelated to toileting needs, and a wide disparity in the types and likely usage of public halls, i</w:t>
      </w:r>
      <w:r w:rsidR="00661CFA" w:rsidRPr="00AF7114">
        <w:t>t is not recommended that AACFs be mandated in public transport buildings or public halls.</w:t>
      </w:r>
    </w:p>
    <w:p w:rsidR="007C10D3" w:rsidRPr="00AF7114" w:rsidRDefault="00BE2911" w:rsidP="004A5772">
      <w:pPr>
        <w:pStyle w:val="EYBodytextwithparaspace"/>
      </w:pPr>
      <w:r w:rsidRPr="00AF7114">
        <w:t>T</w:t>
      </w:r>
      <w:r w:rsidR="004C00D1" w:rsidRPr="00AF7114">
        <w:t>h</w:t>
      </w:r>
      <w:r w:rsidR="003E4334" w:rsidRPr="00AF7114">
        <w:t xml:space="preserve">is </w:t>
      </w:r>
      <w:r w:rsidR="007D4A30" w:rsidRPr="00AF7114">
        <w:t xml:space="preserve">recommendation </w:t>
      </w:r>
      <w:r w:rsidR="003E4334" w:rsidRPr="00AF7114">
        <w:t xml:space="preserve">reflects </w:t>
      </w:r>
      <w:r w:rsidR="00D36BEA" w:rsidRPr="00AF7114">
        <w:t xml:space="preserve">new analysis accounting for a revised </w:t>
      </w:r>
      <w:r w:rsidR="007E6A42" w:rsidRPr="00AF7114">
        <w:t>specification</w:t>
      </w:r>
      <w:r w:rsidR="00D36BEA" w:rsidRPr="00AF7114">
        <w:t xml:space="preserve"> and </w:t>
      </w:r>
      <w:r w:rsidR="003E4334" w:rsidRPr="00AF7114">
        <w:t xml:space="preserve">the views expressed by stakeholders and the public over two rounds of consultation during </w:t>
      </w:r>
      <w:r w:rsidR="00D36BEA" w:rsidRPr="00AF7114">
        <w:t>interviews with end users</w:t>
      </w:r>
      <w:r w:rsidR="003E4334" w:rsidRPr="00AF7114">
        <w:t xml:space="preserve">, and in response to the Consultation RIS. </w:t>
      </w:r>
      <w:r w:rsidRPr="00AF7114">
        <w:t xml:space="preserve">While </w:t>
      </w:r>
      <w:r w:rsidR="003E4334" w:rsidRPr="00AF7114">
        <w:t>the limitations of the quantitative analysis are acknowledged, it is considered</w:t>
      </w:r>
      <w:r w:rsidR="00613FC9" w:rsidRPr="00AF7114">
        <w:t xml:space="preserve"> that</w:t>
      </w:r>
      <w:r w:rsidR="003E4334" w:rsidRPr="00AF7114">
        <w:t xml:space="preserve"> </w:t>
      </w:r>
      <w:r w:rsidR="00D36BEA" w:rsidRPr="00AF7114">
        <w:t xml:space="preserve">it demonstrates a clear economic case for </w:t>
      </w:r>
      <w:r w:rsidR="00F32BDE" w:rsidRPr="00AF7114">
        <w:t xml:space="preserve">delivering increased equity, dignity and social activation for some of the most disadvantaged members of society. </w:t>
      </w:r>
      <w:r w:rsidR="00613FC9" w:rsidRPr="00AF7114">
        <w:t xml:space="preserve">Owing to the broad spectrum of </w:t>
      </w:r>
      <w:r w:rsidR="00DB1162" w:rsidRPr="00AF7114">
        <w:t>qualitative</w:t>
      </w:r>
      <w:r w:rsidR="00613FC9" w:rsidRPr="00AF7114">
        <w:t xml:space="preserve"> benefits described in this Final RIS, it is also considered that the quantified benefits represent a lower bound estimate of the full economic and social benefits that will accrue.</w:t>
      </w:r>
    </w:p>
    <w:p w:rsidR="00BC218E" w:rsidRPr="001E5FAC" w:rsidRDefault="00613FC9" w:rsidP="009260BA">
      <w:pPr>
        <w:pStyle w:val="EYBodytextwithparaspace"/>
        <w:rPr>
          <w:b/>
          <w:sz w:val="32"/>
        </w:rPr>
        <w:sectPr w:rsidR="00BC218E" w:rsidRPr="001E5FAC" w:rsidSect="00EF3069">
          <w:pgSz w:w="11906" w:h="16838" w:code="9"/>
          <w:pgMar w:top="2268" w:right="851" w:bottom="851" w:left="1418" w:header="709" w:footer="567" w:gutter="0"/>
          <w:pgNumType w:start="1"/>
          <w:cols w:space="708"/>
          <w:docGrid w:linePitch="360"/>
        </w:sectPr>
      </w:pPr>
      <w:r w:rsidRPr="00AF7114">
        <w:t>Finally</w:t>
      </w:r>
      <w:r w:rsidR="00F32BDE" w:rsidRPr="00AF7114">
        <w:t xml:space="preserve">, </w:t>
      </w:r>
      <w:r w:rsidR="00661CFA" w:rsidRPr="00AF7114">
        <w:t xml:space="preserve">it is </w:t>
      </w:r>
      <w:r w:rsidR="001F4C15" w:rsidRPr="00AF7114">
        <w:t xml:space="preserve">considered that </w:t>
      </w:r>
      <w:r w:rsidR="00661CFA" w:rsidRPr="00AF7114">
        <w:t>that the</w:t>
      </w:r>
      <w:r w:rsidR="00F32BDE" w:rsidRPr="00AF7114">
        <w:t xml:space="preserve"> economic and social benefits from </w:t>
      </w:r>
      <w:r w:rsidR="00661CFA" w:rsidRPr="00AF7114">
        <w:t xml:space="preserve">a greater uptake of AACFs </w:t>
      </w:r>
      <w:r w:rsidR="00B165FF" w:rsidRPr="00AF7114">
        <w:t>would be distributed across society</w:t>
      </w:r>
      <w:r w:rsidR="00791AA4" w:rsidRPr="00AF7114">
        <w:t xml:space="preserve"> due to increased participation from those directly affected,</w:t>
      </w:r>
      <w:r w:rsidR="00B165FF" w:rsidRPr="00AF7114">
        <w:t xml:space="preserve"> </w:t>
      </w:r>
      <w:r w:rsidR="00661CFA" w:rsidRPr="00AF7114">
        <w:t xml:space="preserve">as well as those around them </w:t>
      </w:r>
      <w:r w:rsidR="00D36BEA" w:rsidRPr="00AF7114">
        <w:t xml:space="preserve">including </w:t>
      </w:r>
      <w:r w:rsidR="00661CFA" w:rsidRPr="00AF7114">
        <w:t>their carers and family members.</w:t>
      </w:r>
    </w:p>
    <w:p w:rsidR="00D5643A" w:rsidRPr="001E5FAC" w:rsidRDefault="00D5643A" w:rsidP="00407AFB">
      <w:pPr>
        <w:pStyle w:val="EYAppendix"/>
      </w:pPr>
      <w:bookmarkStart w:id="587" w:name="_Ref506811113"/>
      <w:bookmarkStart w:id="588" w:name="_Toc525897805"/>
      <w:bookmarkStart w:id="589" w:name="_Toc504063189"/>
      <w:bookmarkStart w:id="590" w:name="_Toc504388879"/>
      <w:bookmarkStart w:id="591" w:name="_Toc504401730"/>
      <w:r w:rsidRPr="001E5FAC">
        <w:lastRenderedPageBreak/>
        <w:t>Modelling assumptions</w:t>
      </w:r>
      <w:bookmarkEnd w:id="587"/>
      <w:bookmarkEnd w:id="588"/>
    </w:p>
    <w:p w:rsidR="00D5643A" w:rsidRPr="001E5FAC" w:rsidRDefault="00D5643A" w:rsidP="00D5643A">
      <w:pPr>
        <w:pStyle w:val="EYBodytextwithparaspace"/>
      </w:pPr>
      <w:r w:rsidRPr="001E5FAC">
        <w:t xml:space="preserve">This Appendix details the range of assumptions necessary </w:t>
      </w:r>
      <w:r w:rsidR="00E75DDE" w:rsidRPr="001E5FAC">
        <w:t>to</w:t>
      </w:r>
      <w:r w:rsidRPr="001E5FAC">
        <w:t xml:space="preserve"> estimat</w:t>
      </w:r>
      <w:r w:rsidR="00E75DDE" w:rsidRPr="001E5FAC">
        <w:t>e</w:t>
      </w:r>
      <w:r w:rsidRPr="001E5FAC">
        <w:t xml:space="preserve"> the value of additional trips.</w:t>
      </w:r>
    </w:p>
    <w:p w:rsidR="00D5643A" w:rsidRPr="001E5FAC" w:rsidRDefault="00D5643A" w:rsidP="009260BA">
      <w:pPr>
        <w:pStyle w:val="EYAppendixHeading2"/>
      </w:pPr>
      <w:r w:rsidRPr="001E5FAC">
        <w:t xml:space="preserve">Distance, travel time and value of time </w:t>
      </w:r>
    </w:p>
    <w:p w:rsidR="00D5643A" w:rsidRPr="001E5FAC" w:rsidRDefault="00D5643A" w:rsidP="00D5643A">
      <w:pPr>
        <w:pStyle w:val="EYBodytextwithparaspace"/>
      </w:pPr>
      <w:r w:rsidRPr="001E5FAC">
        <w:t xml:space="preserve">Assumptions regarding the estimated distance travelled and the time taken to make each trip are provided below. </w:t>
      </w:r>
      <w:r w:rsidR="007C7718" w:rsidRPr="001E5FAC">
        <w:t>T</w:t>
      </w:r>
      <w:r w:rsidRPr="001E5FAC">
        <w:t xml:space="preserve">he same parameters </w:t>
      </w:r>
      <w:r w:rsidR="007C7718" w:rsidRPr="001E5FAC">
        <w:t xml:space="preserve">have been assumed </w:t>
      </w:r>
      <w:r w:rsidRPr="001E5FAC">
        <w:t>for each option.</w:t>
      </w:r>
    </w:p>
    <w:p w:rsidR="00D5643A" w:rsidRPr="001E5FAC" w:rsidRDefault="00E75DDE" w:rsidP="00D5643A">
      <w:pPr>
        <w:pStyle w:val="EYBodytextwithparaspace"/>
      </w:pPr>
      <w:r w:rsidRPr="001E5FAC">
        <w:t>T</w:t>
      </w:r>
      <w:r w:rsidR="00D5643A" w:rsidRPr="001E5FAC">
        <w:t xml:space="preserve">he </w:t>
      </w:r>
      <w:r w:rsidR="00D36BEA" w:rsidRPr="001E5FAC">
        <w:t xml:space="preserve">cited </w:t>
      </w:r>
      <w:r w:rsidR="00D5643A" w:rsidRPr="001E5FAC">
        <w:t xml:space="preserve">distance travelled and duration assumptions </w:t>
      </w:r>
      <w:r w:rsidR="00D36BEA" w:rsidRPr="001E5FAC">
        <w:t xml:space="preserve">that have been selected are deliberately </w:t>
      </w:r>
      <w:r w:rsidR="00D5643A" w:rsidRPr="00AF7114">
        <w:t xml:space="preserve">conservative. They have been </w:t>
      </w:r>
      <w:r w:rsidR="00D36BEA" w:rsidRPr="00AF7114">
        <w:t xml:space="preserve">selected </w:t>
      </w:r>
      <w:r w:rsidRPr="00AF7114">
        <w:t xml:space="preserve">as they </w:t>
      </w:r>
      <w:r w:rsidR="00BE7C80" w:rsidRPr="00AF7114">
        <w:t>are robust</w:t>
      </w:r>
      <w:r w:rsidRPr="00AF7114">
        <w:t xml:space="preserve"> estimates available and </w:t>
      </w:r>
      <w:r w:rsidR="00D5643A" w:rsidRPr="00AF7114">
        <w:t>to ensure results</w:t>
      </w:r>
      <w:r w:rsidR="00D36BEA" w:rsidRPr="00AF7114">
        <w:t xml:space="preserve"> are not over</w:t>
      </w:r>
      <w:r w:rsidR="007616E1">
        <w:t>-</w:t>
      </w:r>
      <w:r w:rsidR="00D36BEA" w:rsidRPr="00AF7114">
        <w:t>estimated</w:t>
      </w:r>
      <w:r w:rsidR="00752541" w:rsidRPr="00752541">
        <w:t xml:space="preserve"> </w:t>
      </w:r>
      <w:r w:rsidR="00752541">
        <w:t>given the proximity of an end user to a potential facility cannot be known</w:t>
      </w:r>
      <w:r w:rsidR="00D5643A" w:rsidRPr="00AF7114">
        <w:t>.</w:t>
      </w:r>
      <w:r w:rsidR="00B12941" w:rsidRPr="00AF7114">
        <w:t xml:space="preserve"> </w:t>
      </w:r>
      <w:r w:rsidR="00D36BEA" w:rsidRPr="00AF7114">
        <w:t>Thus, i</w:t>
      </w:r>
      <w:r w:rsidR="00B12941" w:rsidRPr="00AF7114">
        <w:t xml:space="preserve">t is acknowledged that they may not be </w:t>
      </w:r>
      <w:r w:rsidR="00661C1F">
        <w:t xml:space="preserve">representative of </w:t>
      </w:r>
      <w:r w:rsidR="009F295E">
        <w:t xml:space="preserve">extremes in </w:t>
      </w:r>
      <w:r w:rsidR="00B12941" w:rsidRPr="00AF7114">
        <w:t>regional, rural and remote areas</w:t>
      </w:r>
      <w:r w:rsidR="007616E1">
        <w:t>;</w:t>
      </w:r>
      <w:r w:rsidR="00B12941" w:rsidRPr="00AF7114">
        <w:t xml:space="preserve"> </w:t>
      </w:r>
      <w:r w:rsidR="00752541">
        <w:t xml:space="preserve">equally, these do not reflect </w:t>
      </w:r>
      <w:r w:rsidR="00B12941" w:rsidRPr="00AF7114">
        <w:t>travel times during peak travel times in urban areas</w:t>
      </w:r>
      <w:r w:rsidR="00752541">
        <w:t>.</w:t>
      </w:r>
    </w:p>
    <w:p w:rsidR="003B32BF" w:rsidRPr="001E5FAC" w:rsidRDefault="003B32BF" w:rsidP="003B32BF">
      <w:pPr>
        <w:pStyle w:val="Caption"/>
      </w:pPr>
      <w:bookmarkStart w:id="592" w:name="_Toc525897826"/>
      <w:r w:rsidRPr="002B182F">
        <w:t xml:space="preserve">Table </w:t>
      </w:r>
      <w:r w:rsidR="00EC0E2D">
        <w:rPr>
          <w:noProof/>
        </w:rPr>
        <w:fldChar w:fldCharType="begin"/>
      </w:r>
      <w:r w:rsidR="00EC0E2D">
        <w:rPr>
          <w:noProof/>
        </w:rPr>
        <w:instrText xml:space="preserve"> STYLEREF  \s "EY Appendix" </w:instrText>
      </w:r>
      <w:r w:rsidR="00EC0E2D">
        <w:rPr>
          <w:noProof/>
        </w:rPr>
        <w:fldChar w:fldCharType="separate"/>
      </w:r>
      <w:r w:rsidR="00910A73">
        <w:rPr>
          <w:noProof/>
        </w:rPr>
        <w:t>A</w:t>
      </w:r>
      <w:r w:rsidR="00EC0E2D">
        <w:rPr>
          <w:noProof/>
        </w:rPr>
        <w:fldChar w:fldCharType="end"/>
      </w:r>
      <w:r w:rsidR="00325A73">
        <w:noBreakHyphen/>
      </w:r>
      <w:r w:rsidR="00D128AA">
        <w:rPr>
          <w:noProof/>
        </w:rPr>
        <w:fldChar w:fldCharType="begin"/>
      </w:r>
      <w:r w:rsidR="00D128AA">
        <w:rPr>
          <w:noProof/>
        </w:rPr>
        <w:instrText xml:space="preserve"> SEQ Table \* ARABIC \</w:instrText>
      </w:r>
      <w:r w:rsidR="00EC0E2D">
        <w:rPr>
          <w:noProof/>
        </w:rPr>
        <w:instrText>r</w:instrText>
      </w:r>
      <w:r w:rsidR="00D128AA">
        <w:rPr>
          <w:noProof/>
        </w:rPr>
        <w:instrText xml:space="preserve"> 1 </w:instrText>
      </w:r>
      <w:r w:rsidR="00D128AA">
        <w:rPr>
          <w:noProof/>
        </w:rPr>
        <w:fldChar w:fldCharType="separate"/>
      </w:r>
      <w:r w:rsidR="00910A73">
        <w:rPr>
          <w:noProof/>
        </w:rPr>
        <w:t>1</w:t>
      </w:r>
      <w:r w:rsidR="00D128AA">
        <w:rPr>
          <w:noProof/>
        </w:rPr>
        <w:fldChar w:fldCharType="end"/>
      </w:r>
      <w:r w:rsidR="003A3F63" w:rsidRPr="001E5FAC">
        <w:rPr>
          <w:noProof/>
        </w:rPr>
        <w:t>:</w:t>
      </w:r>
      <w:r w:rsidRPr="001E5FAC">
        <w:t xml:space="preserve"> Distance travelled and travel time assumptions</w:t>
      </w:r>
      <w:bookmarkEnd w:id="592"/>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Caption w:val="Table A 1: Distance travelled and travel time assumption"/>
        <w:tblDescription w:val="Distance travelled and travel time assumptions."/>
      </w:tblPr>
      <w:tblGrid>
        <w:gridCol w:w="973"/>
        <w:gridCol w:w="1676"/>
        <w:gridCol w:w="2511"/>
        <w:gridCol w:w="1396"/>
        <w:gridCol w:w="3071"/>
      </w:tblGrid>
      <w:tr w:rsidR="00D5643A" w:rsidRPr="001E5FAC" w:rsidTr="00DD6CB8">
        <w:trPr>
          <w:tblHeader/>
        </w:trPr>
        <w:tc>
          <w:tcPr>
            <w:tcW w:w="5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DD6CB8" w:rsidRDefault="00BF1928" w:rsidP="00DF1284">
            <w:pPr>
              <w:pStyle w:val="EYTableHeadingWhite"/>
              <w:rPr>
                <w:sz w:val="20"/>
                <w:szCs w:val="20"/>
                <w:lang w:eastAsia="en-AU"/>
              </w:rPr>
            </w:pPr>
            <w:r w:rsidRPr="00DD6CB8">
              <w:rPr>
                <w:sz w:val="20"/>
                <w:szCs w:val="20"/>
              </w:rPr>
              <w:t>Case study</w:t>
            </w:r>
          </w:p>
        </w:tc>
        <w:tc>
          <w:tcPr>
            <w:tcW w:w="8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DD6CB8" w:rsidRDefault="00D5643A" w:rsidP="00DF1284">
            <w:pPr>
              <w:pStyle w:val="EYTableHeadingWhite"/>
              <w:rPr>
                <w:sz w:val="20"/>
                <w:szCs w:val="20"/>
              </w:rPr>
            </w:pPr>
            <w:r w:rsidRPr="00DD6CB8">
              <w:rPr>
                <w:sz w:val="20"/>
                <w:szCs w:val="20"/>
              </w:rPr>
              <w:t>Distance travelled</w:t>
            </w:r>
          </w:p>
        </w:tc>
        <w:tc>
          <w:tcPr>
            <w:tcW w:w="13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DD6CB8" w:rsidRDefault="00D5643A" w:rsidP="00DF1284">
            <w:pPr>
              <w:pStyle w:val="EYTableHeadingWhite"/>
              <w:rPr>
                <w:sz w:val="20"/>
                <w:szCs w:val="20"/>
              </w:rPr>
            </w:pPr>
            <w:r w:rsidRPr="00DD6CB8">
              <w:rPr>
                <w:sz w:val="20"/>
                <w:szCs w:val="20"/>
              </w:rPr>
              <w:t>Duration</w:t>
            </w:r>
          </w:p>
        </w:tc>
        <w:tc>
          <w:tcPr>
            <w:tcW w:w="7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DD6CB8" w:rsidRDefault="00D5643A" w:rsidP="00DF1284">
            <w:pPr>
              <w:pStyle w:val="EYTableHeadingWhite"/>
              <w:rPr>
                <w:sz w:val="20"/>
                <w:szCs w:val="20"/>
              </w:rPr>
            </w:pPr>
            <w:r w:rsidRPr="00DD6CB8">
              <w:rPr>
                <w:sz w:val="20"/>
                <w:szCs w:val="20"/>
              </w:rPr>
              <w:t>Cost of travel</w:t>
            </w:r>
          </w:p>
        </w:tc>
        <w:tc>
          <w:tcPr>
            <w:tcW w:w="1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DD6CB8" w:rsidRDefault="00D5643A" w:rsidP="00DF1284">
            <w:pPr>
              <w:pStyle w:val="EYTableHeadingWhite"/>
              <w:rPr>
                <w:sz w:val="20"/>
                <w:szCs w:val="20"/>
              </w:rPr>
            </w:pPr>
            <w:r w:rsidRPr="00DD6CB8">
              <w:rPr>
                <w:sz w:val="20"/>
                <w:szCs w:val="20"/>
              </w:rPr>
              <w:t>Value of leisure time</w:t>
            </w:r>
          </w:p>
        </w:tc>
      </w:tr>
      <w:tr w:rsidR="00D5643A" w:rsidRPr="001E5FAC" w:rsidTr="00DD6CB8">
        <w:tc>
          <w:tcPr>
            <w:tcW w:w="505" w:type="pct"/>
            <w:tcBorders>
              <w:top w:val="single" w:sz="4" w:space="0" w:color="FFFFFF" w:themeColor="background1"/>
            </w:tcBorders>
            <w:shd w:val="clear" w:color="auto" w:fill="auto"/>
            <w:noWrap/>
            <w:hideMark/>
          </w:tcPr>
          <w:p w:rsidR="00D5643A" w:rsidRPr="00DD6CB8" w:rsidRDefault="00D5643A" w:rsidP="00DF1284">
            <w:pPr>
              <w:pStyle w:val="EYTableText"/>
              <w:rPr>
                <w:sz w:val="20"/>
                <w:szCs w:val="20"/>
                <w:lang w:eastAsia="en-AU"/>
              </w:rPr>
            </w:pPr>
            <w:r w:rsidRPr="00DD6CB8">
              <w:rPr>
                <w:sz w:val="20"/>
                <w:szCs w:val="20"/>
                <w:lang w:eastAsia="en-AU"/>
              </w:rPr>
              <w:t>All case studies</w:t>
            </w:r>
          </w:p>
        </w:tc>
        <w:tc>
          <w:tcPr>
            <w:tcW w:w="870" w:type="pct"/>
            <w:tcBorders>
              <w:top w:val="single" w:sz="4" w:space="0" w:color="FFFFFF" w:themeColor="background1"/>
            </w:tcBorders>
            <w:shd w:val="clear" w:color="auto" w:fill="auto"/>
            <w:noWrap/>
            <w:hideMark/>
          </w:tcPr>
          <w:p w:rsidR="00D5643A" w:rsidRPr="00DD6CB8" w:rsidRDefault="00D5643A" w:rsidP="007E113B">
            <w:pPr>
              <w:pStyle w:val="EYTableText"/>
              <w:jc w:val="right"/>
              <w:rPr>
                <w:sz w:val="20"/>
                <w:szCs w:val="20"/>
                <w:lang w:eastAsia="en-AU"/>
              </w:rPr>
            </w:pPr>
            <w:r w:rsidRPr="00DD6CB8">
              <w:rPr>
                <w:sz w:val="20"/>
                <w:szCs w:val="20"/>
                <w:lang w:eastAsia="en-AU"/>
              </w:rPr>
              <w:t>15 kilometres</w:t>
            </w:r>
          </w:p>
          <w:p w:rsidR="00D5643A" w:rsidRPr="00DD6CB8" w:rsidRDefault="00D5643A" w:rsidP="007E113B">
            <w:pPr>
              <w:pStyle w:val="EYTableText"/>
              <w:jc w:val="right"/>
              <w:rPr>
                <w:sz w:val="20"/>
                <w:szCs w:val="20"/>
                <w:lang w:eastAsia="en-AU"/>
              </w:rPr>
            </w:pPr>
            <w:r w:rsidRPr="00DD6CB8">
              <w:rPr>
                <w:sz w:val="20"/>
                <w:szCs w:val="20"/>
                <w:lang w:eastAsia="en-AU"/>
              </w:rPr>
              <w:t>(Note 1)</w:t>
            </w:r>
          </w:p>
        </w:tc>
        <w:tc>
          <w:tcPr>
            <w:tcW w:w="1304" w:type="pct"/>
            <w:tcBorders>
              <w:top w:val="single" w:sz="4" w:space="0" w:color="FFFFFF" w:themeColor="background1"/>
            </w:tcBorders>
            <w:shd w:val="clear" w:color="auto" w:fill="auto"/>
            <w:noWrap/>
            <w:hideMark/>
          </w:tcPr>
          <w:p w:rsidR="00D5643A" w:rsidRPr="00DD6CB8" w:rsidRDefault="00D5643A" w:rsidP="007E113B">
            <w:pPr>
              <w:pStyle w:val="EYTableText"/>
              <w:jc w:val="right"/>
              <w:rPr>
                <w:sz w:val="20"/>
                <w:szCs w:val="20"/>
                <w:lang w:eastAsia="en-AU"/>
              </w:rPr>
            </w:pPr>
            <w:r w:rsidRPr="00DD6CB8">
              <w:rPr>
                <w:sz w:val="20"/>
                <w:szCs w:val="20"/>
                <w:lang w:eastAsia="en-AU"/>
              </w:rPr>
              <w:t>20 minutes</w:t>
            </w:r>
          </w:p>
          <w:p w:rsidR="00D5643A" w:rsidRPr="00DD6CB8" w:rsidRDefault="00D5643A" w:rsidP="007E113B">
            <w:pPr>
              <w:pStyle w:val="EYTableText"/>
              <w:jc w:val="right"/>
              <w:rPr>
                <w:sz w:val="20"/>
                <w:szCs w:val="20"/>
                <w:lang w:eastAsia="en-AU"/>
              </w:rPr>
            </w:pPr>
            <w:r w:rsidRPr="00DD6CB8">
              <w:rPr>
                <w:sz w:val="20"/>
                <w:szCs w:val="20"/>
                <w:lang w:eastAsia="en-AU"/>
              </w:rPr>
              <w:t>(Note 2)</w:t>
            </w:r>
          </w:p>
        </w:tc>
        <w:tc>
          <w:tcPr>
            <w:tcW w:w="725" w:type="pct"/>
            <w:tcBorders>
              <w:top w:val="single" w:sz="4" w:space="0" w:color="FFFFFF" w:themeColor="background1"/>
            </w:tcBorders>
            <w:shd w:val="clear" w:color="auto" w:fill="auto"/>
            <w:noWrap/>
            <w:hideMark/>
          </w:tcPr>
          <w:p w:rsidR="00D5643A" w:rsidRPr="00DD6CB8" w:rsidRDefault="00D5643A" w:rsidP="007E113B">
            <w:pPr>
              <w:pStyle w:val="EYTableText"/>
              <w:jc w:val="right"/>
              <w:rPr>
                <w:sz w:val="20"/>
                <w:szCs w:val="20"/>
                <w:lang w:eastAsia="en-AU"/>
              </w:rPr>
            </w:pPr>
            <w:r w:rsidRPr="00DD6CB8">
              <w:rPr>
                <w:sz w:val="20"/>
                <w:szCs w:val="20"/>
                <w:lang w:eastAsia="en-AU"/>
              </w:rPr>
              <w:t xml:space="preserve">0.66 </w:t>
            </w:r>
          </w:p>
          <w:p w:rsidR="00D5643A" w:rsidRPr="00DD6CB8" w:rsidRDefault="00D5643A" w:rsidP="007E113B">
            <w:pPr>
              <w:pStyle w:val="EYTableText"/>
              <w:jc w:val="right"/>
              <w:rPr>
                <w:sz w:val="20"/>
                <w:szCs w:val="20"/>
                <w:lang w:eastAsia="en-AU"/>
              </w:rPr>
            </w:pPr>
            <w:r w:rsidRPr="00DD6CB8">
              <w:rPr>
                <w:sz w:val="20"/>
                <w:szCs w:val="20"/>
                <w:lang w:eastAsia="en-AU"/>
              </w:rPr>
              <w:t>(Note 3)</w:t>
            </w:r>
          </w:p>
        </w:tc>
        <w:tc>
          <w:tcPr>
            <w:tcW w:w="1595" w:type="pct"/>
            <w:tcBorders>
              <w:top w:val="single" w:sz="4" w:space="0" w:color="FFFFFF" w:themeColor="background1"/>
            </w:tcBorders>
            <w:shd w:val="clear" w:color="auto" w:fill="auto"/>
            <w:noWrap/>
            <w:hideMark/>
          </w:tcPr>
          <w:p w:rsidR="00D5643A" w:rsidRPr="00DD6CB8" w:rsidRDefault="00D5643A" w:rsidP="007E113B">
            <w:pPr>
              <w:pStyle w:val="EYTableText"/>
              <w:jc w:val="right"/>
              <w:rPr>
                <w:sz w:val="20"/>
                <w:szCs w:val="20"/>
                <w:lang w:eastAsia="en-AU"/>
              </w:rPr>
            </w:pPr>
            <w:r w:rsidRPr="00DD6CB8">
              <w:rPr>
                <w:sz w:val="20"/>
                <w:szCs w:val="20"/>
                <w:lang w:eastAsia="en-AU"/>
              </w:rPr>
              <w:t xml:space="preserve">$9.77 per hour </w:t>
            </w:r>
          </w:p>
          <w:p w:rsidR="00D5643A" w:rsidRPr="00DD6CB8" w:rsidRDefault="00D5643A" w:rsidP="007E113B">
            <w:pPr>
              <w:pStyle w:val="EYTableText"/>
              <w:jc w:val="right"/>
              <w:rPr>
                <w:sz w:val="20"/>
                <w:szCs w:val="20"/>
                <w:lang w:eastAsia="en-AU"/>
              </w:rPr>
            </w:pPr>
            <w:r w:rsidRPr="00DD6CB8">
              <w:rPr>
                <w:sz w:val="20"/>
                <w:szCs w:val="20"/>
                <w:lang w:eastAsia="en-AU"/>
              </w:rPr>
              <w:t>(Note 4)</w:t>
            </w:r>
          </w:p>
        </w:tc>
      </w:tr>
    </w:tbl>
    <w:p w:rsidR="00D5643A" w:rsidRPr="001E5FAC" w:rsidRDefault="00D5643A" w:rsidP="00D5643A">
      <w:pPr>
        <w:pStyle w:val="EYBodytextwithparaspace"/>
      </w:pPr>
    </w:p>
    <w:p w:rsidR="00D5643A" w:rsidRPr="001E5FAC" w:rsidRDefault="00D5643A" w:rsidP="00D5643A">
      <w:pPr>
        <w:pStyle w:val="EYBodytextwithparaspace"/>
      </w:pPr>
      <w:r w:rsidRPr="001E5FAC">
        <w:t>Note 1: Page 110 of the "State of Australian Cities 2014-2015" report states that the length of an average metropolitan trip across Australia's four largest cities is 7.5</w:t>
      </w:r>
      <w:r w:rsidR="001D43E9">
        <w:t xml:space="preserve"> </w:t>
      </w:r>
      <w:r w:rsidRPr="001E5FAC">
        <w:t>kms per trip  (</w:t>
      </w:r>
      <w:hyperlink r:id="rId15" w:history="1">
        <w:r w:rsidRPr="001E5FAC">
          <w:rPr>
            <w:rStyle w:val="Hyperlink"/>
            <w:i/>
          </w:rPr>
          <w:t>https://infrastructure.gov.au/infrastructure/pab/soac/files/2015_SoAC_full_report.pdf</w:t>
        </w:r>
      </w:hyperlink>
      <w:r w:rsidRPr="001E5FAC">
        <w:t>)</w:t>
      </w:r>
      <w:r w:rsidR="0007373A">
        <w:t>.</w:t>
      </w:r>
    </w:p>
    <w:p w:rsidR="00D5643A" w:rsidRPr="001E5FAC" w:rsidRDefault="00D5643A" w:rsidP="00D5643A">
      <w:pPr>
        <w:pStyle w:val="EYBodytextwithparaspace"/>
        <w:rPr>
          <w:lang w:eastAsia="en-AU"/>
        </w:rPr>
      </w:pPr>
      <w:r w:rsidRPr="001E5FAC">
        <w:t xml:space="preserve">Note 2: </w:t>
      </w:r>
      <w:r w:rsidRPr="001E5FAC">
        <w:rPr>
          <w:lang w:eastAsia="en-AU"/>
        </w:rPr>
        <w:t>In Australia most built</w:t>
      </w:r>
      <w:r w:rsidR="007616E1">
        <w:rPr>
          <w:lang w:eastAsia="en-AU"/>
        </w:rPr>
        <w:t>-</w:t>
      </w:r>
      <w:r w:rsidRPr="001E5FAC">
        <w:rPr>
          <w:lang w:eastAsia="en-AU"/>
        </w:rPr>
        <w:t>up areas have speed limits of 50</w:t>
      </w:r>
      <w:r w:rsidR="001D43E9">
        <w:rPr>
          <w:lang w:eastAsia="en-AU"/>
        </w:rPr>
        <w:t xml:space="preserve"> </w:t>
      </w:r>
      <w:r w:rsidRPr="001E5FAC">
        <w:rPr>
          <w:lang w:eastAsia="en-AU"/>
        </w:rPr>
        <w:t>km per hour (except NT which has 60</w:t>
      </w:r>
      <w:r w:rsidR="001D43E9">
        <w:rPr>
          <w:lang w:eastAsia="en-AU"/>
        </w:rPr>
        <w:t xml:space="preserve"> </w:t>
      </w:r>
      <w:r w:rsidR="00BF1928" w:rsidRPr="001E5FAC">
        <w:rPr>
          <w:lang w:eastAsia="en-AU"/>
        </w:rPr>
        <w:t>km</w:t>
      </w:r>
      <w:r w:rsidRPr="001E5FAC">
        <w:rPr>
          <w:lang w:eastAsia="en-AU"/>
        </w:rPr>
        <w:t xml:space="preserve"> per hour). At this speed it would take 18 minutes to travel 15</w:t>
      </w:r>
      <w:r w:rsidR="001D43E9">
        <w:rPr>
          <w:lang w:eastAsia="en-AU"/>
        </w:rPr>
        <w:t xml:space="preserve"> </w:t>
      </w:r>
      <w:r w:rsidRPr="001E5FAC">
        <w:rPr>
          <w:lang w:eastAsia="en-AU"/>
        </w:rPr>
        <w:t>km</w:t>
      </w:r>
      <w:r w:rsidR="001D43E9">
        <w:rPr>
          <w:lang w:eastAsia="en-AU"/>
        </w:rPr>
        <w:t>s</w:t>
      </w:r>
      <w:r w:rsidRPr="001E5FAC">
        <w:rPr>
          <w:lang w:eastAsia="en-AU"/>
        </w:rPr>
        <w:t>. Traffic lights in Australia typically take 50 - 150 seconds to complete an entire cycle</w:t>
      </w:r>
      <w:r w:rsidR="00657D6E" w:rsidRPr="001E5FAC">
        <w:rPr>
          <w:lang w:eastAsia="en-AU"/>
        </w:rPr>
        <w:t>.</w:t>
      </w:r>
      <w:r w:rsidRPr="001E5FAC">
        <w:rPr>
          <w:lang w:eastAsia="en-AU"/>
        </w:rPr>
        <w:t xml:space="preserve"> (</w:t>
      </w:r>
      <w:hyperlink r:id="rId16" w:history="1">
        <w:r w:rsidRPr="001E5FAC">
          <w:rPr>
            <w:rStyle w:val="Hyperlink"/>
            <w:i/>
            <w:lang w:eastAsia="en-AU"/>
          </w:rPr>
          <w:t>https://www.driverknowledgetests.com/resources/traffic-lights-australia/</w:t>
        </w:r>
      </w:hyperlink>
      <w:r w:rsidRPr="001E5FAC">
        <w:rPr>
          <w:lang w:eastAsia="en-AU"/>
        </w:rPr>
        <w:t>). Assuming half that time is spent at a red light (25 - 75 seconds), we will assume 60 seconds at every red light. Further assuming that motorists stop at two red lights during the average return trip, trip duration is estimated at 20 minutes.</w:t>
      </w:r>
    </w:p>
    <w:p w:rsidR="00D5643A" w:rsidRPr="001E5FAC" w:rsidRDefault="00D5643A" w:rsidP="00D5643A">
      <w:pPr>
        <w:pStyle w:val="EYBodytextwithparaspace"/>
        <w:rPr>
          <w:lang w:eastAsia="en-AU"/>
        </w:rPr>
      </w:pPr>
      <w:r w:rsidRPr="001E5FAC">
        <w:rPr>
          <w:lang w:eastAsia="en-AU"/>
        </w:rPr>
        <w:t>Note 3: ATO allowance rate per km for travel costs</w:t>
      </w:r>
      <w:r w:rsidR="00657D6E" w:rsidRPr="001E5FAC">
        <w:rPr>
          <w:lang w:eastAsia="en-AU"/>
        </w:rPr>
        <w:t>.</w:t>
      </w:r>
    </w:p>
    <w:p w:rsidR="00D5643A" w:rsidRPr="001E5FAC" w:rsidRDefault="00D5643A" w:rsidP="00D5643A">
      <w:pPr>
        <w:pStyle w:val="EYBodytextwithparaspace"/>
        <w:rPr>
          <w:lang w:eastAsia="en-AU"/>
        </w:rPr>
      </w:pPr>
      <w:r w:rsidRPr="001E5FAC">
        <w:rPr>
          <w:lang w:eastAsia="en-AU"/>
        </w:rPr>
        <w:t>Note 4: Guidance from the OBPR states that "when quantifying regulatory costs to individuals, the default value of an individual’s time while not in paid employment (such as during leisure time) should be valued at $31 per hour" (</w:t>
      </w:r>
      <w:hyperlink r:id="rId17" w:history="1">
        <w:r w:rsidRPr="001E5FAC">
          <w:rPr>
            <w:rStyle w:val="Hyperlink"/>
            <w:i/>
            <w:lang w:eastAsia="en-AU"/>
          </w:rPr>
          <w:t>https://www.pmc.gov.au/sites/default/files/publications/individuals-guidance-note_0.pdf</w:t>
        </w:r>
      </w:hyperlink>
      <w:r w:rsidRPr="001E5FAC">
        <w:rPr>
          <w:lang w:eastAsia="en-AU"/>
        </w:rPr>
        <w:t>)</w:t>
      </w:r>
      <w:r w:rsidR="0007373A">
        <w:rPr>
          <w:lang w:eastAsia="en-AU"/>
        </w:rPr>
        <w:t>.</w:t>
      </w:r>
    </w:p>
    <w:p w:rsidR="00D5643A" w:rsidRPr="001E5FAC" w:rsidRDefault="00D5643A" w:rsidP="00D5643A">
      <w:pPr>
        <w:pStyle w:val="EYBodytextwithparaspace"/>
        <w:rPr>
          <w:lang w:eastAsia="en-AU"/>
        </w:rPr>
      </w:pPr>
      <w:r w:rsidRPr="001E5FAC">
        <w:rPr>
          <w:lang w:eastAsia="en-AU"/>
        </w:rPr>
        <w:t>The maximum basic rate of Disability Support Pension is $407 per week (</w:t>
      </w:r>
      <w:hyperlink r:id="rId18" w:history="1">
        <w:r w:rsidRPr="001E5FAC">
          <w:rPr>
            <w:rStyle w:val="Hyperlink"/>
            <w:i/>
            <w:lang w:eastAsia="en-AU"/>
          </w:rPr>
          <w:t>https://www.humanservices.gov.au/individuals/enablers/payment-rates-disability-support-pension</w:t>
        </w:r>
      </w:hyperlink>
      <w:r w:rsidRPr="001E5FAC">
        <w:rPr>
          <w:lang w:eastAsia="en-AU"/>
        </w:rPr>
        <w:t>)</w:t>
      </w:r>
      <w:r w:rsidR="0007373A">
        <w:rPr>
          <w:lang w:eastAsia="en-AU"/>
        </w:rPr>
        <w:t>.</w:t>
      </w:r>
    </w:p>
    <w:p w:rsidR="00D5643A" w:rsidRPr="001E5FAC" w:rsidRDefault="00D5643A" w:rsidP="00D5643A">
      <w:pPr>
        <w:pStyle w:val="EYBodytextwithparaspace"/>
        <w:rPr>
          <w:lang w:eastAsia="en-AU"/>
        </w:rPr>
      </w:pPr>
      <w:r w:rsidRPr="001E5FAC">
        <w:rPr>
          <w:lang w:eastAsia="en-AU"/>
        </w:rPr>
        <w:lastRenderedPageBreak/>
        <w:t>This is 31.5% of the average weekly earnings for full and part-time workers in 2017 (</w:t>
      </w:r>
      <w:hyperlink r:id="rId19" w:history="1">
        <w:r w:rsidRPr="001E5FAC">
          <w:rPr>
            <w:rStyle w:val="Hyperlink"/>
            <w:i/>
            <w:lang w:eastAsia="en-AU"/>
          </w:rPr>
          <w:t>http://www.abs.gov.au/ausstats/abs@.nsf/mf/6302.0</w:t>
        </w:r>
      </w:hyperlink>
      <w:r w:rsidRPr="001E5FAC">
        <w:rPr>
          <w:lang w:eastAsia="en-AU"/>
        </w:rPr>
        <w:t>). 31.5% of $31 is $9.77.</w:t>
      </w:r>
    </w:p>
    <w:p w:rsidR="00D5643A" w:rsidRPr="001E5FAC" w:rsidRDefault="00D5643A" w:rsidP="009260BA">
      <w:pPr>
        <w:pStyle w:val="EYAppendixHeading2"/>
      </w:pPr>
      <w:r w:rsidRPr="001E5FAC">
        <w:t>Design occupancy, floor space and visitation</w:t>
      </w:r>
    </w:p>
    <w:p w:rsidR="00D5643A" w:rsidRPr="001E5FAC" w:rsidRDefault="00D5643A" w:rsidP="00D5643A">
      <w:pPr>
        <w:pStyle w:val="EYBodytextwithparaspace"/>
      </w:pPr>
      <w:r w:rsidRPr="001E5FAC">
        <w:t xml:space="preserve">The variables that most affect the results are those relating to the size and the annual visitation of the building in question. It is the latter variable that then affects the estimated number of people in the core cohort who might be inclined to visit the building as a result of </w:t>
      </w:r>
      <w:r w:rsidR="00657D6E" w:rsidRPr="001E5FAC">
        <w:t xml:space="preserve">an </w:t>
      </w:r>
      <w:r w:rsidR="00801837" w:rsidRPr="001E5FAC">
        <w:t xml:space="preserve">AACF </w:t>
      </w:r>
      <w:r w:rsidRPr="001E5FAC">
        <w:t>being provided.</w:t>
      </w:r>
    </w:p>
    <w:p w:rsidR="00D5643A" w:rsidRPr="001E5FAC" w:rsidRDefault="00D5643A" w:rsidP="009260BA">
      <w:pPr>
        <w:pStyle w:val="EYAppendixHeading3"/>
      </w:pPr>
      <w:r w:rsidRPr="001E5FAC">
        <w:t xml:space="preserve">Overall visitation </w:t>
      </w:r>
    </w:p>
    <w:p w:rsidR="00D5643A" w:rsidRPr="001E5FAC" w:rsidRDefault="00D5643A" w:rsidP="00BC5184">
      <w:pPr>
        <w:pStyle w:val="EYBodytextwithparaspace"/>
        <w:spacing w:after="200"/>
      </w:pPr>
      <w:r w:rsidRPr="001E5FAC">
        <w:t>The assumptions below have been made based on the following overarching principles:</w:t>
      </w:r>
    </w:p>
    <w:p w:rsidR="00D5643A" w:rsidRPr="001E5FAC" w:rsidRDefault="00D5643A" w:rsidP="00D5643A">
      <w:pPr>
        <w:pStyle w:val="EYBulletedText1"/>
      </w:pPr>
      <w:r w:rsidRPr="001E5FAC">
        <w:t>The size and visitation is broadly consistent with actual buildings within the same category. This was done based</w:t>
      </w:r>
      <w:r w:rsidR="00375164">
        <w:t xml:space="preserve"> on a desktop review of public</w:t>
      </w:r>
      <w:r w:rsidRPr="001E5FAC">
        <w:t>ly available data pertaining to shopping centres, museums and stadiums.</w:t>
      </w:r>
    </w:p>
    <w:p w:rsidR="00D5643A" w:rsidRPr="001E5FAC" w:rsidRDefault="00D5643A" w:rsidP="00D5643A">
      <w:pPr>
        <w:pStyle w:val="EYBulletedText1"/>
      </w:pPr>
      <w:r w:rsidRPr="001E5FAC">
        <w:t>The parameter values are broadly ‘reasonable’ in the sense that it is reasonable to expect similar size buildings might be constructed over the coming decade.</w:t>
      </w:r>
    </w:p>
    <w:p w:rsidR="00657D6E" w:rsidRPr="001E5FAC" w:rsidRDefault="00657D6E" w:rsidP="00CC2143">
      <w:pPr>
        <w:pStyle w:val="EYBodytextwithparaspace"/>
      </w:pPr>
      <w:r w:rsidRPr="00AF7114">
        <w:t xml:space="preserve">Due to data limitations and the sole use of the </w:t>
      </w:r>
      <w:r w:rsidR="007E6A42" w:rsidRPr="00AF7114">
        <w:t>break</w:t>
      </w:r>
      <w:r w:rsidR="001440BA">
        <w:t>-</w:t>
      </w:r>
      <w:r w:rsidR="007E6A42" w:rsidRPr="00AF7114">
        <w:t>even</w:t>
      </w:r>
      <w:r w:rsidRPr="00AF7114">
        <w:t xml:space="preserve"> method, design occupancy and floor space assumptions were not </w:t>
      </w:r>
      <w:r w:rsidR="000C22F2" w:rsidRPr="00AF7114">
        <w:t xml:space="preserve">required </w:t>
      </w:r>
      <w:r w:rsidRPr="00AF7114">
        <w:t>for the airport and public aquatic facility case studies.</w:t>
      </w:r>
      <w:r w:rsidRPr="001E5FAC">
        <w:t xml:space="preserve"> </w:t>
      </w:r>
    </w:p>
    <w:p w:rsidR="00D5643A" w:rsidRPr="001E5FAC" w:rsidRDefault="003B32BF" w:rsidP="00D5643A">
      <w:pPr>
        <w:pStyle w:val="Caption"/>
      </w:pPr>
      <w:bookmarkStart w:id="593" w:name="_Toc525897827"/>
      <w:r w:rsidRPr="002B182F">
        <w:t xml:space="preserve">Table </w:t>
      </w:r>
      <w:r w:rsidR="00EC0E2D">
        <w:rPr>
          <w:noProof/>
        </w:rPr>
        <w:fldChar w:fldCharType="begin"/>
      </w:r>
      <w:r w:rsidR="00EC0E2D">
        <w:rPr>
          <w:noProof/>
        </w:rPr>
        <w:instrText xml:space="preserve"> STYLEREF  \s "EY Appendix" </w:instrText>
      </w:r>
      <w:r w:rsidR="00EC0E2D">
        <w:rPr>
          <w:noProof/>
        </w:rPr>
        <w:fldChar w:fldCharType="separate"/>
      </w:r>
      <w:r w:rsidR="00910A73">
        <w:rPr>
          <w:noProof/>
        </w:rPr>
        <w:t>A</w:t>
      </w:r>
      <w:r w:rsidR="00EC0E2D">
        <w:rPr>
          <w:noProof/>
        </w:rPr>
        <w:fldChar w:fldCharType="end"/>
      </w:r>
      <w:r w:rsidR="00325A73">
        <w:noBreakHyphen/>
      </w:r>
      <w:r w:rsidR="00D128AA">
        <w:rPr>
          <w:noProof/>
        </w:rPr>
        <w:fldChar w:fldCharType="begin"/>
      </w:r>
      <w:r w:rsidR="00D128AA">
        <w:rPr>
          <w:noProof/>
        </w:rPr>
        <w:instrText xml:space="preserve"> SEQ Table \* ARABIC \s 1 </w:instrText>
      </w:r>
      <w:r w:rsidR="00D128AA">
        <w:rPr>
          <w:noProof/>
        </w:rPr>
        <w:fldChar w:fldCharType="separate"/>
      </w:r>
      <w:r w:rsidR="00910A73">
        <w:rPr>
          <w:noProof/>
        </w:rPr>
        <w:t>2</w:t>
      </w:r>
      <w:r w:rsidR="00D128AA">
        <w:rPr>
          <w:noProof/>
        </w:rPr>
        <w:fldChar w:fldCharType="end"/>
      </w:r>
      <w:r w:rsidRPr="001E5FAC">
        <w:rPr>
          <w:noProof/>
        </w:rPr>
        <w:t>:</w:t>
      </w:r>
      <w:r w:rsidRPr="001E5FAC">
        <w:t xml:space="preserve"> </w:t>
      </w:r>
      <w:r w:rsidR="00D5643A" w:rsidRPr="001E5FAC">
        <w:t>Design occupancy, floor</w:t>
      </w:r>
      <w:r w:rsidR="00774F1C" w:rsidRPr="001E5FAC">
        <w:t xml:space="preserve"> </w:t>
      </w:r>
      <w:r w:rsidR="00D5643A" w:rsidRPr="001E5FAC">
        <w:t>space and visitation assumptions</w:t>
      </w:r>
      <w:bookmarkEnd w:id="593"/>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Caption w:val="Table A 2: Design occupancy, floor space and visitation assumptions"/>
        <w:tblDescription w:val="Design occupancy, floor space and visitation assumptions."/>
      </w:tblPr>
      <w:tblGrid>
        <w:gridCol w:w="1465"/>
        <w:gridCol w:w="3060"/>
        <w:gridCol w:w="1991"/>
        <w:gridCol w:w="3111"/>
      </w:tblGrid>
      <w:tr w:rsidR="00D5643A" w:rsidRPr="001E5FAC" w:rsidTr="00DD6CB8">
        <w:trPr>
          <w:tblHeader/>
        </w:trPr>
        <w:tc>
          <w:tcPr>
            <w:tcW w:w="1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DD6CB8" w:rsidRDefault="00D5643A" w:rsidP="00DF1284">
            <w:pPr>
              <w:pStyle w:val="EYTableHeadingWhite"/>
              <w:rPr>
                <w:sz w:val="20"/>
                <w:szCs w:val="20"/>
              </w:rPr>
            </w:pPr>
            <w:r w:rsidRPr="00DD6CB8">
              <w:rPr>
                <w:sz w:val="20"/>
                <w:szCs w:val="20"/>
              </w:rPr>
              <w:t>Building type</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DD6CB8" w:rsidRDefault="00D5643A" w:rsidP="00DF1284">
            <w:pPr>
              <w:pStyle w:val="EYTableHeadingWhite"/>
              <w:rPr>
                <w:sz w:val="20"/>
                <w:szCs w:val="20"/>
              </w:rPr>
            </w:pPr>
            <w:r w:rsidRPr="00DD6CB8">
              <w:rPr>
                <w:sz w:val="20"/>
                <w:szCs w:val="20"/>
              </w:rPr>
              <w:t>Design occupancy</w:t>
            </w:r>
          </w:p>
        </w:tc>
        <w:tc>
          <w:tcPr>
            <w:tcW w:w="19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DD6CB8" w:rsidRDefault="00D5643A" w:rsidP="00DF1284">
            <w:pPr>
              <w:pStyle w:val="EYTableHeadingWhite"/>
              <w:rPr>
                <w:sz w:val="20"/>
                <w:szCs w:val="20"/>
              </w:rPr>
            </w:pPr>
            <w:r w:rsidRPr="00DD6CB8">
              <w:rPr>
                <w:sz w:val="20"/>
                <w:szCs w:val="20"/>
              </w:rPr>
              <w:t>Floor space</w:t>
            </w:r>
          </w:p>
        </w:tc>
        <w:tc>
          <w:tcPr>
            <w:tcW w:w="3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DD6CB8" w:rsidRDefault="00D5643A" w:rsidP="00DF1284">
            <w:pPr>
              <w:pStyle w:val="EYTableHeadingWhite"/>
              <w:rPr>
                <w:sz w:val="20"/>
                <w:szCs w:val="20"/>
              </w:rPr>
            </w:pPr>
            <w:r w:rsidRPr="00DD6CB8">
              <w:rPr>
                <w:sz w:val="20"/>
                <w:szCs w:val="20"/>
              </w:rPr>
              <w:t>Annual visitation</w:t>
            </w:r>
          </w:p>
        </w:tc>
      </w:tr>
      <w:tr w:rsidR="00D5643A" w:rsidRPr="001E5FAC" w:rsidTr="00DD6CB8">
        <w:tc>
          <w:tcPr>
            <w:tcW w:w="1465" w:type="dxa"/>
            <w:tcBorders>
              <w:top w:val="single" w:sz="4" w:space="0" w:color="FFFFFF" w:themeColor="background1"/>
            </w:tcBorders>
            <w:shd w:val="clear" w:color="auto" w:fill="auto"/>
            <w:noWrap/>
            <w:hideMark/>
          </w:tcPr>
          <w:p w:rsidR="00D5643A" w:rsidRPr="00DD6CB8" w:rsidRDefault="00D5643A" w:rsidP="00DF1284">
            <w:pPr>
              <w:pStyle w:val="EYTableText"/>
              <w:rPr>
                <w:sz w:val="20"/>
                <w:szCs w:val="20"/>
                <w:lang w:eastAsia="en-AU"/>
              </w:rPr>
            </w:pPr>
            <w:r w:rsidRPr="00DD6CB8">
              <w:rPr>
                <w:sz w:val="20"/>
                <w:szCs w:val="20"/>
                <w:lang w:eastAsia="en-AU"/>
              </w:rPr>
              <w:t>Major shopping centre</w:t>
            </w:r>
          </w:p>
        </w:tc>
        <w:tc>
          <w:tcPr>
            <w:tcW w:w="3060" w:type="dxa"/>
            <w:tcBorders>
              <w:top w:val="single" w:sz="4" w:space="0" w:color="FFFFFF" w:themeColor="background1"/>
            </w:tcBorders>
            <w:shd w:val="clear" w:color="auto" w:fill="auto"/>
            <w:noWrap/>
            <w:hideMark/>
          </w:tcPr>
          <w:p w:rsidR="00D5643A" w:rsidRPr="00DD6CB8" w:rsidRDefault="00D5643A" w:rsidP="007E113B">
            <w:pPr>
              <w:pStyle w:val="EYTableText"/>
              <w:jc w:val="right"/>
              <w:rPr>
                <w:sz w:val="20"/>
                <w:szCs w:val="20"/>
                <w:lang w:eastAsia="en-AU"/>
              </w:rPr>
            </w:pPr>
            <w:r w:rsidRPr="00DD6CB8">
              <w:rPr>
                <w:sz w:val="20"/>
                <w:szCs w:val="20"/>
                <w:lang w:eastAsia="en-AU"/>
              </w:rPr>
              <w:t>13,000</w:t>
            </w:r>
          </w:p>
          <w:p w:rsidR="00D5643A" w:rsidRPr="00DD6CB8" w:rsidRDefault="00D5643A" w:rsidP="007E113B">
            <w:pPr>
              <w:pStyle w:val="EYTableText"/>
              <w:jc w:val="right"/>
              <w:rPr>
                <w:sz w:val="20"/>
                <w:szCs w:val="20"/>
                <w:lang w:eastAsia="en-AU"/>
              </w:rPr>
            </w:pPr>
            <w:r w:rsidRPr="00DD6CB8">
              <w:rPr>
                <w:sz w:val="20"/>
                <w:szCs w:val="20"/>
                <w:lang w:eastAsia="en-AU"/>
              </w:rPr>
              <w:t>(Note 1)</w:t>
            </w:r>
          </w:p>
        </w:tc>
        <w:tc>
          <w:tcPr>
            <w:tcW w:w="1991" w:type="dxa"/>
            <w:tcBorders>
              <w:top w:val="single" w:sz="4" w:space="0" w:color="FFFFFF" w:themeColor="background1"/>
            </w:tcBorders>
            <w:shd w:val="clear" w:color="auto" w:fill="auto"/>
            <w:noWrap/>
            <w:hideMark/>
          </w:tcPr>
          <w:p w:rsidR="00D5643A" w:rsidRPr="00DD6CB8" w:rsidRDefault="00D5643A" w:rsidP="007E113B">
            <w:pPr>
              <w:pStyle w:val="EYTableText"/>
              <w:jc w:val="right"/>
              <w:rPr>
                <w:sz w:val="20"/>
                <w:szCs w:val="20"/>
                <w:lang w:eastAsia="en-AU"/>
              </w:rPr>
            </w:pPr>
            <w:r w:rsidRPr="00DD6CB8">
              <w:rPr>
                <w:sz w:val="20"/>
                <w:szCs w:val="20"/>
                <w:lang w:eastAsia="en-AU"/>
              </w:rPr>
              <w:t>130,000</w:t>
            </w:r>
          </w:p>
          <w:p w:rsidR="00D5643A" w:rsidRPr="00DD6CB8" w:rsidRDefault="00D5643A" w:rsidP="007E113B">
            <w:pPr>
              <w:pStyle w:val="EYTableText"/>
              <w:jc w:val="right"/>
              <w:rPr>
                <w:sz w:val="20"/>
                <w:szCs w:val="20"/>
                <w:lang w:eastAsia="en-AU"/>
              </w:rPr>
            </w:pPr>
            <w:r w:rsidRPr="00DD6CB8">
              <w:rPr>
                <w:sz w:val="20"/>
                <w:szCs w:val="20"/>
                <w:lang w:eastAsia="en-AU"/>
              </w:rPr>
              <w:t>(Note 2)</w:t>
            </w:r>
          </w:p>
        </w:tc>
        <w:tc>
          <w:tcPr>
            <w:tcW w:w="3111" w:type="dxa"/>
            <w:tcBorders>
              <w:top w:val="single" w:sz="4" w:space="0" w:color="FFFFFF" w:themeColor="background1"/>
            </w:tcBorders>
            <w:shd w:val="clear" w:color="auto" w:fill="auto"/>
            <w:noWrap/>
            <w:hideMark/>
          </w:tcPr>
          <w:p w:rsidR="00D5643A" w:rsidRPr="00DD6CB8" w:rsidRDefault="00D5643A" w:rsidP="007E113B">
            <w:pPr>
              <w:pStyle w:val="EYTableText"/>
              <w:jc w:val="right"/>
              <w:rPr>
                <w:sz w:val="20"/>
                <w:szCs w:val="20"/>
                <w:lang w:eastAsia="en-AU"/>
              </w:rPr>
            </w:pPr>
            <w:r w:rsidRPr="00DD6CB8">
              <w:rPr>
                <w:sz w:val="20"/>
                <w:szCs w:val="20"/>
                <w:lang w:eastAsia="en-AU"/>
              </w:rPr>
              <w:t>15 million</w:t>
            </w:r>
          </w:p>
          <w:p w:rsidR="00D5643A" w:rsidRPr="00DD6CB8" w:rsidRDefault="00D5643A" w:rsidP="007E113B">
            <w:pPr>
              <w:pStyle w:val="EYTableText"/>
              <w:jc w:val="right"/>
              <w:rPr>
                <w:sz w:val="20"/>
                <w:szCs w:val="20"/>
                <w:lang w:eastAsia="en-AU"/>
              </w:rPr>
            </w:pPr>
            <w:r w:rsidRPr="00DD6CB8">
              <w:rPr>
                <w:sz w:val="20"/>
                <w:szCs w:val="20"/>
                <w:lang w:eastAsia="en-AU"/>
              </w:rPr>
              <w:t>(Note 2)</w:t>
            </w:r>
          </w:p>
        </w:tc>
      </w:tr>
      <w:tr w:rsidR="00D5643A" w:rsidRPr="001E5FAC" w:rsidTr="00DD6CB8">
        <w:tc>
          <w:tcPr>
            <w:tcW w:w="1465" w:type="dxa"/>
            <w:shd w:val="clear" w:color="auto" w:fill="auto"/>
            <w:noWrap/>
          </w:tcPr>
          <w:p w:rsidR="00D5643A" w:rsidRPr="002667A8" w:rsidRDefault="00D5643A" w:rsidP="00DF1284">
            <w:pPr>
              <w:pStyle w:val="EYTableText"/>
              <w:rPr>
                <w:sz w:val="20"/>
                <w:szCs w:val="20"/>
                <w:lang w:eastAsia="en-AU"/>
              </w:rPr>
            </w:pPr>
            <w:r w:rsidRPr="002667A8">
              <w:rPr>
                <w:sz w:val="20"/>
                <w:szCs w:val="20"/>
                <w:lang w:eastAsia="en-AU"/>
              </w:rPr>
              <w:t>Smaller shopping centre</w:t>
            </w:r>
          </w:p>
        </w:tc>
        <w:tc>
          <w:tcPr>
            <w:tcW w:w="3060" w:type="dxa"/>
            <w:shd w:val="clear" w:color="auto" w:fill="auto"/>
            <w:noWrap/>
          </w:tcPr>
          <w:p w:rsidR="00D5643A" w:rsidRPr="00DD6CB8" w:rsidRDefault="00D5643A" w:rsidP="007E113B">
            <w:pPr>
              <w:pStyle w:val="EYTableText"/>
              <w:jc w:val="right"/>
              <w:rPr>
                <w:sz w:val="20"/>
                <w:szCs w:val="20"/>
                <w:lang w:eastAsia="en-AU"/>
              </w:rPr>
            </w:pPr>
            <w:r w:rsidRPr="00DD6CB8">
              <w:rPr>
                <w:sz w:val="20"/>
                <w:szCs w:val="20"/>
                <w:lang w:eastAsia="en-AU"/>
              </w:rPr>
              <w:t>4,500</w:t>
            </w:r>
          </w:p>
          <w:p w:rsidR="00D5643A" w:rsidRPr="00DD6CB8" w:rsidRDefault="00D5643A" w:rsidP="007E113B">
            <w:pPr>
              <w:pStyle w:val="EYTableText"/>
              <w:jc w:val="right"/>
              <w:rPr>
                <w:sz w:val="20"/>
                <w:szCs w:val="20"/>
                <w:lang w:eastAsia="en-AU"/>
              </w:rPr>
            </w:pPr>
            <w:r w:rsidRPr="00DD6CB8">
              <w:rPr>
                <w:sz w:val="20"/>
                <w:szCs w:val="20"/>
                <w:lang w:eastAsia="en-AU"/>
              </w:rPr>
              <w:t>(Note 1)</w:t>
            </w:r>
          </w:p>
        </w:tc>
        <w:tc>
          <w:tcPr>
            <w:tcW w:w="1991" w:type="dxa"/>
            <w:shd w:val="clear" w:color="auto" w:fill="auto"/>
            <w:noWrap/>
          </w:tcPr>
          <w:p w:rsidR="00D5643A" w:rsidRPr="00DD6CB8" w:rsidRDefault="00D5643A" w:rsidP="007E113B">
            <w:pPr>
              <w:pStyle w:val="EYTableText"/>
              <w:jc w:val="right"/>
              <w:rPr>
                <w:sz w:val="20"/>
                <w:szCs w:val="20"/>
                <w:lang w:eastAsia="en-AU"/>
              </w:rPr>
            </w:pPr>
            <w:r w:rsidRPr="00DD6CB8">
              <w:rPr>
                <w:sz w:val="20"/>
                <w:szCs w:val="20"/>
                <w:lang w:eastAsia="en-AU"/>
              </w:rPr>
              <w:t>45,000</w:t>
            </w:r>
          </w:p>
          <w:p w:rsidR="00D5643A" w:rsidRPr="00DD6CB8" w:rsidRDefault="00D5643A" w:rsidP="007E113B">
            <w:pPr>
              <w:pStyle w:val="EYTableText"/>
              <w:jc w:val="right"/>
              <w:rPr>
                <w:sz w:val="20"/>
                <w:szCs w:val="20"/>
                <w:lang w:eastAsia="en-AU"/>
              </w:rPr>
            </w:pPr>
            <w:r w:rsidRPr="00DD6CB8">
              <w:rPr>
                <w:sz w:val="20"/>
                <w:szCs w:val="20"/>
                <w:lang w:eastAsia="en-AU"/>
              </w:rPr>
              <w:t>(Note 2)</w:t>
            </w:r>
          </w:p>
        </w:tc>
        <w:tc>
          <w:tcPr>
            <w:tcW w:w="3111" w:type="dxa"/>
            <w:shd w:val="clear" w:color="auto" w:fill="auto"/>
            <w:noWrap/>
          </w:tcPr>
          <w:p w:rsidR="00D5643A" w:rsidRPr="00DD6CB8" w:rsidRDefault="00D5643A" w:rsidP="007E113B">
            <w:pPr>
              <w:pStyle w:val="EYTableText"/>
              <w:jc w:val="right"/>
              <w:rPr>
                <w:sz w:val="20"/>
                <w:szCs w:val="20"/>
                <w:lang w:eastAsia="en-AU"/>
              </w:rPr>
            </w:pPr>
            <w:r w:rsidRPr="00DD6CB8">
              <w:rPr>
                <w:sz w:val="20"/>
                <w:szCs w:val="20"/>
                <w:lang w:eastAsia="en-AU"/>
              </w:rPr>
              <w:t>7 million</w:t>
            </w:r>
          </w:p>
          <w:p w:rsidR="00D5643A" w:rsidRPr="00DD6CB8" w:rsidRDefault="00D5643A" w:rsidP="007E113B">
            <w:pPr>
              <w:pStyle w:val="EYTableText"/>
              <w:jc w:val="right"/>
              <w:rPr>
                <w:sz w:val="20"/>
                <w:szCs w:val="20"/>
                <w:lang w:eastAsia="en-AU"/>
              </w:rPr>
            </w:pPr>
            <w:r w:rsidRPr="00DD6CB8">
              <w:rPr>
                <w:sz w:val="20"/>
                <w:szCs w:val="20"/>
                <w:lang w:eastAsia="en-AU"/>
              </w:rPr>
              <w:t>(Note 2)</w:t>
            </w:r>
          </w:p>
        </w:tc>
      </w:tr>
      <w:tr w:rsidR="00D5643A" w:rsidRPr="001E5FAC" w:rsidTr="00DD6CB8">
        <w:tc>
          <w:tcPr>
            <w:tcW w:w="1465" w:type="dxa"/>
            <w:shd w:val="clear" w:color="auto" w:fill="auto"/>
            <w:noWrap/>
          </w:tcPr>
          <w:p w:rsidR="00D5643A" w:rsidRPr="002667A8" w:rsidRDefault="00D5643A" w:rsidP="00DF1284">
            <w:pPr>
              <w:pStyle w:val="EYTableText"/>
              <w:rPr>
                <w:sz w:val="20"/>
                <w:szCs w:val="20"/>
                <w:lang w:eastAsia="en-AU"/>
              </w:rPr>
            </w:pPr>
            <w:r w:rsidRPr="002667A8">
              <w:rPr>
                <w:sz w:val="20"/>
                <w:szCs w:val="20"/>
                <w:lang w:eastAsia="en-AU"/>
              </w:rPr>
              <w:t>Museum</w:t>
            </w:r>
          </w:p>
        </w:tc>
        <w:tc>
          <w:tcPr>
            <w:tcW w:w="3060" w:type="dxa"/>
            <w:shd w:val="clear" w:color="auto" w:fill="auto"/>
            <w:noWrap/>
          </w:tcPr>
          <w:p w:rsidR="00D5643A" w:rsidRPr="00DD6CB8" w:rsidRDefault="00D5643A" w:rsidP="007E113B">
            <w:pPr>
              <w:pStyle w:val="EYTableText"/>
              <w:jc w:val="right"/>
              <w:rPr>
                <w:sz w:val="20"/>
                <w:szCs w:val="20"/>
                <w:lang w:eastAsia="en-AU"/>
              </w:rPr>
            </w:pPr>
            <w:r w:rsidRPr="00DD6CB8">
              <w:rPr>
                <w:sz w:val="20"/>
                <w:szCs w:val="20"/>
                <w:lang w:eastAsia="en-AU"/>
              </w:rPr>
              <w:t>(Note 3)</w:t>
            </w:r>
          </w:p>
        </w:tc>
        <w:tc>
          <w:tcPr>
            <w:tcW w:w="1991" w:type="dxa"/>
            <w:shd w:val="clear" w:color="auto" w:fill="auto"/>
            <w:noWrap/>
          </w:tcPr>
          <w:p w:rsidR="00D5643A" w:rsidRPr="00DD6CB8" w:rsidRDefault="00D5643A" w:rsidP="007E113B">
            <w:pPr>
              <w:pStyle w:val="EYTableText"/>
              <w:jc w:val="right"/>
              <w:rPr>
                <w:sz w:val="20"/>
                <w:szCs w:val="20"/>
                <w:lang w:eastAsia="en-AU"/>
              </w:rPr>
            </w:pPr>
            <w:r w:rsidRPr="00DD6CB8">
              <w:rPr>
                <w:sz w:val="20"/>
                <w:szCs w:val="20"/>
                <w:lang w:eastAsia="en-AU"/>
              </w:rPr>
              <w:t>(Note 3)</w:t>
            </w:r>
          </w:p>
        </w:tc>
        <w:tc>
          <w:tcPr>
            <w:tcW w:w="3111" w:type="dxa"/>
            <w:shd w:val="clear" w:color="auto" w:fill="auto"/>
            <w:noWrap/>
          </w:tcPr>
          <w:p w:rsidR="00D5643A" w:rsidRPr="00DD6CB8" w:rsidRDefault="00D5643A" w:rsidP="007E113B">
            <w:pPr>
              <w:pStyle w:val="EYTableText"/>
              <w:jc w:val="right"/>
              <w:rPr>
                <w:sz w:val="20"/>
                <w:szCs w:val="20"/>
                <w:lang w:eastAsia="en-AU"/>
              </w:rPr>
            </w:pPr>
            <w:r w:rsidRPr="00DD6CB8">
              <w:rPr>
                <w:sz w:val="20"/>
                <w:szCs w:val="20"/>
                <w:lang w:eastAsia="en-AU"/>
              </w:rPr>
              <w:t>(Note 3)</w:t>
            </w:r>
          </w:p>
        </w:tc>
      </w:tr>
      <w:tr w:rsidR="00D5643A" w:rsidRPr="001E5FAC" w:rsidTr="00DD6CB8">
        <w:tc>
          <w:tcPr>
            <w:tcW w:w="1465" w:type="dxa"/>
            <w:shd w:val="clear" w:color="auto" w:fill="auto"/>
            <w:noWrap/>
          </w:tcPr>
          <w:p w:rsidR="00D5643A" w:rsidRPr="002667A8" w:rsidRDefault="00D5643A" w:rsidP="00DF1284">
            <w:pPr>
              <w:pStyle w:val="EYTableText"/>
              <w:rPr>
                <w:sz w:val="20"/>
                <w:szCs w:val="20"/>
                <w:lang w:eastAsia="en-AU"/>
              </w:rPr>
            </w:pPr>
            <w:r w:rsidRPr="002667A8">
              <w:rPr>
                <w:sz w:val="20"/>
                <w:szCs w:val="20"/>
                <w:lang w:eastAsia="en-AU"/>
              </w:rPr>
              <w:t>Stadium</w:t>
            </w:r>
          </w:p>
        </w:tc>
        <w:tc>
          <w:tcPr>
            <w:tcW w:w="3060" w:type="dxa"/>
            <w:shd w:val="clear" w:color="auto" w:fill="auto"/>
            <w:noWrap/>
          </w:tcPr>
          <w:p w:rsidR="00D5643A" w:rsidRPr="00DD6CB8" w:rsidRDefault="00D5643A" w:rsidP="007E113B">
            <w:pPr>
              <w:pStyle w:val="EYTableText"/>
              <w:jc w:val="right"/>
              <w:rPr>
                <w:sz w:val="20"/>
                <w:szCs w:val="20"/>
                <w:lang w:eastAsia="en-AU"/>
              </w:rPr>
            </w:pPr>
            <w:r w:rsidRPr="00DD6CB8">
              <w:rPr>
                <w:sz w:val="20"/>
                <w:szCs w:val="20"/>
                <w:lang w:eastAsia="en-AU"/>
              </w:rPr>
              <w:t>35,000 based on seating capacity</w:t>
            </w:r>
          </w:p>
          <w:p w:rsidR="00D5643A" w:rsidRPr="00DD6CB8" w:rsidRDefault="00D5643A" w:rsidP="007E113B">
            <w:pPr>
              <w:pStyle w:val="EYTableText"/>
              <w:jc w:val="right"/>
              <w:rPr>
                <w:sz w:val="20"/>
                <w:szCs w:val="20"/>
                <w:lang w:eastAsia="en-AU"/>
              </w:rPr>
            </w:pPr>
            <w:r w:rsidRPr="00DD6CB8">
              <w:rPr>
                <w:sz w:val="20"/>
                <w:szCs w:val="20"/>
                <w:lang w:eastAsia="en-AU"/>
              </w:rPr>
              <w:t>(Note 4)</w:t>
            </w:r>
          </w:p>
        </w:tc>
        <w:tc>
          <w:tcPr>
            <w:tcW w:w="1991" w:type="dxa"/>
            <w:shd w:val="clear" w:color="auto" w:fill="auto"/>
            <w:noWrap/>
          </w:tcPr>
          <w:p w:rsidR="00D5643A" w:rsidRPr="00DD6CB8" w:rsidRDefault="00D5643A" w:rsidP="007E113B">
            <w:pPr>
              <w:pStyle w:val="EYTableText"/>
              <w:jc w:val="right"/>
              <w:rPr>
                <w:sz w:val="20"/>
                <w:szCs w:val="20"/>
                <w:lang w:eastAsia="en-AU"/>
              </w:rPr>
            </w:pPr>
            <w:r w:rsidRPr="00DD6CB8">
              <w:rPr>
                <w:sz w:val="20"/>
                <w:szCs w:val="20"/>
                <w:lang w:eastAsia="en-AU"/>
              </w:rPr>
              <w:t>Not applicable</w:t>
            </w:r>
          </w:p>
        </w:tc>
        <w:tc>
          <w:tcPr>
            <w:tcW w:w="3111" w:type="dxa"/>
            <w:shd w:val="clear" w:color="auto" w:fill="auto"/>
            <w:noWrap/>
          </w:tcPr>
          <w:p w:rsidR="00D5643A" w:rsidRPr="00DD6CB8" w:rsidRDefault="00D5643A" w:rsidP="007E113B">
            <w:pPr>
              <w:pStyle w:val="EYTableText"/>
              <w:jc w:val="right"/>
              <w:rPr>
                <w:sz w:val="20"/>
                <w:szCs w:val="20"/>
                <w:lang w:eastAsia="en-AU"/>
              </w:rPr>
            </w:pPr>
            <w:r w:rsidRPr="00DD6CB8">
              <w:rPr>
                <w:sz w:val="20"/>
                <w:szCs w:val="20"/>
                <w:lang w:eastAsia="en-AU"/>
              </w:rPr>
              <w:t>600,000</w:t>
            </w:r>
          </w:p>
          <w:p w:rsidR="00D5643A" w:rsidRPr="00DD6CB8" w:rsidRDefault="00D5643A" w:rsidP="007E113B">
            <w:pPr>
              <w:pStyle w:val="EYTableText"/>
              <w:jc w:val="right"/>
              <w:rPr>
                <w:sz w:val="20"/>
                <w:szCs w:val="20"/>
                <w:lang w:eastAsia="en-AU"/>
              </w:rPr>
            </w:pPr>
            <w:r w:rsidRPr="00DD6CB8">
              <w:rPr>
                <w:sz w:val="20"/>
                <w:szCs w:val="20"/>
                <w:lang w:eastAsia="en-AU"/>
              </w:rPr>
              <w:t>(Note 5)</w:t>
            </w:r>
          </w:p>
        </w:tc>
      </w:tr>
      <w:tr w:rsidR="00657D6E" w:rsidRPr="001E5FAC" w:rsidTr="00DD6CB8">
        <w:tc>
          <w:tcPr>
            <w:tcW w:w="1465" w:type="dxa"/>
            <w:shd w:val="clear" w:color="auto" w:fill="auto"/>
            <w:noWrap/>
          </w:tcPr>
          <w:p w:rsidR="00657D6E" w:rsidRPr="002667A8" w:rsidRDefault="00657D6E" w:rsidP="00DF1284">
            <w:pPr>
              <w:pStyle w:val="EYTableText"/>
              <w:rPr>
                <w:sz w:val="20"/>
                <w:szCs w:val="20"/>
                <w:lang w:eastAsia="en-AU"/>
              </w:rPr>
            </w:pPr>
            <w:r w:rsidRPr="002667A8">
              <w:rPr>
                <w:sz w:val="20"/>
                <w:szCs w:val="20"/>
                <w:lang w:eastAsia="en-AU"/>
              </w:rPr>
              <w:t>Airport</w:t>
            </w:r>
          </w:p>
        </w:tc>
        <w:tc>
          <w:tcPr>
            <w:tcW w:w="3060" w:type="dxa"/>
            <w:shd w:val="clear" w:color="auto" w:fill="auto"/>
            <w:noWrap/>
          </w:tcPr>
          <w:p w:rsidR="00657D6E" w:rsidRPr="00DD6CB8" w:rsidRDefault="00657D6E" w:rsidP="007E113B">
            <w:pPr>
              <w:pStyle w:val="EYTableText"/>
              <w:jc w:val="right"/>
              <w:rPr>
                <w:sz w:val="20"/>
                <w:szCs w:val="20"/>
                <w:lang w:eastAsia="en-AU"/>
              </w:rPr>
            </w:pPr>
            <w:r w:rsidRPr="00DD6CB8">
              <w:rPr>
                <w:sz w:val="20"/>
                <w:szCs w:val="20"/>
                <w:lang w:eastAsia="en-AU"/>
              </w:rPr>
              <w:t>Not applicable</w:t>
            </w:r>
          </w:p>
        </w:tc>
        <w:tc>
          <w:tcPr>
            <w:tcW w:w="1991" w:type="dxa"/>
            <w:shd w:val="clear" w:color="auto" w:fill="auto"/>
            <w:noWrap/>
          </w:tcPr>
          <w:p w:rsidR="00657D6E" w:rsidRPr="00DD6CB8" w:rsidRDefault="00657D6E" w:rsidP="007E113B">
            <w:pPr>
              <w:pStyle w:val="EYTableText"/>
              <w:jc w:val="right"/>
              <w:rPr>
                <w:sz w:val="20"/>
                <w:szCs w:val="20"/>
                <w:lang w:eastAsia="en-AU"/>
              </w:rPr>
            </w:pPr>
            <w:r w:rsidRPr="00DD6CB8">
              <w:rPr>
                <w:sz w:val="20"/>
                <w:szCs w:val="20"/>
                <w:lang w:eastAsia="en-AU"/>
              </w:rPr>
              <w:t>Not applicable</w:t>
            </w:r>
          </w:p>
        </w:tc>
        <w:tc>
          <w:tcPr>
            <w:tcW w:w="3111" w:type="dxa"/>
            <w:shd w:val="clear" w:color="auto" w:fill="auto"/>
            <w:noWrap/>
          </w:tcPr>
          <w:p w:rsidR="00657D6E" w:rsidRPr="00DD6CB8" w:rsidRDefault="00CD67E5" w:rsidP="007E113B">
            <w:pPr>
              <w:pStyle w:val="EYTableText"/>
              <w:jc w:val="right"/>
              <w:rPr>
                <w:sz w:val="20"/>
                <w:szCs w:val="20"/>
                <w:lang w:eastAsia="en-AU"/>
              </w:rPr>
            </w:pPr>
            <w:r w:rsidRPr="00DD6CB8">
              <w:rPr>
                <w:sz w:val="20"/>
                <w:szCs w:val="20"/>
                <w:lang w:eastAsia="en-AU"/>
              </w:rPr>
              <w:t>Various</w:t>
            </w:r>
          </w:p>
          <w:p w:rsidR="00270CDA" w:rsidRPr="00DD6CB8" w:rsidRDefault="00270CDA" w:rsidP="007E113B">
            <w:pPr>
              <w:pStyle w:val="EYTableText"/>
              <w:jc w:val="right"/>
              <w:rPr>
                <w:sz w:val="20"/>
                <w:szCs w:val="20"/>
                <w:lang w:eastAsia="en-AU"/>
              </w:rPr>
            </w:pPr>
            <w:r w:rsidRPr="00DD6CB8">
              <w:rPr>
                <w:sz w:val="20"/>
                <w:szCs w:val="20"/>
                <w:lang w:eastAsia="en-AU"/>
              </w:rPr>
              <w:t>(Note 6)</w:t>
            </w:r>
          </w:p>
        </w:tc>
      </w:tr>
      <w:tr w:rsidR="00657D6E" w:rsidRPr="001E5FAC" w:rsidTr="00DD6CB8">
        <w:tc>
          <w:tcPr>
            <w:tcW w:w="1465" w:type="dxa"/>
            <w:shd w:val="clear" w:color="auto" w:fill="auto"/>
            <w:noWrap/>
          </w:tcPr>
          <w:p w:rsidR="00657D6E" w:rsidRPr="002667A8" w:rsidRDefault="00657D6E" w:rsidP="00DF1284">
            <w:pPr>
              <w:pStyle w:val="EYTableText"/>
              <w:rPr>
                <w:sz w:val="20"/>
                <w:szCs w:val="20"/>
                <w:lang w:eastAsia="en-AU"/>
              </w:rPr>
            </w:pPr>
            <w:r w:rsidRPr="002667A8">
              <w:rPr>
                <w:sz w:val="20"/>
                <w:szCs w:val="20"/>
                <w:lang w:eastAsia="en-AU"/>
              </w:rPr>
              <w:t>Public aquatic facility</w:t>
            </w:r>
          </w:p>
        </w:tc>
        <w:tc>
          <w:tcPr>
            <w:tcW w:w="3060" w:type="dxa"/>
            <w:shd w:val="clear" w:color="auto" w:fill="auto"/>
            <w:noWrap/>
          </w:tcPr>
          <w:p w:rsidR="00657D6E" w:rsidRPr="00DD6CB8" w:rsidRDefault="00657D6E" w:rsidP="007E113B">
            <w:pPr>
              <w:pStyle w:val="EYTableText"/>
              <w:jc w:val="right"/>
              <w:rPr>
                <w:sz w:val="20"/>
                <w:szCs w:val="20"/>
                <w:lang w:eastAsia="en-AU"/>
              </w:rPr>
            </w:pPr>
            <w:r w:rsidRPr="00DD6CB8">
              <w:rPr>
                <w:sz w:val="20"/>
                <w:szCs w:val="20"/>
                <w:lang w:eastAsia="en-AU"/>
              </w:rPr>
              <w:t>Not applicable</w:t>
            </w:r>
          </w:p>
        </w:tc>
        <w:tc>
          <w:tcPr>
            <w:tcW w:w="1991" w:type="dxa"/>
            <w:shd w:val="clear" w:color="auto" w:fill="auto"/>
            <w:noWrap/>
          </w:tcPr>
          <w:p w:rsidR="00657D6E" w:rsidRPr="00DD6CB8" w:rsidRDefault="00657D6E" w:rsidP="007E113B">
            <w:pPr>
              <w:pStyle w:val="EYTableText"/>
              <w:jc w:val="right"/>
              <w:rPr>
                <w:sz w:val="20"/>
                <w:szCs w:val="20"/>
                <w:lang w:eastAsia="en-AU"/>
              </w:rPr>
            </w:pPr>
            <w:r w:rsidRPr="00DD6CB8">
              <w:rPr>
                <w:sz w:val="20"/>
                <w:szCs w:val="20"/>
                <w:lang w:eastAsia="en-AU"/>
              </w:rPr>
              <w:t>Not applicable</w:t>
            </w:r>
          </w:p>
        </w:tc>
        <w:tc>
          <w:tcPr>
            <w:tcW w:w="3111" w:type="dxa"/>
            <w:shd w:val="clear" w:color="auto" w:fill="auto"/>
            <w:noWrap/>
          </w:tcPr>
          <w:p w:rsidR="00657D6E" w:rsidRPr="00DD6CB8" w:rsidRDefault="001131FC" w:rsidP="007E113B">
            <w:pPr>
              <w:pStyle w:val="EYTableText"/>
              <w:jc w:val="right"/>
              <w:rPr>
                <w:sz w:val="20"/>
                <w:szCs w:val="20"/>
                <w:lang w:eastAsia="en-AU"/>
              </w:rPr>
            </w:pPr>
            <w:r w:rsidRPr="00DD6CB8">
              <w:rPr>
                <w:sz w:val="20"/>
                <w:szCs w:val="20"/>
                <w:lang w:eastAsia="en-AU"/>
              </w:rPr>
              <w:t>90,694</w:t>
            </w:r>
          </w:p>
          <w:p w:rsidR="00270CDA" w:rsidRPr="00DD6CB8" w:rsidRDefault="00270CDA" w:rsidP="007E113B">
            <w:pPr>
              <w:pStyle w:val="EYTableText"/>
              <w:jc w:val="right"/>
              <w:rPr>
                <w:sz w:val="20"/>
                <w:szCs w:val="20"/>
                <w:lang w:eastAsia="en-AU"/>
              </w:rPr>
            </w:pPr>
            <w:r w:rsidRPr="00DD6CB8">
              <w:rPr>
                <w:sz w:val="20"/>
                <w:szCs w:val="20"/>
                <w:lang w:eastAsia="en-AU"/>
              </w:rPr>
              <w:t>(Note 7)</w:t>
            </w:r>
          </w:p>
        </w:tc>
      </w:tr>
    </w:tbl>
    <w:p w:rsidR="00D5643A" w:rsidRPr="002B182F" w:rsidRDefault="00040312" w:rsidP="00D5643A">
      <w:pPr>
        <w:pStyle w:val="EYBodytextwithparaspace"/>
      </w:pPr>
      <w:r>
        <w:br/>
      </w:r>
      <w:r w:rsidR="00D5643A" w:rsidRPr="001E5FAC">
        <w:t xml:space="preserve">Note 1: </w:t>
      </w:r>
      <w:r w:rsidR="00D5643A" w:rsidRPr="00AF7114">
        <w:t xml:space="preserve">Design occupancy for </w:t>
      </w:r>
      <w:r w:rsidR="00F770A3" w:rsidRPr="00AF7114">
        <w:t xml:space="preserve">major </w:t>
      </w:r>
      <w:r w:rsidR="00D5643A" w:rsidRPr="00AF7114">
        <w:t>shopping centres is calculated on the basis of</w:t>
      </w:r>
      <w:r w:rsidR="00F770A3" w:rsidRPr="00AF7114">
        <w:t xml:space="preserve"> total</w:t>
      </w:r>
      <w:r w:rsidR="00D5643A" w:rsidRPr="00AF7114">
        <w:t xml:space="preserve"> floor space divided by 5</w:t>
      </w:r>
      <w:r w:rsidR="00F770A3" w:rsidRPr="00AF7114">
        <w:t>. In order to obtain design occupancy on a ‘per level’ basis this figure is</w:t>
      </w:r>
      <w:r w:rsidR="00D5643A" w:rsidRPr="00AF7114">
        <w:t xml:space="preserve"> divided by 2 again (assuming 2 </w:t>
      </w:r>
      <w:r w:rsidR="00E613FE">
        <w:t xml:space="preserve">levels for a shopping centre). </w:t>
      </w:r>
      <w:r w:rsidR="00D5643A" w:rsidRPr="00AF7114">
        <w:t xml:space="preserve">This is based on </w:t>
      </w:r>
      <w:r w:rsidR="00BF1928" w:rsidRPr="00AF7114">
        <w:t>Table D1.13 of</w:t>
      </w:r>
      <w:r w:rsidR="00D5643A" w:rsidRPr="00AF7114">
        <w:t xml:space="preserve"> the </w:t>
      </w:r>
      <w:r w:rsidR="007616E1">
        <w:t>NCC</w:t>
      </w:r>
      <w:r w:rsidR="00D5643A" w:rsidRPr="00AF7114">
        <w:t>.</w:t>
      </w:r>
    </w:p>
    <w:p w:rsidR="00D5643A" w:rsidRPr="00D14EDB" w:rsidRDefault="00D5643A" w:rsidP="00D5643A">
      <w:pPr>
        <w:pStyle w:val="EYBodytextwithparaspace"/>
      </w:pPr>
      <w:r w:rsidRPr="002B182F">
        <w:t>Note 2: Floor space and</w:t>
      </w:r>
      <w:r w:rsidRPr="00D14EDB">
        <w:t xml:space="preserve"> visitation assumptions are made on the basis of publicly available data from around 60 shopping centres throughout Australia</w:t>
      </w:r>
      <w:r w:rsidR="00E613FE">
        <w:t xml:space="preserve">. </w:t>
      </w:r>
      <w:r w:rsidRPr="00D14EDB">
        <w:t xml:space="preserve">It is assumed that annual visitation is a function of the overall </w:t>
      </w:r>
      <w:r w:rsidR="007E6A42" w:rsidRPr="00D14EDB">
        <w:t>floor space</w:t>
      </w:r>
      <w:r w:rsidRPr="00D14EDB">
        <w:t xml:space="preserve"> of the building.  The major shopping centre is intended to reflect a large, iconic shopping centre in a major city, while the smaller </w:t>
      </w:r>
      <w:r w:rsidRPr="00D14EDB">
        <w:lastRenderedPageBreak/>
        <w:t>shopping centre is intended to represent a suburban shopping centre which can be found in most medium sized regional towns throughout Australia</w:t>
      </w:r>
      <w:r w:rsidR="00927F65" w:rsidRPr="00D14EDB">
        <w:t>.</w:t>
      </w:r>
    </w:p>
    <w:p w:rsidR="00D5643A" w:rsidRPr="006803A1" w:rsidRDefault="00D5643A" w:rsidP="00D5643A">
      <w:pPr>
        <w:pStyle w:val="EYBodytextwithparaspace"/>
      </w:pPr>
      <w:r w:rsidRPr="006803A1">
        <w:t>Note 3: A discernible relationship between floor space/design occupancy and annual visitat</w:t>
      </w:r>
      <w:r w:rsidR="00E613FE">
        <w:t xml:space="preserve">ion is difficult to establish. </w:t>
      </w:r>
      <w:r w:rsidRPr="006803A1">
        <w:t xml:space="preserve">This creates challenges for the RIS because the prospective number of visitors </w:t>
      </w:r>
      <w:r w:rsidR="004F3897" w:rsidRPr="006803A1">
        <w:t>from</w:t>
      </w:r>
      <w:r w:rsidRPr="006803A1">
        <w:t xml:space="preserve"> the core cohort is linked to overall visitation (which in turn is linked to ‘</w:t>
      </w:r>
      <w:r w:rsidR="00C01665" w:rsidRPr="006803A1">
        <w:t>catchment</w:t>
      </w:r>
      <w:r w:rsidR="00E613FE">
        <w:t>’ population).</w:t>
      </w:r>
    </w:p>
    <w:p w:rsidR="00D5643A" w:rsidRPr="001E5FAC" w:rsidRDefault="00D5643A" w:rsidP="00D5643A">
      <w:pPr>
        <w:pStyle w:val="EYBodytextwithparaspace"/>
      </w:pPr>
      <w:r w:rsidRPr="00866060">
        <w:t>Note 4: Selected on the basis of known stadium investment projects in the cur</w:t>
      </w:r>
      <w:r w:rsidRPr="001E5FAC">
        <w:t>rent year (both greenfield and re-developments).</w:t>
      </w:r>
    </w:p>
    <w:p w:rsidR="00D5643A" w:rsidRPr="001E5FAC" w:rsidRDefault="00D5643A" w:rsidP="00D5643A">
      <w:pPr>
        <w:pStyle w:val="EYBodytextwithparaspace"/>
      </w:pPr>
      <w:r w:rsidRPr="001E5FAC">
        <w:t>Note 5: Calculated as (roughly) the average visitation of 5 stadiums across Australia with capaci</w:t>
      </w:r>
      <w:r w:rsidR="00C25B69" w:rsidRPr="001E5FAC">
        <w:t>t</w:t>
      </w:r>
      <w:r w:rsidRPr="001E5FAC">
        <w:t xml:space="preserve">y </w:t>
      </w:r>
      <w:r w:rsidR="00BF1928" w:rsidRPr="001E5FAC">
        <w:t xml:space="preserve">of </w:t>
      </w:r>
      <w:r w:rsidRPr="001E5FAC">
        <w:t>between 25,000 and 40,000</w:t>
      </w:r>
      <w:r w:rsidR="00BF1928" w:rsidRPr="001E5FAC">
        <w:t xml:space="preserve"> people</w:t>
      </w:r>
      <w:r w:rsidRPr="001E5FAC">
        <w:t>.</w:t>
      </w:r>
    </w:p>
    <w:p w:rsidR="00270CDA" w:rsidRPr="00AF7114" w:rsidRDefault="00270CDA" w:rsidP="00D5643A">
      <w:pPr>
        <w:pStyle w:val="EYBodytextwithparaspace"/>
      </w:pPr>
      <w:r w:rsidRPr="00AF7114">
        <w:t>Note 6:</w:t>
      </w:r>
      <w:r w:rsidR="00824688" w:rsidRPr="00AF7114">
        <w:t xml:space="preserve"> </w:t>
      </w:r>
      <w:r w:rsidR="00CD67E5" w:rsidRPr="00AF7114">
        <w:t xml:space="preserve">the </w:t>
      </w:r>
      <w:r w:rsidR="0007373A">
        <w:t>a</w:t>
      </w:r>
      <w:r w:rsidR="0007373A" w:rsidRPr="00AF7114">
        <w:t xml:space="preserve">irport </w:t>
      </w:r>
      <w:r w:rsidR="00CD67E5" w:rsidRPr="00AF7114">
        <w:t xml:space="preserve">case study has been considered on the basis of patronage through a </w:t>
      </w:r>
      <w:r w:rsidR="00927F65" w:rsidRPr="00AF7114">
        <w:t>range</w:t>
      </w:r>
      <w:r w:rsidR="00CD67E5" w:rsidRPr="00AF7114">
        <w:t xml:space="preserve"> of small, medium and large airports across Australia, sourced fr</w:t>
      </w:r>
      <w:r w:rsidR="00AF53B0" w:rsidRPr="00AF7114">
        <w:t>o</w:t>
      </w:r>
      <w:r w:rsidR="00CD67E5" w:rsidRPr="00AF7114">
        <w:t>m BITRE aviation statistics</w:t>
      </w:r>
      <w:r w:rsidR="0007373A">
        <w:t>.</w:t>
      </w:r>
      <w:r w:rsidR="00CD67E5" w:rsidRPr="00AF7114">
        <w:rPr>
          <w:rStyle w:val="FootnoteReference"/>
        </w:rPr>
        <w:footnoteReference w:id="93"/>
      </w:r>
      <w:r w:rsidR="00CD67E5" w:rsidRPr="00AF7114">
        <w:t xml:space="preserve"> </w:t>
      </w:r>
    </w:p>
    <w:p w:rsidR="00270CDA" w:rsidRPr="001E5FAC" w:rsidRDefault="00270CDA" w:rsidP="00D5643A">
      <w:pPr>
        <w:pStyle w:val="EYBodytextwithparaspace"/>
      </w:pPr>
      <w:r w:rsidRPr="00AF7114">
        <w:t>Note 7:</w:t>
      </w:r>
      <w:r w:rsidR="00153514" w:rsidRPr="00AF7114">
        <w:t xml:space="preserve"> Calculated as Australia’s population multiplied by </w:t>
      </w:r>
      <w:r w:rsidR="005436F6" w:rsidRPr="00AF7114">
        <w:t>an estimate of average visits per year</w:t>
      </w:r>
      <w:r w:rsidR="00153514" w:rsidRPr="00AF7114">
        <w:t xml:space="preserve">, divided by an estimate of Australia’s total public aquatic facilities. </w:t>
      </w:r>
      <w:r w:rsidR="005436F6" w:rsidRPr="00AF7114">
        <w:t>Four average visits per person per year is a conservative adjustment of the 4.4</w:t>
      </w:r>
      <w:r w:rsidR="00153514" w:rsidRPr="00AF7114">
        <w:t xml:space="preserve"> </w:t>
      </w:r>
      <w:r w:rsidR="005436F6" w:rsidRPr="00AF7114">
        <w:t>visits source figure.</w:t>
      </w:r>
      <w:r w:rsidR="00BD1724" w:rsidRPr="00AF7114">
        <w:t xml:space="preserve"> The estimate of Australia’s total public aquatic facilities is equal to the source figure.</w:t>
      </w:r>
      <w:r w:rsidR="00BD1724" w:rsidRPr="00DE5D49">
        <w:rPr>
          <w:rStyle w:val="FootnoteReference"/>
          <w:sz w:val="24"/>
          <w:szCs w:val="24"/>
        </w:rPr>
        <w:footnoteReference w:id="94"/>
      </w:r>
    </w:p>
    <w:p w:rsidR="00D5643A" w:rsidRPr="00D14EDB" w:rsidRDefault="00D5643A" w:rsidP="009260BA">
      <w:pPr>
        <w:pStyle w:val="EYAppendixHeading3"/>
      </w:pPr>
      <w:r w:rsidRPr="002B182F">
        <w:t>Defining the ‘</w:t>
      </w:r>
      <w:r w:rsidR="0079015D" w:rsidRPr="00D14EDB">
        <w:t>catchment</w:t>
      </w:r>
      <w:r w:rsidRPr="00D14EDB">
        <w:t xml:space="preserve">’ population </w:t>
      </w:r>
    </w:p>
    <w:p w:rsidR="00D5643A" w:rsidRPr="006803A1" w:rsidRDefault="00D5643A" w:rsidP="00D5643A">
      <w:pPr>
        <w:pStyle w:val="EYBodytextwithparaspace"/>
      </w:pPr>
      <w:r w:rsidRPr="00D14EDB">
        <w:t xml:space="preserve">Having estimated the overall number of visitors, the next step is to estimate the potential number of visitors with a complex disability (noting the implicit assumption here that annual visitation is </w:t>
      </w:r>
      <w:r w:rsidR="0079015D" w:rsidRPr="006803A1">
        <w:t>representative of the overall ‘catchment</w:t>
      </w:r>
      <w:r w:rsidRPr="006803A1">
        <w:t xml:space="preserve">’ population of each case study). </w:t>
      </w:r>
    </w:p>
    <w:p w:rsidR="00D5643A" w:rsidRPr="001E5FAC" w:rsidRDefault="00D5643A" w:rsidP="00D5643A">
      <w:pPr>
        <w:pStyle w:val="EYBodytextwithparaspace"/>
      </w:pPr>
      <w:r w:rsidRPr="006803A1">
        <w:t>The first step is to convert the overall visitation figures noted above into unique visitors – i.e. the number of individual people who enter a building over a year, irrespective of how many times they go. The potential number</w:t>
      </w:r>
      <w:r w:rsidR="00254B45" w:rsidRPr="006803A1">
        <w:t xml:space="preserve"> </w:t>
      </w:r>
      <w:r w:rsidRPr="00450C12">
        <w:t xml:space="preserve">of </w:t>
      </w:r>
      <w:r w:rsidRPr="006220C9">
        <w:t xml:space="preserve">people with a </w:t>
      </w:r>
      <w:r w:rsidR="000F348C" w:rsidRPr="00866060">
        <w:t>complex</w:t>
      </w:r>
      <w:r w:rsidRPr="001E5FAC">
        <w:t xml:space="preserve"> disability </w:t>
      </w:r>
      <w:r w:rsidR="000F348C" w:rsidRPr="001E5FAC">
        <w:t xml:space="preserve">within the </w:t>
      </w:r>
      <w:r w:rsidRPr="001E5FAC">
        <w:t xml:space="preserve">‘catchment’ population is then estimated by multiplying the number of unique visitors by the estimated disability rate of 1.5% (refer Section </w:t>
      </w:r>
      <w:r w:rsidRPr="00B208D1">
        <w:fldChar w:fldCharType="begin"/>
      </w:r>
      <w:r w:rsidRPr="001E5FAC">
        <w:instrText xml:space="preserve"> REF _Ref504057824 \r \h </w:instrText>
      </w:r>
      <w:r w:rsidR="001E5FAC">
        <w:instrText xml:space="preserve"> \* MERGEFORMAT </w:instrText>
      </w:r>
      <w:r w:rsidRPr="00B208D1">
        <w:fldChar w:fldCharType="separate"/>
      </w:r>
      <w:r w:rsidR="00910A73">
        <w:t>5.1</w:t>
      </w:r>
      <w:r w:rsidRPr="00B208D1">
        <w:fldChar w:fldCharType="end"/>
      </w:r>
      <w:r w:rsidRPr="001E5FAC">
        <w:t>).</w:t>
      </w:r>
    </w:p>
    <w:p w:rsidR="00D5643A" w:rsidRPr="001E5FAC" w:rsidRDefault="003B32BF" w:rsidP="00D5643A">
      <w:pPr>
        <w:pStyle w:val="Caption"/>
      </w:pPr>
      <w:bookmarkStart w:id="594" w:name="_Toc525897828"/>
      <w:r w:rsidRPr="001E5FAC">
        <w:t xml:space="preserve">Table </w:t>
      </w:r>
      <w:r w:rsidR="00EC0E2D">
        <w:rPr>
          <w:noProof/>
        </w:rPr>
        <w:fldChar w:fldCharType="begin"/>
      </w:r>
      <w:r w:rsidR="00EC0E2D">
        <w:rPr>
          <w:noProof/>
        </w:rPr>
        <w:instrText xml:space="preserve"> STYLEREF  \s "EY Appendix" </w:instrText>
      </w:r>
      <w:r w:rsidR="00EC0E2D">
        <w:rPr>
          <w:noProof/>
        </w:rPr>
        <w:fldChar w:fldCharType="separate"/>
      </w:r>
      <w:r w:rsidR="00910A73">
        <w:rPr>
          <w:noProof/>
        </w:rPr>
        <w:t>A</w:t>
      </w:r>
      <w:r w:rsidR="00EC0E2D">
        <w:rPr>
          <w:noProof/>
        </w:rPr>
        <w:fldChar w:fldCharType="end"/>
      </w:r>
      <w:r w:rsidR="00325A73">
        <w:noBreakHyphen/>
      </w:r>
      <w:r w:rsidR="00D128AA">
        <w:rPr>
          <w:noProof/>
        </w:rPr>
        <w:fldChar w:fldCharType="begin"/>
      </w:r>
      <w:r w:rsidR="00D128AA">
        <w:rPr>
          <w:noProof/>
        </w:rPr>
        <w:instrText xml:space="preserve"> SEQ Table \* ARABIC \s 1 </w:instrText>
      </w:r>
      <w:r w:rsidR="00D128AA">
        <w:rPr>
          <w:noProof/>
        </w:rPr>
        <w:fldChar w:fldCharType="separate"/>
      </w:r>
      <w:r w:rsidR="00910A73">
        <w:rPr>
          <w:noProof/>
        </w:rPr>
        <w:t>3</w:t>
      </w:r>
      <w:r w:rsidR="00D128AA">
        <w:rPr>
          <w:noProof/>
        </w:rPr>
        <w:fldChar w:fldCharType="end"/>
      </w:r>
      <w:r w:rsidR="00D5643A" w:rsidRPr="001E5FAC">
        <w:t>: Estimating the ‘catchment’ population</w:t>
      </w:r>
      <w:bookmarkEnd w:id="594"/>
      <w:r w:rsidR="00D5643A" w:rsidRPr="001E5FAC">
        <w:t xml:space="preserve"> </w:t>
      </w:r>
    </w:p>
    <w:tbl>
      <w:tblPr>
        <w:tblStyle w:val="TableGrid"/>
        <w:tblW w:w="5077"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57" w:type="dxa"/>
          <w:right w:w="57" w:type="dxa"/>
        </w:tblCellMar>
        <w:tblLook w:val="04A0" w:firstRow="1" w:lastRow="0" w:firstColumn="1" w:lastColumn="0" w:noHBand="0" w:noVBand="1"/>
        <w:tblCaption w:val="Table A 3: Estimating the ‘catchment’ populatio"/>
        <w:tblDescription w:val="Estimates of the potential 'catchement' for each buildings type."/>
      </w:tblPr>
      <w:tblGrid>
        <w:gridCol w:w="1738"/>
        <w:gridCol w:w="1972"/>
        <w:gridCol w:w="1926"/>
        <w:gridCol w:w="2063"/>
        <w:gridCol w:w="2076"/>
      </w:tblGrid>
      <w:tr w:rsidR="00D5643A" w:rsidRPr="001E5FAC" w:rsidTr="0022711B">
        <w:trPr>
          <w:tblHeader/>
        </w:trPr>
        <w:tc>
          <w:tcPr>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22711B" w:rsidRDefault="00BF1928" w:rsidP="00DF1284">
            <w:pPr>
              <w:pStyle w:val="EYTableHeadingWhite"/>
              <w:rPr>
                <w:sz w:val="20"/>
                <w:szCs w:val="20"/>
              </w:rPr>
            </w:pPr>
            <w:r w:rsidRPr="0022711B">
              <w:rPr>
                <w:sz w:val="20"/>
                <w:szCs w:val="20"/>
              </w:rPr>
              <w:t>Building type</w:t>
            </w:r>
          </w:p>
        </w:tc>
        <w:tc>
          <w:tcPr>
            <w:tcW w:w="1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22711B" w:rsidRDefault="00D5643A" w:rsidP="00DF1284">
            <w:pPr>
              <w:pStyle w:val="EYTableHeadingWhite"/>
              <w:rPr>
                <w:sz w:val="20"/>
                <w:szCs w:val="20"/>
              </w:rPr>
            </w:pPr>
            <w:r w:rsidRPr="0022711B">
              <w:rPr>
                <w:sz w:val="20"/>
                <w:szCs w:val="20"/>
              </w:rPr>
              <w:t>Total annual visitation</w:t>
            </w:r>
          </w:p>
        </w:tc>
        <w:tc>
          <w:tcPr>
            <w:tcW w:w="1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22711B" w:rsidRDefault="00D5643A" w:rsidP="00DF1284">
            <w:pPr>
              <w:pStyle w:val="EYTableHeadingWhite"/>
              <w:rPr>
                <w:sz w:val="20"/>
                <w:szCs w:val="20"/>
              </w:rPr>
            </w:pPr>
            <w:r w:rsidRPr="0022711B">
              <w:rPr>
                <w:sz w:val="20"/>
                <w:szCs w:val="20"/>
              </w:rPr>
              <w:t>Average visits per year</w:t>
            </w:r>
          </w:p>
        </w:tc>
        <w:tc>
          <w:tcPr>
            <w:tcW w:w="20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22711B" w:rsidRDefault="00D5643A" w:rsidP="00B95DE0">
            <w:pPr>
              <w:pStyle w:val="EYTableHeadingWhite"/>
              <w:rPr>
                <w:sz w:val="20"/>
                <w:szCs w:val="20"/>
              </w:rPr>
            </w:pPr>
            <w:r w:rsidRPr="0022711B">
              <w:rPr>
                <w:sz w:val="20"/>
                <w:szCs w:val="20"/>
              </w:rPr>
              <w:t>Unique visitors per year</w:t>
            </w:r>
            <w:r w:rsidR="00B95DE0" w:rsidRPr="0022711B">
              <w:rPr>
                <w:sz w:val="20"/>
                <w:szCs w:val="20"/>
              </w:rPr>
              <w:t xml:space="preserve"> (Note 2)</w:t>
            </w:r>
          </w:p>
        </w:tc>
        <w:tc>
          <w:tcPr>
            <w:tcW w:w="2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22711B" w:rsidRDefault="00D5643A" w:rsidP="0079015D">
            <w:pPr>
              <w:pStyle w:val="EYTableHeadingWhite"/>
              <w:rPr>
                <w:sz w:val="20"/>
                <w:szCs w:val="20"/>
              </w:rPr>
            </w:pPr>
            <w:r w:rsidRPr="0022711B">
              <w:rPr>
                <w:sz w:val="20"/>
                <w:szCs w:val="20"/>
              </w:rPr>
              <w:t>Potential ‘</w:t>
            </w:r>
            <w:r w:rsidR="0079015D" w:rsidRPr="0022711B">
              <w:rPr>
                <w:sz w:val="20"/>
                <w:szCs w:val="20"/>
              </w:rPr>
              <w:t>catchment</w:t>
            </w:r>
            <w:r w:rsidRPr="0022711B">
              <w:rPr>
                <w:sz w:val="20"/>
                <w:szCs w:val="20"/>
              </w:rPr>
              <w:t>’ population</w:t>
            </w:r>
            <w:r w:rsidR="00B95DE0" w:rsidRPr="0022711B">
              <w:rPr>
                <w:sz w:val="20"/>
                <w:szCs w:val="20"/>
              </w:rPr>
              <w:t xml:space="preserve"> (Note 3)</w:t>
            </w:r>
          </w:p>
        </w:tc>
      </w:tr>
      <w:tr w:rsidR="00D5643A" w:rsidRPr="001E5FAC" w:rsidTr="0022711B">
        <w:tc>
          <w:tcPr>
            <w:tcW w:w="1739" w:type="dxa"/>
            <w:tcBorders>
              <w:top w:val="single" w:sz="4" w:space="0" w:color="FFFFFF" w:themeColor="background1"/>
            </w:tcBorders>
            <w:shd w:val="clear" w:color="auto" w:fill="auto"/>
            <w:noWrap/>
            <w:hideMark/>
          </w:tcPr>
          <w:p w:rsidR="00D5643A" w:rsidRPr="002667A8" w:rsidRDefault="00D5643A" w:rsidP="00DF1284">
            <w:pPr>
              <w:pStyle w:val="EYTableText"/>
              <w:rPr>
                <w:sz w:val="20"/>
                <w:szCs w:val="20"/>
                <w:lang w:eastAsia="en-AU"/>
              </w:rPr>
            </w:pPr>
            <w:r w:rsidRPr="002667A8">
              <w:rPr>
                <w:sz w:val="20"/>
                <w:szCs w:val="20"/>
                <w:lang w:eastAsia="en-AU"/>
              </w:rPr>
              <w:t>Major shopping centre</w:t>
            </w:r>
          </w:p>
        </w:tc>
        <w:tc>
          <w:tcPr>
            <w:tcW w:w="1972" w:type="dxa"/>
            <w:tcBorders>
              <w:top w:val="single" w:sz="4" w:space="0" w:color="FFFFFF" w:themeColor="background1"/>
            </w:tcBorders>
            <w:shd w:val="clear" w:color="auto" w:fill="auto"/>
            <w:noWrap/>
            <w:hideMark/>
          </w:tcPr>
          <w:p w:rsidR="00D5643A" w:rsidRPr="0022711B" w:rsidRDefault="00D5643A" w:rsidP="007E113B">
            <w:pPr>
              <w:pStyle w:val="EYTableText"/>
              <w:jc w:val="right"/>
              <w:rPr>
                <w:sz w:val="20"/>
                <w:szCs w:val="20"/>
                <w:lang w:eastAsia="en-AU"/>
              </w:rPr>
            </w:pPr>
            <w:r w:rsidRPr="0022711B">
              <w:rPr>
                <w:sz w:val="20"/>
                <w:szCs w:val="20"/>
                <w:lang w:eastAsia="en-AU"/>
              </w:rPr>
              <w:t>15 million</w:t>
            </w:r>
          </w:p>
        </w:tc>
        <w:tc>
          <w:tcPr>
            <w:tcW w:w="1926" w:type="dxa"/>
            <w:tcBorders>
              <w:top w:val="single" w:sz="4" w:space="0" w:color="FFFFFF" w:themeColor="background1"/>
            </w:tcBorders>
            <w:shd w:val="clear" w:color="auto" w:fill="auto"/>
            <w:noWrap/>
            <w:hideMark/>
          </w:tcPr>
          <w:p w:rsidR="00D5643A" w:rsidRPr="0022711B" w:rsidRDefault="00D5643A" w:rsidP="007E113B">
            <w:pPr>
              <w:pStyle w:val="EYTableText"/>
              <w:jc w:val="right"/>
              <w:rPr>
                <w:sz w:val="20"/>
                <w:szCs w:val="20"/>
                <w:lang w:eastAsia="en-AU"/>
              </w:rPr>
            </w:pPr>
            <w:r w:rsidRPr="0022711B">
              <w:rPr>
                <w:sz w:val="20"/>
                <w:szCs w:val="20"/>
                <w:lang w:eastAsia="en-AU"/>
              </w:rPr>
              <w:t>34.8</w:t>
            </w:r>
          </w:p>
          <w:p w:rsidR="00D5643A" w:rsidRPr="0022711B" w:rsidRDefault="00D5643A" w:rsidP="007E113B">
            <w:pPr>
              <w:pStyle w:val="EYTableText"/>
              <w:jc w:val="right"/>
              <w:rPr>
                <w:sz w:val="20"/>
                <w:szCs w:val="20"/>
                <w:lang w:eastAsia="en-AU"/>
              </w:rPr>
            </w:pPr>
            <w:r w:rsidRPr="0022711B">
              <w:rPr>
                <w:sz w:val="20"/>
                <w:szCs w:val="20"/>
                <w:lang w:eastAsia="en-AU"/>
              </w:rPr>
              <w:t>(Note 1)</w:t>
            </w:r>
          </w:p>
        </w:tc>
        <w:tc>
          <w:tcPr>
            <w:tcW w:w="2063" w:type="dxa"/>
            <w:tcBorders>
              <w:top w:val="single" w:sz="4" w:space="0" w:color="FFFFFF" w:themeColor="background1"/>
            </w:tcBorders>
            <w:shd w:val="clear" w:color="auto" w:fill="auto"/>
            <w:noWrap/>
            <w:hideMark/>
          </w:tcPr>
          <w:p w:rsidR="00D5643A" w:rsidRPr="0022711B" w:rsidRDefault="00D5643A" w:rsidP="007E113B">
            <w:pPr>
              <w:pStyle w:val="EYTableText"/>
              <w:jc w:val="right"/>
              <w:rPr>
                <w:sz w:val="20"/>
                <w:szCs w:val="20"/>
                <w:lang w:eastAsia="en-AU"/>
              </w:rPr>
            </w:pPr>
            <w:r w:rsidRPr="0022711B">
              <w:rPr>
                <w:sz w:val="20"/>
                <w:szCs w:val="20"/>
                <w:lang w:eastAsia="en-AU"/>
              </w:rPr>
              <w:t>431,034</w:t>
            </w:r>
          </w:p>
        </w:tc>
        <w:tc>
          <w:tcPr>
            <w:tcW w:w="2076" w:type="dxa"/>
            <w:tcBorders>
              <w:top w:val="single" w:sz="4" w:space="0" w:color="FFFFFF" w:themeColor="background1"/>
            </w:tcBorders>
            <w:shd w:val="clear" w:color="auto" w:fill="auto"/>
            <w:noWrap/>
            <w:hideMark/>
          </w:tcPr>
          <w:p w:rsidR="00D5643A" w:rsidRPr="0022711B" w:rsidRDefault="00D5643A" w:rsidP="007E113B">
            <w:pPr>
              <w:pStyle w:val="EYTableText"/>
              <w:jc w:val="right"/>
              <w:rPr>
                <w:sz w:val="20"/>
                <w:szCs w:val="20"/>
                <w:lang w:eastAsia="en-AU"/>
              </w:rPr>
            </w:pPr>
            <w:r w:rsidRPr="0022711B">
              <w:rPr>
                <w:sz w:val="20"/>
                <w:szCs w:val="20"/>
                <w:lang w:eastAsia="en-AU"/>
              </w:rPr>
              <w:t>6,479</w:t>
            </w:r>
          </w:p>
        </w:tc>
      </w:tr>
      <w:tr w:rsidR="00D5643A" w:rsidRPr="001E5FAC" w:rsidTr="00013CD3">
        <w:tc>
          <w:tcPr>
            <w:tcW w:w="1739" w:type="dxa"/>
            <w:shd w:val="clear" w:color="auto" w:fill="auto"/>
            <w:noWrap/>
          </w:tcPr>
          <w:p w:rsidR="00D5643A" w:rsidRPr="002667A8" w:rsidRDefault="00D5643A" w:rsidP="00DF1284">
            <w:pPr>
              <w:pStyle w:val="EYTableText"/>
              <w:rPr>
                <w:sz w:val="20"/>
                <w:szCs w:val="20"/>
                <w:lang w:eastAsia="en-AU"/>
              </w:rPr>
            </w:pPr>
            <w:r w:rsidRPr="002667A8">
              <w:rPr>
                <w:sz w:val="20"/>
                <w:szCs w:val="20"/>
                <w:lang w:eastAsia="en-AU"/>
              </w:rPr>
              <w:t>Smaller shopping centre</w:t>
            </w:r>
          </w:p>
        </w:tc>
        <w:tc>
          <w:tcPr>
            <w:tcW w:w="1972"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7 million</w:t>
            </w:r>
          </w:p>
        </w:tc>
        <w:tc>
          <w:tcPr>
            <w:tcW w:w="1926"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34.8</w:t>
            </w:r>
          </w:p>
          <w:p w:rsidR="00D5643A" w:rsidRPr="0022711B" w:rsidRDefault="00D5643A" w:rsidP="007E113B">
            <w:pPr>
              <w:pStyle w:val="EYTableText"/>
              <w:jc w:val="right"/>
              <w:rPr>
                <w:sz w:val="20"/>
                <w:szCs w:val="20"/>
                <w:lang w:eastAsia="en-AU"/>
              </w:rPr>
            </w:pPr>
            <w:r w:rsidRPr="0022711B">
              <w:rPr>
                <w:sz w:val="20"/>
                <w:szCs w:val="20"/>
                <w:lang w:eastAsia="en-AU"/>
              </w:rPr>
              <w:t>(Note 1)</w:t>
            </w:r>
          </w:p>
        </w:tc>
        <w:tc>
          <w:tcPr>
            <w:tcW w:w="2063"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201,149</w:t>
            </w:r>
          </w:p>
        </w:tc>
        <w:tc>
          <w:tcPr>
            <w:tcW w:w="2076"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3,023</w:t>
            </w:r>
          </w:p>
        </w:tc>
      </w:tr>
      <w:tr w:rsidR="00D5643A" w:rsidRPr="001E5FAC" w:rsidTr="00013CD3">
        <w:tc>
          <w:tcPr>
            <w:tcW w:w="1739" w:type="dxa"/>
            <w:shd w:val="clear" w:color="auto" w:fill="auto"/>
            <w:noWrap/>
          </w:tcPr>
          <w:p w:rsidR="00D5643A" w:rsidRPr="002667A8" w:rsidRDefault="00D5643A" w:rsidP="00DF1284">
            <w:pPr>
              <w:pStyle w:val="EYTableText"/>
              <w:rPr>
                <w:sz w:val="20"/>
                <w:szCs w:val="20"/>
                <w:lang w:eastAsia="en-AU"/>
              </w:rPr>
            </w:pPr>
            <w:r w:rsidRPr="002667A8">
              <w:rPr>
                <w:sz w:val="20"/>
                <w:szCs w:val="20"/>
                <w:lang w:eastAsia="en-AU"/>
              </w:rPr>
              <w:t>Museum</w:t>
            </w:r>
          </w:p>
        </w:tc>
        <w:tc>
          <w:tcPr>
            <w:tcW w:w="1972"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1 million</w:t>
            </w:r>
          </w:p>
          <w:p w:rsidR="00D5643A" w:rsidRPr="0022711B" w:rsidRDefault="00D5643A" w:rsidP="007E113B">
            <w:pPr>
              <w:pStyle w:val="EYTableText"/>
              <w:jc w:val="right"/>
              <w:rPr>
                <w:sz w:val="20"/>
                <w:szCs w:val="20"/>
                <w:lang w:eastAsia="en-AU"/>
              </w:rPr>
            </w:pPr>
            <w:r w:rsidRPr="0022711B">
              <w:rPr>
                <w:sz w:val="20"/>
                <w:szCs w:val="20"/>
                <w:lang w:eastAsia="en-AU"/>
              </w:rPr>
              <w:t>(Note 4)</w:t>
            </w:r>
          </w:p>
        </w:tc>
        <w:tc>
          <w:tcPr>
            <w:tcW w:w="1926"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2.5</w:t>
            </w:r>
          </w:p>
          <w:p w:rsidR="00D5643A" w:rsidRPr="0022711B" w:rsidRDefault="00D5643A" w:rsidP="007E113B">
            <w:pPr>
              <w:pStyle w:val="EYTableText"/>
              <w:jc w:val="right"/>
              <w:rPr>
                <w:sz w:val="20"/>
                <w:szCs w:val="20"/>
                <w:lang w:eastAsia="en-AU"/>
              </w:rPr>
            </w:pPr>
            <w:r w:rsidRPr="0022711B">
              <w:rPr>
                <w:sz w:val="20"/>
                <w:szCs w:val="20"/>
                <w:lang w:eastAsia="en-AU"/>
              </w:rPr>
              <w:t>(Note 5)</w:t>
            </w:r>
          </w:p>
        </w:tc>
        <w:tc>
          <w:tcPr>
            <w:tcW w:w="2063"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392,698</w:t>
            </w:r>
          </w:p>
        </w:tc>
        <w:tc>
          <w:tcPr>
            <w:tcW w:w="2076"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5,903</w:t>
            </w:r>
          </w:p>
        </w:tc>
      </w:tr>
      <w:tr w:rsidR="00D5643A" w:rsidRPr="001E5FAC" w:rsidTr="00013CD3">
        <w:tc>
          <w:tcPr>
            <w:tcW w:w="1739" w:type="dxa"/>
            <w:shd w:val="clear" w:color="auto" w:fill="auto"/>
            <w:noWrap/>
          </w:tcPr>
          <w:p w:rsidR="00D5643A" w:rsidRPr="002667A8" w:rsidRDefault="00D5643A" w:rsidP="00DF1284">
            <w:pPr>
              <w:pStyle w:val="EYTableText"/>
              <w:rPr>
                <w:sz w:val="20"/>
                <w:szCs w:val="20"/>
                <w:lang w:eastAsia="en-AU"/>
              </w:rPr>
            </w:pPr>
            <w:r w:rsidRPr="002667A8">
              <w:rPr>
                <w:sz w:val="20"/>
                <w:szCs w:val="20"/>
                <w:lang w:eastAsia="en-AU"/>
              </w:rPr>
              <w:t>Stadium</w:t>
            </w:r>
          </w:p>
        </w:tc>
        <w:tc>
          <w:tcPr>
            <w:tcW w:w="1972"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600,000</w:t>
            </w:r>
          </w:p>
          <w:p w:rsidR="00D5643A" w:rsidRPr="0022711B" w:rsidRDefault="00D5643A" w:rsidP="007E113B">
            <w:pPr>
              <w:pStyle w:val="EYTableText"/>
              <w:jc w:val="right"/>
              <w:rPr>
                <w:sz w:val="20"/>
                <w:szCs w:val="20"/>
                <w:lang w:eastAsia="en-AU"/>
              </w:rPr>
            </w:pPr>
            <w:r w:rsidRPr="0022711B">
              <w:rPr>
                <w:sz w:val="20"/>
                <w:szCs w:val="20"/>
                <w:lang w:eastAsia="en-AU"/>
              </w:rPr>
              <w:t>(Note 6)</w:t>
            </w:r>
          </w:p>
        </w:tc>
        <w:tc>
          <w:tcPr>
            <w:tcW w:w="1926"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4</w:t>
            </w:r>
          </w:p>
          <w:p w:rsidR="00D5643A" w:rsidRPr="0022711B" w:rsidRDefault="00D5643A" w:rsidP="007E113B">
            <w:pPr>
              <w:pStyle w:val="EYTableText"/>
              <w:jc w:val="right"/>
              <w:rPr>
                <w:sz w:val="20"/>
                <w:szCs w:val="20"/>
                <w:lang w:eastAsia="en-AU"/>
              </w:rPr>
            </w:pPr>
            <w:r w:rsidRPr="0022711B">
              <w:rPr>
                <w:sz w:val="20"/>
                <w:szCs w:val="20"/>
                <w:lang w:eastAsia="en-AU"/>
              </w:rPr>
              <w:t>(Note 7)</w:t>
            </w:r>
          </w:p>
        </w:tc>
        <w:tc>
          <w:tcPr>
            <w:tcW w:w="2063"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150,000</w:t>
            </w:r>
          </w:p>
        </w:tc>
        <w:tc>
          <w:tcPr>
            <w:tcW w:w="2076"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2,255</w:t>
            </w:r>
          </w:p>
        </w:tc>
      </w:tr>
      <w:tr w:rsidR="001131FC" w:rsidRPr="001E5FAC" w:rsidTr="00013CD3">
        <w:tc>
          <w:tcPr>
            <w:tcW w:w="1739" w:type="dxa"/>
            <w:shd w:val="clear" w:color="auto" w:fill="auto"/>
            <w:noWrap/>
          </w:tcPr>
          <w:p w:rsidR="001131FC" w:rsidRPr="0022711B" w:rsidRDefault="001131FC" w:rsidP="00DF1284">
            <w:pPr>
              <w:pStyle w:val="EYTableText"/>
              <w:rPr>
                <w:sz w:val="20"/>
                <w:szCs w:val="20"/>
                <w:lang w:eastAsia="en-AU"/>
              </w:rPr>
            </w:pPr>
            <w:r w:rsidRPr="0022711B">
              <w:rPr>
                <w:sz w:val="20"/>
                <w:szCs w:val="20"/>
                <w:lang w:eastAsia="en-AU"/>
              </w:rPr>
              <w:t>Airport</w:t>
            </w:r>
            <w:r w:rsidR="00EF1C3A" w:rsidRPr="0022711B">
              <w:rPr>
                <w:sz w:val="20"/>
                <w:szCs w:val="20"/>
                <w:lang w:eastAsia="en-AU"/>
              </w:rPr>
              <w:t xml:space="preserve"> (Note 8)</w:t>
            </w:r>
          </w:p>
        </w:tc>
        <w:tc>
          <w:tcPr>
            <w:tcW w:w="1972" w:type="dxa"/>
            <w:shd w:val="clear" w:color="auto" w:fill="auto"/>
            <w:noWrap/>
          </w:tcPr>
          <w:p w:rsidR="001131FC" w:rsidRPr="0022711B" w:rsidRDefault="006A2FA5" w:rsidP="007E113B">
            <w:pPr>
              <w:pStyle w:val="EYTableText"/>
              <w:jc w:val="right"/>
              <w:rPr>
                <w:sz w:val="20"/>
                <w:szCs w:val="20"/>
                <w:lang w:eastAsia="en-AU"/>
              </w:rPr>
            </w:pPr>
            <w:r w:rsidRPr="0022711B">
              <w:rPr>
                <w:sz w:val="20"/>
                <w:szCs w:val="20"/>
                <w:lang w:eastAsia="en-AU"/>
              </w:rPr>
              <w:t>5 million</w:t>
            </w:r>
          </w:p>
        </w:tc>
        <w:tc>
          <w:tcPr>
            <w:tcW w:w="1926" w:type="dxa"/>
            <w:shd w:val="clear" w:color="auto" w:fill="auto"/>
            <w:noWrap/>
          </w:tcPr>
          <w:p w:rsidR="00EF1C3A" w:rsidRPr="0022711B" w:rsidRDefault="004705C6" w:rsidP="007E113B">
            <w:pPr>
              <w:pStyle w:val="EYTableText"/>
              <w:jc w:val="right"/>
              <w:rPr>
                <w:sz w:val="20"/>
                <w:szCs w:val="20"/>
                <w:lang w:eastAsia="en-AU"/>
              </w:rPr>
            </w:pPr>
            <w:r w:rsidRPr="0022711B">
              <w:rPr>
                <w:sz w:val="20"/>
                <w:szCs w:val="20"/>
                <w:lang w:eastAsia="en-AU"/>
              </w:rPr>
              <w:t>0.22</w:t>
            </w:r>
          </w:p>
          <w:p w:rsidR="00EF1C3A" w:rsidRPr="0022711B" w:rsidRDefault="00EF1C3A" w:rsidP="007E113B">
            <w:pPr>
              <w:pStyle w:val="EYTableText"/>
              <w:jc w:val="right"/>
              <w:rPr>
                <w:sz w:val="20"/>
                <w:szCs w:val="20"/>
                <w:lang w:eastAsia="en-AU"/>
              </w:rPr>
            </w:pPr>
            <w:r w:rsidRPr="0022711B">
              <w:rPr>
                <w:sz w:val="20"/>
                <w:szCs w:val="20"/>
                <w:lang w:eastAsia="en-AU"/>
              </w:rPr>
              <w:lastRenderedPageBreak/>
              <w:t>(Note 9)</w:t>
            </w:r>
          </w:p>
        </w:tc>
        <w:tc>
          <w:tcPr>
            <w:tcW w:w="2063" w:type="dxa"/>
            <w:shd w:val="clear" w:color="auto" w:fill="auto"/>
            <w:noWrap/>
          </w:tcPr>
          <w:p w:rsidR="001131FC" w:rsidRPr="0022711B" w:rsidRDefault="007032B3" w:rsidP="007E113B">
            <w:pPr>
              <w:pStyle w:val="EYTableText"/>
              <w:jc w:val="right"/>
              <w:rPr>
                <w:sz w:val="20"/>
                <w:szCs w:val="20"/>
                <w:lang w:eastAsia="en-AU"/>
              </w:rPr>
            </w:pPr>
            <w:r w:rsidRPr="0022711B">
              <w:rPr>
                <w:sz w:val="20"/>
                <w:szCs w:val="20"/>
                <w:lang w:eastAsia="en-AU"/>
              </w:rPr>
              <w:lastRenderedPageBreak/>
              <w:t>Not applicable</w:t>
            </w:r>
          </w:p>
        </w:tc>
        <w:tc>
          <w:tcPr>
            <w:tcW w:w="2076" w:type="dxa"/>
            <w:shd w:val="clear" w:color="auto" w:fill="auto"/>
            <w:noWrap/>
          </w:tcPr>
          <w:p w:rsidR="001131FC" w:rsidRPr="0022711B" w:rsidRDefault="007032B3" w:rsidP="007E113B">
            <w:pPr>
              <w:pStyle w:val="EYTableText"/>
              <w:jc w:val="right"/>
              <w:rPr>
                <w:sz w:val="20"/>
                <w:szCs w:val="20"/>
                <w:lang w:eastAsia="en-AU"/>
              </w:rPr>
            </w:pPr>
            <w:r w:rsidRPr="0022711B">
              <w:rPr>
                <w:sz w:val="20"/>
                <w:szCs w:val="20"/>
                <w:lang w:eastAsia="en-AU"/>
              </w:rPr>
              <w:t>Not applicable</w:t>
            </w:r>
          </w:p>
        </w:tc>
      </w:tr>
      <w:tr w:rsidR="001131FC" w:rsidRPr="001E5FAC" w:rsidTr="00013CD3">
        <w:tc>
          <w:tcPr>
            <w:tcW w:w="1739" w:type="dxa"/>
            <w:shd w:val="clear" w:color="auto" w:fill="auto"/>
            <w:noWrap/>
          </w:tcPr>
          <w:p w:rsidR="001131FC" w:rsidRPr="0022711B" w:rsidRDefault="001131FC" w:rsidP="00DF1284">
            <w:pPr>
              <w:pStyle w:val="EYTableText"/>
              <w:rPr>
                <w:sz w:val="20"/>
                <w:szCs w:val="20"/>
                <w:lang w:eastAsia="en-AU"/>
              </w:rPr>
            </w:pPr>
            <w:r w:rsidRPr="0022711B">
              <w:rPr>
                <w:sz w:val="20"/>
                <w:szCs w:val="20"/>
                <w:lang w:eastAsia="en-AU"/>
              </w:rPr>
              <w:t>Public aquatic facility</w:t>
            </w:r>
          </w:p>
          <w:p w:rsidR="00EF1C3A" w:rsidRPr="0022711B" w:rsidRDefault="00EF1C3A" w:rsidP="00DF1284">
            <w:pPr>
              <w:pStyle w:val="EYTableText"/>
              <w:rPr>
                <w:sz w:val="20"/>
                <w:szCs w:val="20"/>
                <w:lang w:eastAsia="en-AU"/>
              </w:rPr>
            </w:pPr>
            <w:r w:rsidRPr="0022711B">
              <w:rPr>
                <w:sz w:val="20"/>
                <w:szCs w:val="20"/>
                <w:lang w:eastAsia="en-AU"/>
              </w:rPr>
              <w:t>(Note 10)</w:t>
            </w:r>
          </w:p>
        </w:tc>
        <w:tc>
          <w:tcPr>
            <w:tcW w:w="1972" w:type="dxa"/>
            <w:shd w:val="clear" w:color="auto" w:fill="auto"/>
            <w:noWrap/>
          </w:tcPr>
          <w:p w:rsidR="006A2FA5" w:rsidRPr="0022711B" w:rsidRDefault="006A2FA5" w:rsidP="007E113B">
            <w:pPr>
              <w:pStyle w:val="EYTableText"/>
              <w:jc w:val="right"/>
              <w:rPr>
                <w:sz w:val="20"/>
                <w:szCs w:val="20"/>
                <w:lang w:eastAsia="en-AU"/>
              </w:rPr>
            </w:pPr>
            <w:r w:rsidRPr="0022711B">
              <w:rPr>
                <w:sz w:val="20"/>
                <w:szCs w:val="20"/>
                <w:lang w:eastAsia="en-AU"/>
              </w:rPr>
              <w:t>90,694</w:t>
            </w:r>
          </w:p>
          <w:p w:rsidR="001131FC" w:rsidRPr="0022711B" w:rsidRDefault="001131FC" w:rsidP="007E113B">
            <w:pPr>
              <w:pStyle w:val="EYTableText"/>
              <w:jc w:val="right"/>
              <w:rPr>
                <w:sz w:val="20"/>
                <w:szCs w:val="20"/>
                <w:lang w:eastAsia="en-AU"/>
              </w:rPr>
            </w:pPr>
          </w:p>
        </w:tc>
        <w:tc>
          <w:tcPr>
            <w:tcW w:w="1926" w:type="dxa"/>
            <w:shd w:val="clear" w:color="auto" w:fill="auto"/>
            <w:noWrap/>
          </w:tcPr>
          <w:p w:rsidR="001131FC" w:rsidRPr="0022711B" w:rsidRDefault="00BA3FA0" w:rsidP="007E113B">
            <w:pPr>
              <w:pStyle w:val="EYTableText"/>
              <w:jc w:val="right"/>
              <w:rPr>
                <w:sz w:val="20"/>
                <w:szCs w:val="20"/>
                <w:lang w:eastAsia="en-AU"/>
              </w:rPr>
            </w:pPr>
            <w:r w:rsidRPr="0022711B">
              <w:rPr>
                <w:sz w:val="20"/>
                <w:szCs w:val="20"/>
                <w:lang w:eastAsia="en-AU"/>
              </w:rPr>
              <w:t>4.0</w:t>
            </w:r>
          </w:p>
          <w:p w:rsidR="00EF1C3A" w:rsidRPr="0022711B" w:rsidRDefault="00EF1C3A" w:rsidP="007E113B">
            <w:pPr>
              <w:pStyle w:val="EYTableText"/>
              <w:jc w:val="right"/>
              <w:rPr>
                <w:sz w:val="20"/>
                <w:szCs w:val="20"/>
                <w:lang w:eastAsia="en-AU"/>
              </w:rPr>
            </w:pPr>
            <w:r w:rsidRPr="0022711B">
              <w:rPr>
                <w:sz w:val="20"/>
                <w:szCs w:val="20"/>
                <w:lang w:eastAsia="en-AU"/>
              </w:rPr>
              <w:t>(Note 11)</w:t>
            </w:r>
          </w:p>
        </w:tc>
        <w:tc>
          <w:tcPr>
            <w:tcW w:w="2063" w:type="dxa"/>
            <w:shd w:val="clear" w:color="auto" w:fill="auto"/>
            <w:noWrap/>
          </w:tcPr>
          <w:p w:rsidR="001131FC" w:rsidRPr="0022711B" w:rsidRDefault="007032B3" w:rsidP="007E113B">
            <w:pPr>
              <w:pStyle w:val="EYTableText"/>
              <w:jc w:val="right"/>
              <w:rPr>
                <w:sz w:val="20"/>
                <w:szCs w:val="20"/>
                <w:lang w:eastAsia="en-AU"/>
              </w:rPr>
            </w:pPr>
            <w:r w:rsidRPr="0022711B">
              <w:rPr>
                <w:sz w:val="20"/>
                <w:szCs w:val="20"/>
                <w:lang w:eastAsia="en-AU"/>
              </w:rPr>
              <w:t>Not applicable</w:t>
            </w:r>
          </w:p>
        </w:tc>
        <w:tc>
          <w:tcPr>
            <w:tcW w:w="2076" w:type="dxa"/>
            <w:shd w:val="clear" w:color="auto" w:fill="auto"/>
            <w:noWrap/>
          </w:tcPr>
          <w:p w:rsidR="001131FC" w:rsidRPr="0022711B" w:rsidRDefault="007032B3" w:rsidP="007E113B">
            <w:pPr>
              <w:pStyle w:val="EYTableText"/>
              <w:jc w:val="right"/>
              <w:rPr>
                <w:sz w:val="20"/>
                <w:szCs w:val="20"/>
                <w:lang w:eastAsia="en-AU"/>
              </w:rPr>
            </w:pPr>
            <w:r w:rsidRPr="0022711B">
              <w:rPr>
                <w:sz w:val="20"/>
                <w:szCs w:val="20"/>
                <w:lang w:eastAsia="en-AU"/>
              </w:rPr>
              <w:t>Not applicable</w:t>
            </w:r>
          </w:p>
        </w:tc>
      </w:tr>
    </w:tbl>
    <w:p w:rsidR="00D5643A" w:rsidRPr="001E5FAC" w:rsidRDefault="00040312" w:rsidP="00D5643A">
      <w:pPr>
        <w:pStyle w:val="EYBodytextwithparaspace"/>
        <w:rPr>
          <w:vertAlign w:val="superscript"/>
        </w:rPr>
      </w:pPr>
      <w:r>
        <w:br/>
      </w:r>
      <w:r w:rsidR="00D5643A" w:rsidRPr="001E5FAC">
        <w:t xml:space="preserve">Note 1: The </w:t>
      </w:r>
      <w:r w:rsidR="0077562E">
        <w:t>I</w:t>
      </w:r>
      <w:r w:rsidR="00D5643A" w:rsidRPr="001E5FAC">
        <w:t xml:space="preserve">nternational </w:t>
      </w:r>
      <w:r w:rsidR="0077562E">
        <w:t>C</w:t>
      </w:r>
      <w:r w:rsidR="00D5643A" w:rsidRPr="001E5FAC">
        <w:t xml:space="preserve">ouncil of </w:t>
      </w:r>
      <w:r w:rsidR="0077562E">
        <w:t>S</w:t>
      </w:r>
      <w:r w:rsidR="00D5643A" w:rsidRPr="001E5FAC">
        <w:t xml:space="preserve">hopping </w:t>
      </w:r>
      <w:r w:rsidR="0077562E">
        <w:t>C</w:t>
      </w:r>
      <w:r w:rsidR="00D5643A" w:rsidRPr="001E5FAC">
        <w:t xml:space="preserve">entres has estimated that </w:t>
      </w:r>
      <w:r w:rsidR="005740EE">
        <w:t>o</w:t>
      </w:r>
      <w:r w:rsidR="005740EE" w:rsidRPr="001E5FAC">
        <w:t xml:space="preserve">n </w:t>
      </w:r>
      <w:r w:rsidR="00D5643A" w:rsidRPr="001E5FAC">
        <w:t>average people visit shopping centres 2.9 times per months (34.8 per year)</w:t>
      </w:r>
      <w:r w:rsidR="00521818" w:rsidRPr="001E5FAC">
        <w:t>.</w:t>
      </w:r>
      <w:r w:rsidR="00D5643A" w:rsidRPr="001E5FAC">
        <w:rPr>
          <w:vertAlign w:val="superscript"/>
        </w:rPr>
        <w:footnoteReference w:id="95"/>
      </w:r>
      <w:r w:rsidR="00D5643A" w:rsidRPr="001E5FAC">
        <w:rPr>
          <w:vertAlign w:val="superscript"/>
        </w:rPr>
        <w:t xml:space="preserve"> </w:t>
      </w:r>
    </w:p>
    <w:p w:rsidR="00D5643A" w:rsidRPr="001E5FAC" w:rsidRDefault="00D5643A" w:rsidP="00D5643A">
      <w:pPr>
        <w:pStyle w:val="EYBodytextwithparaspace"/>
      </w:pPr>
      <w:r w:rsidRPr="001E5FAC">
        <w:t>Note 2: Annual visitation/average visits per year</w:t>
      </w:r>
      <w:r w:rsidR="00E4605C" w:rsidRPr="001E5FAC">
        <w:t xml:space="preserve"> for shopping centres, museums and stadiums.</w:t>
      </w:r>
    </w:p>
    <w:p w:rsidR="00D5643A" w:rsidRPr="001E5FAC" w:rsidRDefault="00D5643A" w:rsidP="00D5643A">
      <w:pPr>
        <w:pStyle w:val="EYBodytextwithparaspace"/>
      </w:pPr>
      <w:r w:rsidRPr="001E5FAC">
        <w:t xml:space="preserve">Note 3: Unique visitors per year </w:t>
      </w:r>
      <w:r w:rsidR="00AF53B0" w:rsidRPr="001E5FAC">
        <w:t>x</w:t>
      </w:r>
      <w:r w:rsidRPr="001E5FAC">
        <w:t xml:space="preserve"> disability rate (1.5%)</w:t>
      </w:r>
      <w:r w:rsidR="00E4605C" w:rsidRPr="001E5FAC">
        <w:t xml:space="preserve"> for shopping centres, museums and stadiums.</w:t>
      </w:r>
    </w:p>
    <w:p w:rsidR="00D5643A" w:rsidRPr="001E5FAC" w:rsidRDefault="00D5643A" w:rsidP="00D5643A">
      <w:pPr>
        <w:pStyle w:val="EYBodytextwithparaspace"/>
      </w:pPr>
      <w:r w:rsidRPr="001E5FAC">
        <w:t>Note 4: Selected as equivalent to the median visitation of 13 museums around Australia.</w:t>
      </w:r>
    </w:p>
    <w:p w:rsidR="00D5643A" w:rsidRPr="001E5FAC" w:rsidRDefault="00D5643A" w:rsidP="00D5643A">
      <w:pPr>
        <w:pStyle w:val="EYBodytextwithparaspace"/>
      </w:pPr>
      <w:r w:rsidRPr="001E5FAC">
        <w:t>Note 5: Weighted average number of trips per year to museum from ABS 4114.0.</w:t>
      </w:r>
    </w:p>
    <w:p w:rsidR="00D5643A" w:rsidRPr="001E5FAC" w:rsidRDefault="00D5643A" w:rsidP="00D5643A">
      <w:pPr>
        <w:pStyle w:val="EYBodytextwithparaspace"/>
      </w:pPr>
      <w:r w:rsidRPr="001E5FAC">
        <w:t xml:space="preserve">Note 6: </w:t>
      </w:r>
      <w:r w:rsidR="00AF53B0" w:rsidRPr="001E5FAC">
        <w:t>E</w:t>
      </w:r>
      <w:r w:rsidRPr="001E5FAC">
        <w:t>quivalent to the average annual attendance at The Gabba, Suncorp Stadium, Sydney Football Stadium, Hunter Stadium, Melbourne Rectangular Stadium, and Canberra Stadium.</w:t>
      </w:r>
    </w:p>
    <w:p w:rsidR="00D5643A" w:rsidRPr="00AF7114" w:rsidRDefault="00D5643A" w:rsidP="00D5643A">
      <w:pPr>
        <w:pStyle w:val="EYBodytextwithparaspace"/>
      </w:pPr>
      <w:r w:rsidRPr="001E5FAC">
        <w:t xml:space="preserve">Note 7: EY assumption. It is assumed that people with a propensity to go to a stadium in </w:t>
      </w:r>
      <w:r w:rsidRPr="00AF7114">
        <w:t>the first place will be those who are likely to make multiple trips.</w:t>
      </w:r>
    </w:p>
    <w:p w:rsidR="00EF1C3A" w:rsidRPr="00AF7114" w:rsidRDefault="00EF1C3A" w:rsidP="00D5643A">
      <w:pPr>
        <w:pStyle w:val="EYBodytextwithparaspace"/>
      </w:pPr>
      <w:r w:rsidRPr="00AF7114">
        <w:t>Note 8:</w:t>
      </w:r>
      <w:r w:rsidR="00033EB8" w:rsidRPr="00AF7114">
        <w:t xml:space="preserve"> The a</w:t>
      </w:r>
      <w:r w:rsidR="001F59F7" w:rsidRPr="00AF7114">
        <w:t xml:space="preserve">irport case study </w:t>
      </w:r>
      <w:r w:rsidR="007032B3" w:rsidRPr="00AF7114">
        <w:t>uses</w:t>
      </w:r>
      <w:r w:rsidR="00033EB8" w:rsidRPr="00AF7114">
        <w:t xml:space="preserve"> total annual visitation, the core cohort percentage of the total population and an estimate </w:t>
      </w:r>
      <w:r w:rsidR="0077562E">
        <w:t xml:space="preserve">of </w:t>
      </w:r>
      <w:r w:rsidR="00033EB8" w:rsidRPr="00AF7114">
        <w:t>person</w:t>
      </w:r>
      <w:r w:rsidR="0077562E">
        <w:t xml:space="preserve">s with </w:t>
      </w:r>
      <w:r w:rsidR="00503BD2">
        <w:t>disabiliti</w:t>
      </w:r>
      <w:r w:rsidR="00503BD2" w:rsidRPr="00AF7114">
        <w:t>es</w:t>
      </w:r>
      <w:r w:rsidR="00033EB8" w:rsidRPr="00AF7114">
        <w:t xml:space="preserve">’ propensity to travel per year </w:t>
      </w:r>
      <w:r w:rsidR="00AF53B0" w:rsidRPr="00AF7114">
        <w:t xml:space="preserve">have been used </w:t>
      </w:r>
      <w:r w:rsidR="00033EB8" w:rsidRPr="00AF7114">
        <w:t>to determine the potential ‘catchment’ population.</w:t>
      </w:r>
      <w:r w:rsidR="007032B3" w:rsidRPr="00AF7114">
        <w:t xml:space="preserve"> </w:t>
      </w:r>
    </w:p>
    <w:p w:rsidR="00EF1C3A" w:rsidRPr="00AF7114" w:rsidRDefault="00EF1C3A" w:rsidP="00D5643A">
      <w:pPr>
        <w:pStyle w:val="EYBodytextwithparaspace"/>
      </w:pPr>
      <w:r w:rsidRPr="00AF7114">
        <w:t>Note 9:</w:t>
      </w:r>
      <w:r w:rsidR="00E4605C" w:rsidRPr="00AF7114">
        <w:t xml:space="preserve"> </w:t>
      </w:r>
      <w:r w:rsidR="000931BF" w:rsidRPr="00AF7114">
        <w:t xml:space="preserve">Based on data that </w:t>
      </w:r>
      <w:r w:rsidR="00AF53B0" w:rsidRPr="00AF7114">
        <w:t xml:space="preserve">shows </w:t>
      </w:r>
      <w:r w:rsidR="000931BF" w:rsidRPr="00AF7114">
        <w:t>22</w:t>
      </w:r>
      <w:r w:rsidR="0077562E" w:rsidRPr="001E5FAC">
        <w:t>%</w:t>
      </w:r>
      <w:r w:rsidR="000931BF" w:rsidRPr="00AF7114">
        <w:t xml:space="preserve"> of people with disabilit</w:t>
      </w:r>
      <w:r w:rsidR="0077562E">
        <w:t>y</w:t>
      </w:r>
      <w:r w:rsidR="000931BF" w:rsidRPr="00AF7114">
        <w:t xml:space="preserve"> recall taking an overnight trip</w:t>
      </w:r>
      <w:r w:rsidR="004705C6" w:rsidRPr="00AF7114">
        <w:t xml:space="preserve"> in</w:t>
      </w:r>
      <w:r w:rsidR="000931BF" w:rsidRPr="00AF7114">
        <w:t xml:space="preserve"> the past three months</w:t>
      </w:r>
      <w:r w:rsidR="00F47173" w:rsidRPr="0022711B">
        <w:rPr>
          <w:rStyle w:val="FootnoteReference"/>
          <w:sz w:val="24"/>
          <w:szCs w:val="24"/>
        </w:rPr>
        <w:footnoteReference w:id="96"/>
      </w:r>
      <w:r w:rsidR="000931BF" w:rsidRPr="00AF7114">
        <w:t xml:space="preserve">. </w:t>
      </w:r>
      <w:r w:rsidR="004705C6" w:rsidRPr="00AF7114">
        <w:t xml:space="preserve">Sensitivity around this assumption is provided in </w:t>
      </w:r>
      <w:r w:rsidR="007C69BF">
        <w:t>S</w:t>
      </w:r>
      <w:r w:rsidR="007C69BF" w:rsidRPr="00AF7114">
        <w:t xml:space="preserve">ection </w:t>
      </w:r>
      <w:r w:rsidR="004705C6" w:rsidRPr="00AF7114">
        <w:fldChar w:fldCharType="begin"/>
      </w:r>
      <w:r w:rsidR="004705C6" w:rsidRPr="00AF7114">
        <w:instrText xml:space="preserve"> REF _Ref518580920 \r \h </w:instrText>
      </w:r>
      <w:r w:rsidR="004705C6" w:rsidRPr="00AF7114">
        <w:fldChar w:fldCharType="separate"/>
      </w:r>
      <w:r w:rsidR="00910A73">
        <w:t>7.2.8</w:t>
      </w:r>
      <w:r w:rsidR="004705C6" w:rsidRPr="00AF7114">
        <w:fldChar w:fldCharType="end"/>
      </w:r>
      <w:r w:rsidR="00221ECC" w:rsidRPr="00AF7114">
        <w:t>.</w:t>
      </w:r>
    </w:p>
    <w:p w:rsidR="00EF1C3A" w:rsidRPr="001E5FAC" w:rsidRDefault="00EF1C3A" w:rsidP="00D5643A">
      <w:pPr>
        <w:pStyle w:val="EYBodytextwithparaspace"/>
      </w:pPr>
      <w:r w:rsidRPr="00AF7114">
        <w:t>Note 10:</w:t>
      </w:r>
      <w:r w:rsidR="00E4605C" w:rsidRPr="00AF7114">
        <w:t xml:space="preserve"> </w:t>
      </w:r>
      <w:r w:rsidR="007A66B9" w:rsidRPr="00AF7114">
        <w:t xml:space="preserve">EY assumption. </w:t>
      </w:r>
      <w:r w:rsidR="00E4605C" w:rsidRPr="00AF7114">
        <w:t xml:space="preserve">The public aquatic facility case study </w:t>
      </w:r>
      <w:r w:rsidR="00AC110F" w:rsidRPr="00AF7114">
        <w:t>uses a range of feeder population estimates determined by EY</w:t>
      </w:r>
      <w:r w:rsidR="007A66B9" w:rsidRPr="00AF7114">
        <w:t>.</w:t>
      </w:r>
    </w:p>
    <w:p w:rsidR="005D571E" w:rsidRPr="001E5FAC" w:rsidRDefault="00EF1C3A">
      <w:pPr>
        <w:pStyle w:val="EYBodytextwithparaspace"/>
      </w:pPr>
      <w:r w:rsidRPr="00AF7114">
        <w:t>Note 11: Four average visits per person per year is a conservative adjustment of the 4.4 visits source figure.</w:t>
      </w:r>
      <w:r w:rsidR="009C3BFE" w:rsidRPr="0022711B">
        <w:rPr>
          <w:vertAlign w:val="superscript"/>
        </w:rPr>
        <w:footnoteReference w:id="97"/>
      </w:r>
    </w:p>
    <w:p w:rsidR="00D5643A" w:rsidRPr="00D14EDB" w:rsidRDefault="00D5643A">
      <w:pPr>
        <w:pStyle w:val="EYAppendixHeading2"/>
      </w:pPr>
      <w:r w:rsidRPr="00D14EDB">
        <w:lastRenderedPageBreak/>
        <w:t xml:space="preserve">Number of trips, </w:t>
      </w:r>
      <w:r w:rsidR="00B278F9" w:rsidRPr="00D14EDB">
        <w:t xml:space="preserve">and </w:t>
      </w:r>
      <w:r w:rsidRPr="00D14EDB">
        <w:t>entry fees</w:t>
      </w:r>
    </w:p>
    <w:p w:rsidR="00D5643A" w:rsidRPr="00D14EDB" w:rsidRDefault="00D5643A" w:rsidP="009260BA">
      <w:pPr>
        <w:pStyle w:val="EYAppendixHeading3"/>
      </w:pPr>
      <w:r w:rsidRPr="00D14EDB">
        <w:t>How many ‘additional’ trips will be made due to AACFs?</w:t>
      </w:r>
    </w:p>
    <w:p w:rsidR="00D5643A" w:rsidRPr="006803A1" w:rsidRDefault="00D5643A" w:rsidP="00D5643A">
      <w:pPr>
        <w:pStyle w:val="EYBodytextwithparaspace"/>
      </w:pPr>
      <w:r w:rsidRPr="006803A1">
        <w:t>The estimated number of people with a complex disability who will actually go to a shopping centre, museum or stadium from a ‘catchment’ population now needs to be refined.</w:t>
      </w:r>
    </w:p>
    <w:p w:rsidR="00D5643A" w:rsidRPr="001E5FAC" w:rsidRDefault="00D5643A" w:rsidP="00D5643A">
      <w:pPr>
        <w:pStyle w:val="EYBodytextwithparaspace"/>
      </w:pPr>
      <w:r w:rsidRPr="006803A1">
        <w:t>In this regard, there are two types of visitor</w:t>
      </w:r>
      <w:r w:rsidR="00206AEC">
        <w:t>;</w:t>
      </w:r>
      <w:r w:rsidRPr="006803A1">
        <w:t xml:space="preserve"> those who already go to shopping centres, museums or stadi</w:t>
      </w:r>
      <w:r w:rsidR="00BE1DFA" w:rsidRPr="006803A1">
        <w:t>ums</w:t>
      </w:r>
      <w:r w:rsidRPr="006803A1">
        <w:t>, and those who do not.</w:t>
      </w:r>
      <w:r w:rsidR="002D1223" w:rsidRPr="00450C12">
        <w:t xml:space="preserve"> </w:t>
      </w:r>
      <w:r w:rsidR="002D1223" w:rsidRPr="00AF7114">
        <w:t xml:space="preserve">Due to data limitations for airports and public aquatic facilities, it was assumed that </w:t>
      </w:r>
      <w:r w:rsidR="002B1414" w:rsidRPr="00AF7114">
        <w:t xml:space="preserve">new AACFs are installed only in areas not currently serviced by such </w:t>
      </w:r>
      <w:r w:rsidR="004705C6" w:rsidRPr="00AF7114">
        <w:t>facilities</w:t>
      </w:r>
      <w:r w:rsidR="002D1223" w:rsidRPr="00AF7114">
        <w:t>. Therefore, all trips for an airport or public aquatic facility would be additional. These additional trips would meet the propensity to travel for people</w:t>
      </w:r>
      <w:r w:rsidR="00206AEC">
        <w:t xml:space="preserve"> with disability</w:t>
      </w:r>
      <w:r w:rsidR="002D1223" w:rsidRPr="00AF7114">
        <w:t xml:space="preserve"> for airports, and the average visits per year for public aquatic facilities.</w:t>
      </w:r>
    </w:p>
    <w:p w:rsidR="00D5643A" w:rsidRPr="00D14EDB" w:rsidRDefault="00D5643A" w:rsidP="00D5643A">
      <w:pPr>
        <w:pStyle w:val="EYBodytextwithparaspace"/>
      </w:pPr>
      <w:r w:rsidRPr="002B182F">
        <w:t>For shopping centres, a relatively straightforward assumption is made that all those wit</w:t>
      </w:r>
      <w:r w:rsidRPr="00D14EDB">
        <w:t>h a complex disability who reside close enough to the shopping centre will make additional trips to the centre. This assumption was verified through the consultation process.</w:t>
      </w:r>
    </w:p>
    <w:p w:rsidR="00D5643A" w:rsidRPr="001E5FAC" w:rsidRDefault="00D5643A" w:rsidP="00D5643A">
      <w:pPr>
        <w:pStyle w:val="EYBodytextwithparaspace"/>
      </w:pPr>
      <w:r w:rsidRPr="00D14EDB">
        <w:t>The next step is then to estimate the number of ‘additional’</w:t>
      </w:r>
      <w:r w:rsidR="00E613FE">
        <w:t xml:space="preserve"> trips each person might make. </w:t>
      </w:r>
      <w:r w:rsidRPr="00D14EDB">
        <w:t xml:space="preserve">The consultation process indicated that this figure might be considerable.  However, in the absence of independent verification, we have opted to make a conservative assumption that each person with a complex disability located in the ‘catchment’ population of a shopping centre will make one additional trip as a result of the provision of an </w:t>
      </w:r>
      <w:r w:rsidR="00801837" w:rsidRPr="006803A1">
        <w:t>AACF</w:t>
      </w:r>
      <w:r w:rsidRPr="006803A1">
        <w:t>.</w:t>
      </w:r>
      <w:r w:rsidR="00B12941" w:rsidRPr="006803A1">
        <w:t xml:space="preserve"> </w:t>
      </w:r>
      <w:r w:rsidR="00AF53B0" w:rsidRPr="006803A1">
        <w:t xml:space="preserve">As noted above, this is </w:t>
      </w:r>
      <w:r w:rsidR="00AF53B0" w:rsidRPr="00AF7114">
        <w:t>deliberately conservative.</w:t>
      </w:r>
      <w:r w:rsidR="00B12941" w:rsidRPr="001E5FAC">
        <w:t xml:space="preserve"> </w:t>
      </w:r>
    </w:p>
    <w:p w:rsidR="00D5643A" w:rsidRPr="006803A1" w:rsidRDefault="00D5643A" w:rsidP="00D5643A">
      <w:pPr>
        <w:pStyle w:val="EYBodytextwithparaspace"/>
      </w:pPr>
      <w:r w:rsidRPr="002B182F">
        <w:t>For museums and stadiums the proces</w:t>
      </w:r>
      <w:r w:rsidRPr="00D14EDB">
        <w:t xml:space="preserve">s </w:t>
      </w:r>
      <w:r w:rsidR="00AF53B0" w:rsidRPr="00D14EDB">
        <w:t>is</w:t>
      </w:r>
      <w:r w:rsidRPr="00D14EDB">
        <w:t xml:space="preserve"> more complicated, because it cannot simply be assumed that ‘all’ people within a certain distance of the building will attend – only those who are interested in sporting events and museums will attend. </w:t>
      </w:r>
      <w:r w:rsidR="00BF1928" w:rsidRPr="00D14EDB">
        <w:t>Similarly, it cannot be assumed that o</w:t>
      </w:r>
      <w:r w:rsidR="00BF1928" w:rsidRPr="006803A1">
        <w:t xml:space="preserve">nly people within a certain distance would attend (see Note below). </w:t>
      </w:r>
      <w:r w:rsidRPr="006803A1">
        <w:t>Thus, further adjustments nee</w:t>
      </w:r>
      <w:r w:rsidR="0079015D" w:rsidRPr="006803A1">
        <w:t>d to be made to the estimated ‘catchment</w:t>
      </w:r>
      <w:r w:rsidRPr="006803A1">
        <w:t>’ population, by accounting for the share of people with a complex disability who indicated that they would like to leave home more often; as well as the share who indicated that they have actually visited museums or s</w:t>
      </w:r>
      <w:r w:rsidR="00E613FE">
        <w:t xml:space="preserve">tadiums in the past 12 months. </w:t>
      </w:r>
      <w:r w:rsidRPr="006803A1">
        <w:t>Both of these proportions have been taken from the SDAC.</w:t>
      </w:r>
    </w:p>
    <w:p w:rsidR="00D5643A" w:rsidRPr="001E5FAC" w:rsidRDefault="00D5643A" w:rsidP="00D5643A">
      <w:pPr>
        <w:pStyle w:val="EYBodytextwithparaspace"/>
      </w:pPr>
      <w:r w:rsidRPr="00866060">
        <w:t>For museums it is assume</w:t>
      </w:r>
      <w:r w:rsidR="0079015D" w:rsidRPr="001E5FAC">
        <w:t>d that people in the ‘adjusted catchment</w:t>
      </w:r>
      <w:r w:rsidRPr="001E5FAC">
        <w:t>’ population would make an additional half a trip each (or more accurately, half of the people will make an additional trip per year). For stadiums it is assumed that people would make an additional 4 trips per year, on the grounds that people making trips to a stadium would be supporting the home team, and thus would want to see more than one match a year.</w:t>
      </w:r>
      <w:r w:rsidR="002245D9" w:rsidRPr="001E5FAC">
        <w:t xml:space="preserve"> </w:t>
      </w:r>
      <w:r w:rsidR="001C156C" w:rsidRPr="001E5FAC">
        <w:t xml:space="preserve">As noted above these assumptions and </w:t>
      </w:r>
      <w:r w:rsidR="001C156C" w:rsidRPr="00AF7114">
        <w:t>adjustments</w:t>
      </w:r>
      <w:r w:rsidR="001C156C" w:rsidRPr="001E5FAC">
        <w:t xml:space="preserve"> are </w:t>
      </w:r>
      <w:r w:rsidR="001C156C" w:rsidRPr="00AF7114">
        <w:t>deliberately</w:t>
      </w:r>
      <w:r w:rsidR="002245D9" w:rsidRPr="00AF7114">
        <w:t xml:space="preserve"> conservative</w:t>
      </w:r>
      <w:r w:rsidR="002245D9" w:rsidRPr="001E5FAC">
        <w:t>.</w:t>
      </w:r>
    </w:p>
    <w:p w:rsidR="00D5643A" w:rsidRPr="001E5FAC" w:rsidRDefault="00D5643A" w:rsidP="00D5643A">
      <w:pPr>
        <w:pStyle w:val="EYBodytextwithparaspace"/>
      </w:pPr>
      <w:r w:rsidRPr="002B182F">
        <w:t xml:space="preserve">The specific assumptions regarding the number of ‘additional’ trips and the parameters described above are presented in </w:t>
      </w:r>
      <w:r w:rsidR="00384E37">
        <w:fldChar w:fldCharType="begin"/>
      </w:r>
      <w:r w:rsidR="00384E37">
        <w:instrText xml:space="preserve"> REF _Ref521497060 \h </w:instrText>
      </w:r>
      <w:r w:rsidR="00384E37">
        <w:fldChar w:fldCharType="separate"/>
      </w:r>
      <w:r w:rsidR="00910A73" w:rsidRPr="001E5FAC">
        <w:t xml:space="preserve">Table </w:t>
      </w:r>
      <w:r w:rsidR="00910A73">
        <w:rPr>
          <w:noProof/>
        </w:rPr>
        <w:t>A</w:t>
      </w:r>
      <w:r w:rsidR="00910A73">
        <w:noBreakHyphen/>
      </w:r>
      <w:r w:rsidR="00910A73">
        <w:rPr>
          <w:noProof/>
        </w:rPr>
        <w:t>4</w:t>
      </w:r>
      <w:r w:rsidR="00384E37">
        <w:fldChar w:fldCharType="end"/>
      </w:r>
      <w:r w:rsidRPr="00D14EDB">
        <w:t xml:space="preserve">, and sensitivity testing is conducted in Chapter </w:t>
      </w:r>
      <w:r w:rsidRPr="009B5649">
        <w:fldChar w:fldCharType="begin"/>
      </w:r>
      <w:r w:rsidRPr="001E5FAC">
        <w:instrText xml:space="preserve"> REF _Ref504400577 \r \h  \* MERGEFORMAT </w:instrText>
      </w:r>
      <w:r w:rsidRPr="009B5649">
        <w:fldChar w:fldCharType="separate"/>
      </w:r>
      <w:r w:rsidR="00910A73">
        <w:t>7</w:t>
      </w:r>
      <w:r w:rsidRPr="009B5649">
        <w:fldChar w:fldCharType="end"/>
      </w:r>
      <w:r w:rsidRPr="001E5FAC">
        <w:t>.</w:t>
      </w:r>
    </w:p>
    <w:p w:rsidR="00D5643A" w:rsidRPr="001E5FAC" w:rsidRDefault="00D5643A" w:rsidP="005C0583">
      <w:pPr>
        <w:pStyle w:val="EYBodytextwithparaspace"/>
      </w:pPr>
      <w:r w:rsidRPr="001E5FAC">
        <w:t xml:space="preserve">Note: A major limitation of basing assumed ‘catchment’ population for stadiums and museums on the size of the local population is that it does not account for the people who </w:t>
      </w:r>
      <w:r w:rsidRPr="001E5FAC">
        <w:lastRenderedPageBreak/>
        <w:t>willingly travel significant distances to see a specific game or event, for example a finals game or a one-off art exhibition that</w:t>
      </w:r>
      <w:r w:rsidR="00BF1928" w:rsidRPr="001E5FAC">
        <w:t xml:space="preserve"> is</w:t>
      </w:r>
      <w:r w:rsidRPr="001E5FAC">
        <w:t xml:space="preserve"> only staged in one city. </w:t>
      </w:r>
    </w:p>
    <w:p w:rsidR="00D5643A" w:rsidRPr="001E5FAC" w:rsidRDefault="003B32BF" w:rsidP="00D5643A">
      <w:pPr>
        <w:pStyle w:val="Caption"/>
        <w:keepNext/>
      </w:pPr>
      <w:bookmarkStart w:id="595" w:name="_Ref521497060"/>
      <w:bookmarkStart w:id="596" w:name="_Toc525897829"/>
      <w:r w:rsidRPr="001E5FAC">
        <w:t xml:space="preserve">Table </w:t>
      </w:r>
      <w:r w:rsidR="00EC0E2D">
        <w:rPr>
          <w:noProof/>
        </w:rPr>
        <w:fldChar w:fldCharType="begin"/>
      </w:r>
      <w:r w:rsidR="00EC0E2D">
        <w:rPr>
          <w:noProof/>
        </w:rPr>
        <w:instrText xml:space="preserve"> STYLEREF  \s "EY Appendix" </w:instrText>
      </w:r>
      <w:r w:rsidR="00EC0E2D">
        <w:rPr>
          <w:noProof/>
        </w:rPr>
        <w:fldChar w:fldCharType="separate"/>
      </w:r>
      <w:r w:rsidR="00910A73">
        <w:rPr>
          <w:noProof/>
        </w:rPr>
        <w:t>A</w:t>
      </w:r>
      <w:r w:rsidR="00EC0E2D">
        <w:rPr>
          <w:noProof/>
        </w:rPr>
        <w:fldChar w:fldCharType="end"/>
      </w:r>
      <w:r w:rsidR="00325A73">
        <w:noBreakHyphen/>
      </w:r>
      <w:r w:rsidR="00D128AA">
        <w:rPr>
          <w:noProof/>
        </w:rPr>
        <w:fldChar w:fldCharType="begin"/>
      </w:r>
      <w:r w:rsidR="00D128AA">
        <w:rPr>
          <w:noProof/>
        </w:rPr>
        <w:instrText xml:space="preserve"> SEQ Table \* ARABIC \s 1 </w:instrText>
      </w:r>
      <w:r w:rsidR="00D128AA">
        <w:rPr>
          <w:noProof/>
        </w:rPr>
        <w:fldChar w:fldCharType="separate"/>
      </w:r>
      <w:r w:rsidR="00910A73">
        <w:rPr>
          <w:noProof/>
        </w:rPr>
        <w:t>4</w:t>
      </w:r>
      <w:r w:rsidR="00D128AA">
        <w:rPr>
          <w:noProof/>
        </w:rPr>
        <w:fldChar w:fldCharType="end"/>
      </w:r>
      <w:bookmarkEnd w:id="595"/>
      <w:r w:rsidRPr="001E5FAC">
        <w:rPr>
          <w:noProof/>
        </w:rPr>
        <w:t xml:space="preserve">: </w:t>
      </w:r>
      <w:r w:rsidR="00C01665" w:rsidRPr="001E5FAC">
        <w:t>Refining the ‘catchment</w:t>
      </w:r>
      <w:r w:rsidR="00D5643A" w:rsidRPr="001E5FAC">
        <w:t>’ population</w:t>
      </w:r>
      <w:bookmarkEnd w:id="596"/>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57" w:type="dxa"/>
          <w:right w:w="57" w:type="dxa"/>
        </w:tblCellMar>
        <w:tblLook w:val="04A0" w:firstRow="1" w:lastRow="0" w:firstColumn="1" w:lastColumn="0" w:noHBand="0" w:noVBand="1"/>
        <w:tblCaption w:val="Table A 4: Refining the ‘catchment’ population"/>
        <w:tblDescription w:val="Refining the 'catchment' population."/>
      </w:tblPr>
      <w:tblGrid>
        <w:gridCol w:w="1737"/>
        <w:gridCol w:w="1423"/>
        <w:gridCol w:w="1651"/>
        <w:gridCol w:w="1514"/>
        <w:gridCol w:w="1788"/>
        <w:gridCol w:w="1514"/>
      </w:tblGrid>
      <w:tr w:rsidR="00D5643A" w:rsidRPr="001E5FAC" w:rsidTr="0022711B">
        <w:trPr>
          <w:tblHeader/>
        </w:trPr>
        <w:tc>
          <w:tcPr>
            <w:tcW w:w="17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22711B" w:rsidRDefault="00BF1928" w:rsidP="00DF1284">
            <w:pPr>
              <w:pStyle w:val="EYTableHeadingWhite"/>
              <w:rPr>
                <w:sz w:val="20"/>
                <w:szCs w:val="20"/>
              </w:rPr>
            </w:pPr>
            <w:r w:rsidRPr="0022711B">
              <w:rPr>
                <w:sz w:val="20"/>
                <w:szCs w:val="20"/>
              </w:rPr>
              <w:t>Building type</w:t>
            </w:r>
          </w:p>
        </w:tc>
        <w:tc>
          <w:tcPr>
            <w:tcW w:w="1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22711B" w:rsidRDefault="00D5643A" w:rsidP="00DF1284">
            <w:pPr>
              <w:pStyle w:val="EYTableHeadingWhite"/>
              <w:rPr>
                <w:sz w:val="20"/>
                <w:szCs w:val="20"/>
              </w:rPr>
            </w:pPr>
            <w:r w:rsidRPr="0022711B">
              <w:rPr>
                <w:sz w:val="20"/>
                <w:szCs w:val="20"/>
              </w:rPr>
              <w:t>Potential visitors from core cohort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22711B" w:rsidRDefault="00D5643A" w:rsidP="00DF1284">
            <w:pPr>
              <w:pStyle w:val="EYTableHeadingWhite"/>
              <w:rPr>
                <w:sz w:val="20"/>
                <w:szCs w:val="20"/>
              </w:rPr>
            </w:pPr>
            <w:r w:rsidRPr="0022711B">
              <w:rPr>
                <w:sz w:val="20"/>
                <w:szCs w:val="20"/>
              </w:rPr>
              <w:t>Share of cohort who would like to leave home more often</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5643A" w:rsidRPr="0022711B" w:rsidRDefault="00D5643A" w:rsidP="00DF1284">
            <w:pPr>
              <w:pStyle w:val="EYTableHeadingWhite"/>
              <w:rPr>
                <w:sz w:val="20"/>
                <w:szCs w:val="20"/>
              </w:rPr>
            </w:pPr>
            <w:r w:rsidRPr="0022711B">
              <w:rPr>
                <w:sz w:val="20"/>
                <w:szCs w:val="20"/>
              </w:rPr>
              <w:t>Share of cohort who have visited particular events</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rsidR="00D5643A" w:rsidRPr="0022711B" w:rsidRDefault="00D5643A" w:rsidP="00C01665">
            <w:pPr>
              <w:pStyle w:val="EYTableHeadingWhite"/>
              <w:rPr>
                <w:sz w:val="20"/>
                <w:szCs w:val="20"/>
              </w:rPr>
            </w:pPr>
            <w:r w:rsidRPr="0022711B">
              <w:rPr>
                <w:sz w:val="20"/>
                <w:szCs w:val="20"/>
              </w:rPr>
              <w:t>Adjusted ‘</w:t>
            </w:r>
            <w:r w:rsidR="00C01665" w:rsidRPr="0022711B">
              <w:rPr>
                <w:sz w:val="20"/>
                <w:szCs w:val="20"/>
              </w:rPr>
              <w:t>catchment</w:t>
            </w:r>
            <w:r w:rsidRPr="0022711B">
              <w:rPr>
                <w:sz w:val="20"/>
                <w:szCs w:val="20"/>
              </w:rPr>
              <w:t>’ population</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rsidR="00D5643A" w:rsidRPr="0022711B" w:rsidRDefault="00D5643A" w:rsidP="00DF1284">
            <w:pPr>
              <w:pStyle w:val="EYTableHeadingWhite"/>
              <w:rPr>
                <w:sz w:val="20"/>
                <w:szCs w:val="20"/>
              </w:rPr>
            </w:pPr>
            <w:r w:rsidRPr="0022711B">
              <w:rPr>
                <w:sz w:val="20"/>
                <w:szCs w:val="20"/>
              </w:rPr>
              <w:t>Additional trips per year due to AACF</w:t>
            </w:r>
          </w:p>
        </w:tc>
      </w:tr>
      <w:tr w:rsidR="00D5643A" w:rsidRPr="001E5FAC" w:rsidTr="0022711B">
        <w:tc>
          <w:tcPr>
            <w:tcW w:w="1791" w:type="dxa"/>
            <w:tcBorders>
              <w:top w:val="single" w:sz="4" w:space="0" w:color="FFFFFF" w:themeColor="background1"/>
            </w:tcBorders>
            <w:shd w:val="clear" w:color="auto" w:fill="auto"/>
            <w:noWrap/>
            <w:hideMark/>
          </w:tcPr>
          <w:p w:rsidR="00D5643A" w:rsidRPr="002667A8" w:rsidRDefault="00D5643A" w:rsidP="00DF1284">
            <w:pPr>
              <w:pStyle w:val="EYTableText"/>
              <w:rPr>
                <w:sz w:val="20"/>
                <w:szCs w:val="20"/>
                <w:lang w:eastAsia="en-AU"/>
              </w:rPr>
            </w:pPr>
            <w:r w:rsidRPr="002667A8">
              <w:rPr>
                <w:sz w:val="20"/>
                <w:szCs w:val="20"/>
                <w:lang w:eastAsia="en-AU"/>
              </w:rPr>
              <w:t>Major shopping centre</w:t>
            </w:r>
          </w:p>
        </w:tc>
        <w:tc>
          <w:tcPr>
            <w:tcW w:w="1465" w:type="dxa"/>
            <w:tcBorders>
              <w:top w:val="single" w:sz="4" w:space="0" w:color="FFFFFF" w:themeColor="background1"/>
            </w:tcBorders>
            <w:shd w:val="clear" w:color="auto" w:fill="auto"/>
            <w:noWrap/>
            <w:hideMark/>
          </w:tcPr>
          <w:p w:rsidR="00D5643A" w:rsidRPr="0022711B" w:rsidRDefault="00D5643A" w:rsidP="007E113B">
            <w:pPr>
              <w:pStyle w:val="EYTableText"/>
              <w:jc w:val="right"/>
              <w:rPr>
                <w:sz w:val="20"/>
                <w:szCs w:val="20"/>
                <w:lang w:eastAsia="en-AU"/>
              </w:rPr>
            </w:pPr>
            <w:r w:rsidRPr="0022711B">
              <w:rPr>
                <w:sz w:val="20"/>
                <w:szCs w:val="20"/>
                <w:lang w:eastAsia="en-AU"/>
              </w:rPr>
              <w:t>6,479</w:t>
            </w:r>
          </w:p>
        </w:tc>
        <w:tc>
          <w:tcPr>
            <w:tcW w:w="1701" w:type="dxa"/>
            <w:tcBorders>
              <w:top w:val="single" w:sz="4" w:space="0" w:color="FFFFFF" w:themeColor="background1"/>
            </w:tcBorders>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N/A</w:t>
            </w:r>
          </w:p>
        </w:tc>
        <w:tc>
          <w:tcPr>
            <w:tcW w:w="1559" w:type="dxa"/>
            <w:tcBorders>
              <w:top w:val="single" w:sz="4" w:space="0" w:color="FFFFFF" w:themeColor="background1"/>
            </w:tcBorders>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N/A</w:t>
            </w:r>
          </w:p>
        </w:tc>
        <w:tc>
          <w:tcPr>
            <w:tcW w:w="1843" w:type="dxa"/>
            <w:tcBorders>
              <w:top w:val="single" w:sz="4" w:space="0" w:color="FFFFFF" w:themeColor="background1"/>
            </w:tcBorders>
            <w:shd w:val="clear" w:color="auto" w:fill="auto"/>
          </w:tcPr>
          <w:p w:rsidR="00D5643A" w:rsidRPr="0022711B" w:rsidRDefault="00D5643A" w:rsidP="007E113B">
            <w:pPr>
              <w:pStyle w:val="EYTableText"/>
              <w:jc w:val="right"/>
              <w:rPr>
                <w:sz w:val="20"/>
                <w:szCs w:val="20"/>
                <w:lang w:eastAsia="en-AU"/>
              </w:rPr>
            </w:pPr>
            <w:r w:rsidRPr="0022711B">
              <w:rPr>
                <w:sz w:val="20"/>
                <w:szCs w:val="20"/>
                <w:lang w:eastAsia="en-AU"/>
              </w:rPr>
              <w:t>N/A</w:t>
            </w:r>
          </w:p>
        </w:tc>
        <w:tc>
          <w:tcPr>
            <w:tcW w:w="1559" w:type="dxa"/>
            <w:tcBorders>
              <w:top w:val="single" w:sz="4" w:space="0" w:color="FFFFFF" w:themeColor="background1"/>
            </w:tcBorders>
            <w:shd w:val="clear" w:color="auto" w:fill="auto"/>
          </w:tcPr>
          <w:p w:rsidR="00D5643A" w:rsidRPr="0022711B" w:rsidRDefault="00D5643A" w:rsidP="007E113B">
            <w:pPr>
              <w:pStyle w:val="EYTableText"/>
              <w:jc w:val="right"/>
              <w:rPr>
                <w:sz w:val="20"/>
                <w:szCs w:val="20"/>
                <w:lang w:eastAsia="en-AU"/>
              </w:rPr>
            </w:pPr>
            <w:r w:rsidRPr="0022711B">
              <w:rPr>
                <w:sz w:val="20"/>
                <w:szCs w:val="20"/>
                <w:lang w:eastAsia="en-AU"/>
              </w:rPr>
              <w:t>1</w:t>
            </w:r>
          </w:p>
        </w:tc>
      </w:tr>
      <w:tr w:rsidR="00D5643A" w:rsidRPr="001E5FAC" w:rsidTr="00DF1284">
        <w:tc>
          <w:tcPr>
            <w:tcW w:w="1791" w:type="dxa"/>
            <w:shd w:val="clear" w:color="auto" w:fill="auto"/>
            <w:noWrap/>
          </w:tcPr>
          <w:p w:rsidR="00D5643A" w:rsidRPr="002667A8" w:rsidRDefault="00D5643A" w:rsidP="00DF1284">
            <w:pPr>
              <w:pStyle w:val="EYTableText"/>
              <w:rPr>
                <w:sz w:val="20"/>
                <w:szCs w:val="20"/>
                <w:lang w:eastAsia="en-AU"/>
              </w:rPr>
            </w:pPr>
            <w:r w:rsidRPr="002667A8">
              <w:rPr>
                <w:sz w:val="20"/>
                <w:szCs w:val="20"/>
                <w:lang w:eastAsia="en-AU"/>
              </w:rPr>
              <w:t>Smaller shopping centre</w:t>
            </w:r>
          </w:p>
        </w:tc>
        <w:tc>
          <w:tcPr>
            <w:tcW w:w="1465"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3,023</w:t>
            </w:r>
          </w:p>
        </w:tc>
        <w:tc>
          <w:tcPr>
            <w:tcW w:w="1701"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N/A</w:t>
            </w:r>
          </w:p>
        </w:tc>
        <w:tc>
          <w:tcPr>
            <w:tcW w:w="1559"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N/A</w:t>
            </w:r>
          </w:p>
        </w:tc>
        <w:tc>
          <w:tcPr>
            <w:tcW w:w="1843" w:type="dxa"/>
            <w:shd w:val="clear" w:color="auto" w:fill="auto"/>
          </w:tcPr>
          <w:p w:rsidR="00D5643A" w:rsidRPr="0022711B" w:rsidRDefault="00D5643A" w:rsidP="007E113B">
            <w:pPr>
              <w:pStyle w:val="EYTableText"/>
              <w:jc w:val="right"/>
              <w:rPr>
                <w:sz w:val="20"/>
                <w:szCs w:val="20"/>
                <w:lang w:eastAsia="en-AU"/>
              </w:rPr>
            </w:pPr>
            <w:r w:rsidRPr="0022711B">
              <w:rPr>
                <w:sz w:val="20"/>
                <w:szCs w:val="20"/>
                <w:lang w:eastAsia="en-AU"/>
              </w:rPr>
              <w:t>N/A</w:t>
            </w:r>
          </w:p>
        </w:tc>
        <w:tc>
          <w:tcPr>
            <w:tcW w:w="1559" w:type="dxa"/>
            <w:shd w:val="clear" w:color="auto" w:fill="auto"/>
          </w:tcPr>
          <w:p w:rsidR="00D5643A" w:rsidRPr="0022711B" w:rsidRDefault="00D5643A" w:rsidP="007E113B">
            <w:pPr>
              <w:pStyle w:val="EYTableText"/>
              <w:jc w:val="right"/>
              <w:rPr>
                <w:sz w:val="20"/>
                <w:szCs w:val="20"/>
                <w:lang w:eastAsia="en-AU"/>
              </w:rPr>
            </w:pPr>
            <w:r w:rsidRPr="0022711B">
              <w:rPr>
                <w:sz w:val="20"/>
                <w:szCs w:val="20"/>
                <w:lang w:eastAsia="en-AU"/>
              </w:rPr>
              <w:t>1</w:t>
            </w:r>
          </w:p>
        </w:tc>
      </w:tr>
      <w:tr w:rsidR="00D5643A" w:rsidRPr="001E5FAC" w:rsidTr="00DF1284">
        <w:tc>
          <w:tcPr>
            <w:tcW w:w="1791" w:type="dxa"/>
            <w:shd w:val="clear" w:color="auto" w:fill="auto"/>
            <w:noWrap/>
          </w:tcPr>
          <w:p w:rsidR="00D5643A" w:rsidRPr="0022711B" w:rsidRDefault="00D5643A" w:rsidP="00DF1284">
            <w:pPr>
              <w:pStyle w:val="EYTableText"/>
              <w:rPr>
                <w:sz w:val="20"/>
                <w:szCs w:val="20"/>
                <w:lang w:eastAsia="en-AU"/>
              </w:rPr>
            </w:pPr>
            <w:r w:rsidRPr="0022711B">
              <w:rPr>
                <w:sz w:val="20"/>
                <w:szCs w:val="20"/>
                <w:lang w:eastAsia="en-AU"/>
              </w:rPr>
              <w:t>Museum</w:t>
            </w:r>
          </w:p>
        </w:tc>
        <w:tc>
          <w:tcPr>
            <w:tcW w:w="1465"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5,903</w:t>
            </w:r>
          </w:p>
        </w:tc>
        <w:tc>
          <w:tcPr>
            <w:tcW w:w="1701"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63%</w:t>
            </w:r>
          </w:p>
        </w:tc>
        <w:tc>
          <w:tcPr>
            <w:tcW w:w="1559"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45%</w:t>
            </w:r>
          </w:p>
        </w:tc>
        <w:tc>
          <w:tcPr>
            <w:tcW w:w="1843" w:type="dxa"/>
            <w:shd w:val="clear" w:color="auto" w:fill="auto"/>
          </w:tcPr>
          <w:p w:rsidR="00D5643A" w:rsidRPr="0022711B" w:rsidRDefault="00D5643A" w:rsidP="007E113B">
            <w:pPr>
              <w:pStyle w:val="EYTableText"/>
              <w:jc w:val="right"/>
              <w:rPr>
                <w:sz w:val="20"/>
                <w:szCs w:val="20"/>
                <w:lang w:eastAsia="en-AU"/>
              </w:rPr>
            </w:pPr>
            <w:r w:rsidRPr="0022711B">
              <w:rPr>
                <w:sz w:val="20"/>
                <w:szCs w:val="20"/>
                <w:lang w:eastAsia="en-AU"/>
              </w:rPr>
              <w:t>1,638</w:t>
            </w:r>
          </w:p>
        </w:tc>
        <w:tc>
          <w:tcPr>
            <w:tcW w:w="1559" w:type="dxa"/>
            <w:shd w:val="clear" w:color="auto" w:fill="auto"/>
          </w:tcPr>
          <w:p w:rsidR="00D5643A" w:rsidRPr="0022711B" w:rsidRDefault="00D5643A" w:rsidP="007E113B">
            <w:pPr>
              <w:pStyle w:val="EYTableText"/>
              <w:jc w:val="right"/>
              <w:rPr>
                <w:sz w:val="20"/>
                <w:szCs w:val="20"/>
                <w:lang w:eastAsia="en-AU"/>
              </w:rPr>
            </w:pPr>
            <w:r w:rsidRPr="0022711B">
              <w:rPr>
                <w:sz w:val="20"/>
                <w:szCs w:val="20"/>
                <w:lang w:eastAsia="en-AU"/>
              </w:rPr>
              <w:t>0.5</w:t>
            </w:r>
          </w:p>
        </w:tc>
      </w:tr>
      <w:tr w:rsidR="00D5643A" w:rsidRPr="001E5FAC" w:rsidTr="00DF1284">
        <w:tc>
          <w:tcPr>
            <w:tcW w:w="1791" w:type="dxa"/>
            <w:shd w:val="clear" w:color="auto" w:fill="auto"/>
            <w:noWrap/>
          </w:tcPr>
          <w:p w:rsidR="00D5643A" w:rsidRPr="002667A8" w:rsidRDefault="00D5643A" w:rsidP="00DF1284">
            <w:pPr>
              <w:pStyle w:val="EYTableText"/>
              <w:rPr>
                <w:sz w:val="20"/>
                <w:szCs w:val="20"/>
                <w:lang w:eastAsia="en-AU"/>
              </w:rPr>
            </w:pPr>
            <w:r w:rsidRPr="002667A8">
              <w:rPr>
                <w:sz w:val="20"/>
                <w:szCs w:val="20"/>
                <w:lang w:eastAsia="en-AU"/>
              </w:rPr>
              <w:t>Stadium</w:t>
            </w:r>
          </w:p>
        </w:tc>
        <w:tc>
          <w:tcPr>
            <w:tcW w:w="1465"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2,255</w:t>
            </w:r>
          </w:p>
        </w:tc>
        <w:tc>
          <w:tcPr>
            <w:tcW w:w="1701"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63%</w:t>
            </w:r>
          </w:p>
        </w:tc>
        <w:tc>
          <w:tcPr>
            <w:tcW w:w="1559" w:type="dxa"/>
            <w:shd w:val="clear" w:color="auto" w:fill="auto"/>
            <w:noWrap/>
          </w:tcPr>
          <w:p w:rsidR="00D5643A" w:rsidRPr="0022711B" w:rsidRDefault="00D5643A" w:rsidP="007E113B">
            <w:pPr>
              <w:pStyle w:val="EYTableText"/>
              <w:jc w:val="right"/>
              <w:rPr>
                <w:sz w:val="20"/>
                <w:szCs w:val="20"/>
                <w:lang w:eastAsia="en-AU"/>
              </w:rPr>
            </w:pPr>
            <w:r w:rsidRPr="0022711B">
              <w:rPr>
                <w:sz w:val="20"/>
                <w:szCs w:val="20"/>
                <w:lang w:eastAsia="en-AU"/>
              </w:rPr>
              <w:t>12%</w:t>
            </w:r>
          </w:p>
        </w:tc>
        <w:tc>
          <w:tcPr>
            <w:tcW w:w="1843" w:type="dxa"/>
            <w:shd w:val="clear" w:color="auto" w:fill="auto"/>
          </w:tcPr>
          <w:p w:rsidR="00D5643A" w:rsidRPr="0022711B" w:rsidRDefault="00D5643A" w:rsidP="007E113B">
            <w:pPr>
              <w:pStyle w:val="EYTableText"/>
              <w:jc w:val="right"/>
              <w:rPr>
                <w:sz w:val="20"/>
                <w:szCs w:val="20"/>
                <w:lang w:eastAsia="en-AU"/>
              </w:rPr>
            </w:pPr>
            <w:r w:rsidRPr="0022711B">
              <w:rPr>
                <w:sz w:val="20"/>
                <w:szCs w:val="20"/>
                <w:lang w:eastAsia="en-AU"/>
              </w:rPr>
              <w:t>175</w:t>
            </w:r>
          </w:p>
        </w:tc>
        <w:tc>
          <w:tcPr>
            <w:tcW w:w="1559" w:type="dxa"/>
            <w:shd w:val="clear" w:color="auto" w:fill="auto"/>
          </w:tcPr>
          <w:p w:rsidR="00D5643A" w:rsidRPr="0022711B" w:rsidRDefault="00D5643A" w:rsidP="007E113B">
            <w:pPr>
              <w:pStyle w:val="EYTableText"/>
              <w:jc w:val="right"/>
              <w:rPr>
                <w:sz w:val="20"/>
                <w:szCs w:val="20"/>
                <w:lang w:eastAsia="en-AU"/>
              </w:rPr>
            </w:pPr>
            <w:r w:rsidRPr="0022711B">
              <w:rPr>
                <w:sz w:val="20"/>
                <w:szCs w:val="20"/>
                <w:lang w:eastAsia="en-AU"/>
              </w:rPr>
              <w:t>4</w:t>
            </w:r>
          </w:p>
        </w:tc>
      </w:tr>
    </w:tbl>
    <w:p w:rsidR="00D5643A" w:rsidRPr="001E5FAC" w:rsidRDefault="00D5643A" w:rsidP="00D5643A">
      <w:pPr>
        <w:keepNext/>
        <w:spacing w:after="0"/>
        <w:jc w:val="left"/>
      </w:pPr>
    </w:p>
    <w:p w:rsidR="00D5643A" w:rsidRPr="001E5FAC" w:rsidRDefault="00D5643A" w:rsidP="009260BA">
      <w:pPr>
        <w:pStyle w:val="EYAppendixHeading3"/>
      </w:pPr>
      <w:r w:rsidRPr="001E5FAC">
        <w:t>Entry fee</w:t>
      </w:r>
    </w:p>
    <w:p w:rsidR="00D5643A" w:rsidRPr="001E5FAC" w:rsidRDefault="00D5643A" w:rsidP="00040312">
      <w:pPr>
        <w:pStyle w:val="EYBodytextwithparaspace"/>
      </w:pPr>
      <w:r w:rsidRPr="001E5FAC">
        <w:t xml:space="preserve">The specific assumptions made and an overview of the justification behind each assumption is provided in </w:t>
      </w:r>
      <w:r w:rsidR="00D01BF5">
        <w:fldChar w:fldCharType="begin"/>
      </w:r>
      <w:r w:rsidR="00D01BF5">
        <w:instrText xml:space="preserve"> REF _Ref521486614 \h </w:instrText>
      </w:r>
      <w:r w:rsidR="00D01BF5">
        <w:fldChar w:fldCharType="separate"/>
      </w:r>
      <w:r w:rsidR="00910A73" w:rsidRPr="001E5FAC">
        <w:t xml:space="preserve">Table </w:t>
      </w:r>
      <w:r w:rsidR="00910A73">
        <w:rPr>
          <w:noProof/>
        </w:rPr>
        <w:t>A</w:t>
      </w:r>
      <w:r w:rsidR="00910A73">
        <w:noBreakHyphen/>
      </w:r>
      <w:r w:rsidR="00910A73">
        <w:rPr>
          <w:noProof/>
        </w:rPr>
        <w:t>5</w:t>
      </w:r>
      <w:r w:rsidR="00D01BF5">
        <w:fldChar w:fldCharType="end"/>
      </w:r>
      <w:r w:rsidR="002D7A82" w:rsidRPr="001E5FAC">
        <w:t xml:space="preserve">. </w:t>
      </w:r>
    </w:p>
    <w:p w:rsidR="00D5643A" w:rsidRPr="001E5FAC" w:rsidRDefault="003B32BF" w:rsidP="00D5643A">
      <w:pPr>
        <w:pStyle w:val="Caption"/>
        <w:keepNext/>
      </w:pPr>
      <w:bookmarkStart w:id="597" w:name="_Ref521486614"/>
      <w:bookmarkStart w:id="598" w:name="_Toc525897830"/>
      <w:r w:rsidRPr="001E5FAC">
        <w:t xml:space="preserve">Table </w:t>
      </w:r>
      <w:r w:rsidR="00EC0E2D">
        <w:rPr>
          <w:noProof/>
        </w:rPr>
        <w:fldChar w:fldCharType="begin"/>
      </w:r>
      <w:r w:rsidR="00EC0E2D">
        <w:rPr>
          <w:noProof/>
        </w:rPr>
        <w:instrText xml:space="preserve"> STYLEREF  \s "EY Appendix" </w:instrText>
      </w:r>
      <w:r w:rsidR="00EC0E2D">
        <w:rPr>
          <w:noProof/>
        </w:rPr>
        <w:fldChar w:fldCharType="separate"/>
      </w:r>
      <w:r w:rsidR="00910A73">
        <w:rPr>
          <w:noProof/>
        </w:rPr>
        <w:t>A</w:t>
      </w:r>
      <w:r w:rsidR="00EC0E2D">
        <w:rPr>
          <w:noProof/>
        </w:rPr>
        <w:fldChar w:fldCharType="end"/>
      </w:r>
      <w:r w:rsidR="00325A73">
        <w:noBreakHyphen/>
      </w:r>
      <w:r w:rsidR="00D128AA">
        <w:rPr>
          <w:noProof/>
        </w:rPr>
        <w:fldChar w:fldCharType="begin"/>
      </w:r>
      <w:r w:rsidR="00D128AA">
        <w:rPr>
          <w:noProof/>
        </w:rPr>
        <w:instrText xml:space="preserve"> SEQ Table \* ARABIC \s 1 </w:instrText>
      </w:r>
      <w:r w:rsidR="00D128AA">
        <w:rPr>
          <w:noProof/>
        </w:rPr>
        <w:fldChar w:fldCharType="separate"/>
      </w:r>
      <w:r w:rsidR="00910A73">
        <w:rPr>
          <w:noProof/>
        </w:rPr>
        <w:t>5</w:t>
      </w:r>
      <w:r w:rsidR="00D128AA">
        <w:rPr>
          <w:noProof/>
        </w:rPr>
        <w:fldChar w:fldCharType="end"/>
      </w:r>
      <w:bookmarkEnd w:id="597"/>
      <w:r w:rsidRPr="001E5FAC">
        <w:rPr>
          <w:noProof/>
        </w:rPr>
        <w:t xml:space="preserve">: </w:t>
      </w:r>
      <w:r w:rsidR="00D5643A" w:rsidRPr="001E5FAC">
        <w:t>Assumed entry fee and spending, museums and stadiums</w:t>
      </w:r>
      <w:bookmarkEnd w:id="598"/>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57" w:type="dxa"/>
          <w:right w:w="57" w:type="dxa"/>
        </w:tblCellMar>
        <w:tblLook w:val="04A0" w:firstRow="1" w:lastRow="0" w:firstColumn="1" w:lastColumn="0" w:noHBand="0" w:noVBand="1"/>
        <w:tblCaption w:val="Table A 5: Assumed entry fee and spending, museums and stadiums"/>
        <w:tblDescription w:val="Assumed entry fee and spendin for museums and stadiums."/>
      </w:tblPr>
      <w:tblGrid>
        <w:gridCol w:w="3114"/>
        <w:gridCol w:w="6513"/>
      </w:tblGrid>
      <w:tr w:rsidR="00DF1692" w:rsidRPr="001E5FAC" w:rsidTr="0022711B">
        <w:trPr>
          <w:tblHeader/>
        </w:trPr>
        <w:tc>
          <w:tcPr>
            <w:tcW w:w="3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F1692" w:rsidRPr="0022711B" w:rsidRDefault="00DF1692" w:rsidP="00DF1284">
            <w:pPr>
              <w:pStyle w:val="EYTableHeadingWhite"/>
              <w:rPr>
                <w:color w:val="FFFFFF" w:themeColor="background1"/>
                <w:sz w:val="20"/>
                <w:szCs w:val="20"/>
                <w:lang w:eastAsia="en-AU"/>
              </w:rPr>
            </w:pPr>
          </w:p>
        </w:tc>
        <w:tc>
          <w:tcPr>
            <w:tcW w:w="6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DF1692" w:rsidRPr="0022711B" w:rsidRDefault="00DF1692" w:rsidP="00DF1284">
            <w:pPr>
              <w:pStyle w:val="EYTableHeadingWhite"/>
              <w:rPr>
                <w:color w:val="FFFFFF" w:themeColor="background1"/>
                <w:sz w:val="20"/>
                <w:szCs w:val="20"/>
                <w:lang w:eastAsia="en-AU"/>
              </w:rPr>
            </w:pPr>
            <w:r w:rsidRPr="0022711B">
              <w:rPr>
                <w:color w:val="FFFFFF" w:themeColor="background1"/>
                <w:sz w:val="20"/>
                <w:szCs w:val="20"/>
                <w:lang w:eastAsia="en-AU"/>
              </w:rPr>
              <w:t>Average ticket price</w:t>
            </w:r>
          </w:p>
        </w:tc>
      </w:tr>
      <w:tr w:rsidR="00DF1692" w:rsidRPr="001E5FAC" w:rsidTr="0022711B">
        <w:tc>
          <w:tcPr>
            <w:tcW w:w="3114" w:type="dxa"/>
            <w:tcBorders>
              <w:top w:val="single" w:sz="4" w:space="0" w:color="FFFFFF" w:themeColor="background1"/>
            </w:tcBorders>
            <w:shd w:val="clear" w:color="auto" w:fill="auto"/>
            <w:noWrap/>
            <w:hideMark/>
          </w:tcPr>
          <w:p w:rsidR="00DF1692" w:rsidRPr="0022711B" w:rsidRDefault="00DF1692" w:rsidP="00DF1284">
            <w:pPr>
              <w:keepNext/>
              <w:jc w:val="left"/>
              <w:rPr>
                <w:rFonts w:eastAsia="Times New Roman" w:cs="Arial"/>
                <w:color w:val="000000"/>
                <w:sz w:val="20"/>
                <w:szCs w:val="20"/>
                <w:lang w:eastAsia="en-AU"/>
              </w:rPr>
            </w:pPr>
            <w:r w:rsidRPr="0022711B">
              <w:rPr>
                <w:rFonts w:eastAsia="Times New Roman" w:cs="Arial"/>
                <w:color w:val="000000"/>
                <w:sz w:val="20"/>
                <w:szCs w:val="20"/>
                <w:lang w:eastAsia="en-AU"/>
              </w:rPr>
              <w:t>Museum</w:t>
            </w:r>
            <w:r w:rsidR="0005710D" w:rsidRPr="0022711B">
              <w:rPr>
                <w:rFonts w:eastAsia="Times New Roman" w:cs="Arial"/>
                <w:color w:val="000000"/>
                <w:sz w:val="20"/>
                <w:szCs w:val="20"/>
                <w:lang w:eastAsia="en-AU"/>
              </w:rPr>
              <w:t>s and art galleries</w:t>
            </w:r>
          </w:p>
        </w:tc>
        <w:tc>
          <w:tcPr>
            <w:tcW w:w="6513" w:type="dxa"/>
            <w:tcBorders>
              <w:top w:val="single" w:sz="4" w:space="0" w:color="FFFFFF" w:themeColor="background1"/>
            </w:tcBorders>
            <w:shd w:val="clear" w:color="auto" w:fill="auto"/>
            <w:noWrap/>
            <w:hideMark/>
          </w:tcPr>
          <w:p w:rsidR="00DF1692" w:rsidRPr="0022711B" w:rsidRDefault="00DF1692" w:rsidP="007E113B">
            <w:pPr>
              <w:keepNext/>
              <w:jc w:val="right"/>
              <w:rPr>
                <w:rFonts w:eastAsia="Times New Roman" w:cs="Arial"/>
                <w:color w:val="000000"/>
                <w:sz w:val="20"/>
                <w:szCs w:val="20"/>
                <w:lang w:eastAsia="en-AU"/>
              </w:rPr>
            </w:pPr>
            <w:r w:rsidRPr="0022711B">
              <w:rPr>
                <w:rFonts w:eastAsia="Times New Roman" w:cs="Arial"/>
                <w:color w:val="000000"/>
                <w:sz w:val="20"/>
                <w:szCs w:val="20"/>
                <w:lang w:eastAsia="en-AU"/>
              </w:rPr>
              <w:t>$10</w:t>
            </w:r>
          </w:p>
          <w:p w:rsidR="00DF1692" w:rsidRPr="0022711B" w:rsidRDefault="00DF1692" w:rsidP="007E113B">
            <w:pPr>
              <w:keepNext/>
              <w:jc w:val="right"/>
              <w:rPr>
                <w:rFonts w:eastAsia="Times New Roman" w:cs="Arial"/>
                <w:color w:val="000000"/>
                <w:sz w:val="20"/>
                <w:szCs w:val="20"/>
                <w:lang w:eastAsia="en-AU"/>
              </w:rPr>
            </w:pPr>
            <w:r w:rsidRPr="0022711B">
              <w:rPr>
                <w:rFonts w:eastAsia="Times New Roman" w:cs="Arial"/>
                <w:color w:val="000000"/>
                <w:sz w:val="20"/>
                <w:szCs w:val="20"/>
                <w:lang w:eastAsia="en-AU"/>
              </w:rPr>
              <w:t>(Note 1)</w:t>
            </w:r>
          </w:p>
        </w:tc>
      </w:tr>
      <w:tr w:rsidR="00DF1692" w:rsidRPr="001E5FAC" w:rsidTr="0022711B">
        <w:tc>
          <w:tcPr>
            <w:tcW w:w="3114" w:type="dxa"/>
            <w:shd w:val="clear" w:color="auto" w:fill="auto"/>
            <w:noWrap/>
          </w:tcPr>
          <w:p w:rsidR="00DF1692" w:rsidRPr="0022711B" w:rsidRDefault="00DF1692" w:rsidP="00DF1284">
            <w:pPr>
              <w:keepNext/>
              <w:jc w:val="left"/>
              <w:rPr>
                <w:rFonts w:eastAsia="Times New Roman" w:cs="Arial"/>
                <w:color w:val="000000"/>
                <w:sz w:val="20"/>
                <w:szCs w:val="20"/>
                <w:lang w:eastAsia="en-AU"/>
              </w:rPr>
            </w:pPr>
            <w:r w:rsidRPr="0022711B">
              <w:rPr>
                <w:rFonts w:eastAsia="Times New Roman" w:cs="Arial"/>
                <w:color w:val="000000"/>
                <w:sz w:val="20"/>
                <w:szCs w:val="20"/>
                <w:lang w:eastAsia="en-AU"/>
              </w:rPr>
              <w:t>Stadium</w:t>
            </w:r>
          </w:p>
        </w:tc>
        <w:tc>
          <w:tcPr>
            <w:tcW w:w="6513" w:type="dxa"/>
            <w:shd w:val="clear" w:color="auto" w:fill="auto"/>
            <w:noWrap/>
          </w:tcPr>
          <w:p w:rsidR="00DF1692" w:rsidRPr="0022711B" w:rsidRDefault="00DF1692" w:rsidP="007E113B">
            <w:pPr>
              <w:keepNext/>
              <w:jc w:val="right"/>
              <w:rPr>
                <w:rFonts w:eastAsia="Times New Roman" w:cs="Arial"/>
                <w:sz w:val="20"/>
                <w:szCs w:val="20"/>
                <w:lang w:eastAsia="en-AU"/>
              </w:rPr>
            </w:pPr>
            <w:r w:rsidRPr="0022711B">
              <w:rPr>
                <w:rFonts w:eastAsia="Times New Roman" w:cs="Arial"/>
                <w:sz w:val="20"/>
                <w:szCs w:val="20"/>
                <w:lang w:eastAsia="en-AU"/>
              </w:rPr>
              <w:t>$24</w:t>
            </w:r>
          </w:p>
          <w:p w:rsidR="00DF1692" w:rsidRPr="0022711B" w:rsidRDefault="00DF1692" w:rsidP="007E113B">
            <w:pPr>
              <w:keepNext/>
              <w:jc w:val="right"/>
              <w:rPr>
                <w:rFonts w:eastAsia="Times New Roman" w:cs="Arial"/>
                <w:sz w:val="20"/>
                <w:szCs w:val="20"/>
                <w:lang w:eastAsia="en-AU"/>
              </w:rPr>
            </w:pPr>
            <w:r w:rsidRPr="0022711B">
              <w:rPr>
                <w:rFonts w:eastAsia="Times New Roman" w:cs="Arial"/>
                <w:sz w:val="20"/>
                <w:szCs w:val="20"/>
                <w:lang w:eastAsia="en-AU"/>
              </w:rPr>
              <w:t xml:space="preserve">(Note </w:t>
            </w:r>
            <w:r w:rsidR="00BF1928" w:rsidRPr="0022711B">
              <w:rPr>
                <w:rFonts w:eastAsia="Times New Roman" w:cs="Arial"/>
                <w:sz w:val="20"/>
                <w:szCs w:val="20"/>
                <w:lang w:eastAsia="en-AU"/>
              </w:rPr>
              <w:t>2</w:t>
            </w:r>
            <w:r w:rsidRPr="0022711B">
              <w:rPr>
                <w:rFonts w:eastAsia="Times New Roman" w:cs="Arial"/>
                <w:sz w:val="20"/>
                <w:szCs w:val="20"/>
                <w:lang w:eastAsia="en-AU"/>
              </w:rPr>
              <w:t>)</w:t>
            </w:r>
          </w:p>
        </w:tc>
      </w:tr>
    </w:tbl>
    <w:p w:rsidR="00D5643A" w:rsidRPr="001E5FAC" w:rsidRDefault="00040312" w:rsidP="00D5643A">
      <w:pPr>
        <w:pStyle w:val="EYBodytextwithparaspace"/>
      </w:pPr>
      <w:r>
        <w:br/>
      </w:r>
      <w:r w:rsidR="00331F61">
        <w:t xml:space="preserve">Note: Assumed entry fee for museums applies also to art galleries. </w:t>
      </w:r>
    </w:p>
    <w:p w:rsidR="00D5643A" w:rsidRPr="001E5FAC" w:rsidRDefault="00D5643A" w:rsidP="00D5643A">
      <w:pPr>
        <w:pStyle w:val="EYBodytextwithparaspace"/>
      </w:pPr>
      <w:r w:rsidRPr="001E5FAC">
        <w:t>Note 1: Some museums charge an entry fee and others do not. $10 is selected as an average, conservative assumption.</w:t>
      </w:r>
      <w:r w:rsidR="00841E62" w:rsidRPr="001E5FAC">
        <w:t xml:space="preserve"> </w:t>
      </w:r>
      <w:r w:rsidR="00841E62" w:rsidRPr="00AF7114">
        <w:t>The deliberate conservative bias of this assumption is acknowledged.</w:t>
      </w:r>
    </w:p>
    <w:p w:rsidR="00D5643A" w:rsidRPr="006803A1" w:rsidRDefault="00D5643A" w:rsidP="00D5643A">
      <w:pPr>
        <w:pStyle w:val="EYBodytextwithparaspace"/>
      </w:pPr>
      <w:r w:rsidRPr="002B182F">
        <w:t xml:space="preserve">Note </w:t>
      </w:r>
      <w:r w:rsidR="00BF1928" w:rsidRPr="00D14EDB">
        <w:t>2</w:t>
      </w:r>
      <w:r w:rsidRPr="00D14EDB">
        <w:t>: Average ticket price for 6 medium stadiums with capacity broadly in line with expected stadium elements looking forward</w:t>
      </w:r>
      <w:r w:rsidR="00BF1928" w:rsidRPr="00D14EDB">
        <w:t>;</w:t>
      </w:r>
      <w:r w:rsidRPr="00D14EDB">
        <w:t xml:space="preserve"> The Gabba, Suncorp Stadium, Sydney Football Stadium, Hunter Stadium, Melbourne Rectangular Stadium, </w:t>
      </w:r>
      <w:r w:rsidRPr="006803A1">
        <w:t>and Canberra Stadium.</w:t>
      </w:r>
    </w:p>
    <w:p w:rsidR="00D5643A" w:rsidRPr="006803A1" w:rsidRDefault="00D5643A" w:rsidP="009260BA">
      <w:pPr>
        <w:pStyle w:val="EYAppendixHeading2"/>
      </w:pPr>
      <w:r w:rsidRPr="006803A1">
        <w:t>Time period of the analysis</w:t>
      </w:r>
    </w:p>
    <w:p w:rsidR="00D5643A" w:rsidRPr="00D14EDB" w:rsidRDefault="00345F8A" w:rsidP="00D5643A">
      <w:pPr>
        <w:pStyle w:val="EYBodytextwithparaspace"/>
      </w:pPr>
      <w:r w:rsidRPr="006803A1">
        <w:t>A</w:t>
      </w:r>
      <w:r w:rsidR="00D5643A" w:rsidRPr="006803A1">
        <w:t xml:space="preserve"> projection period of ten years for both costs and benefits </w:t>
      </w:r>
      <w:r w:rsidR="00D823D6" w:rsidRPr="00AF7114">
        <w:t>has been assumed for the analysis</w:t>
      </w:r>
      <w:r w:rsidR="00D823D6" w:rsidRPr="001E5FAC">
        <w:t xml:space="preserve"> </w:t>
      </w:r>
      <w:r w:rsidR="00D5643A" w:rsidRPr="001E5FAC">
        <w:t xml:space="preserve">– that is, every prospective development (and case study) is estimated to incur costs and receive benefits for ten years. </w:t>
      </w:r>
      <w:r w:rsidRPr="002B182F">
        <w:t>It is</w:t>
      </w:r>
      <w:r w:rsidR="00D5643A" w:rsidRPr="00D14EDB">
        <w:t xml:space="preserve"> acknowledge</w:t>
      </w:r>
      <w:r w:rsidRPr="00D14EDB">
        <w:t>d</w:t>
      </w:r>
      <w:r w:rsidR="00D5643A" w:rsidRPr="00D14EDB">
        <w:t xml:space="preserve"> that this </w:t>
      </w:r>
      <w:r w:rsidR="009A6274">
        <w:t xml:space="preserve">timeframe </w:t>
      </w:r>
      <w:r w:rsidR="00D5643A" w:rsidRPr="00D14EDB">
        <w:t xml:space="preserve">is </w:t>
      </w:r>
      <w:r w:rsidR="009A6274">
        <w:t>shorter</w:t>
      </w:r>
      <w:r w:rsidR="009A6274" w:rsidRPr="00D14EDB">
        <w:t xml:space="preserve"> </w:t>
      </w:r>
      <w:r w:rsidR="00D5643A" w:rsidRPr="00D14EDB">
        <w:t>than the ‘standard’ assump</w:t>
      </w:r>
      <w:r w:rsidR="00E613FE">
        <w:t>tion of 40 years for benefits.</w:t>
      </w:r>
    </w:p>
    <w:p w:rsidR="00254B45" w:rsidRPr="001E5FAC" w:rsidRDefault="00D5643A" w:rsidP="005C0583">
      <w:pPr>
        <w:pStyle w:val="EYBodytextwithparaspace"/>
      </w:pPr>
      <w:r w:rsidRPr="006803A1">
        <w:t xml:space="preserve">The reason for including a </w:t>
      </w:r>
      <w:r w:rsidR="00254B45" w:rsidRPr="006803A1">
        <w:t>shorter</w:t>
      </w:r>
      <w:r w:rsidRPr="006803A1">
        <w:t xml:space="preserve"> than normal timeframe for measuring the benefits is that this analysis relies on the </w:t>
      </w:r>
      <w:r w:rsidR="0096410A">
        <w:t>fact</w:t>
      </w:r>
      <w:r w:rsidR="0096410A" w:rsidRPr="006803A1">
        <w:t xml:space="preserve"> </w:t>
      </w:r>
      <w:r w:rsidRPr="006803A1">
        <w:t xml:space="preserve">that </w:t>
      </w:r>
      <w:r w:rsidR="00801837" w:rsidRPr="006803A1">
        <w:t>AACFs</w:t>
      </w:r>
      <w:r w:rsidR="0096410A">
        <w:t xml:space="preserve"> at the thresholds suggested</w:t>
      </w:r>
      <w:r w:rsidRPr="006803A1">
        <w:t xml:space="preserve"> would encourage additional visitation by people with a complex disability </w:t>
      </w:r>
      <w:r w:rsidR="003A65C7">
        <w:t xml:space="preserve">to a shopping centre, museum or </w:t>
      </w:r>
      <w:r w:rsidR="003A65C7">
        <w:lastRenderedPageBreak/>
        <w:t xml:space="preserve">stadium where one was installed </w:t>
      </w:r>
      <w:r w:rsidR="00254B45" w:rsidRPr="00866060">
        <w:t>(</w:t>
      </w:r>
      <w:r w:rsidRPr="001E5FAC">
        <w:t>noting, of course, that the reason for the additional visitation is first and foremost the attraction of the place, not the facilities</w:t>
      </w:r>
      <w:r w:rsidR="007C7718" w:rsidRPr="001E5FAC">
        <w:t>)</w:t>
      </w:r>
      <w:r w:rsidRPr="001E5FAC">
        <w:t>.</w:t>
      </w:r>
    </w:p>
    <w:p w:rsidR="00D5643A" w:rsidRDefault="0005710D" w:rsidP="00D5643A">
      <w:pPr>
        <w:pStyle w:val="EYBodytextwithparaspace"/>
      </w:pPr>
      <w:r>
        <w:t xml:space="preserve">Beyond ten years, there is likely to be an element of diminishing marginal returns in the benefits from new facilities. As AACFs become more common, the number of new trips made to Class 6 shopping centres and Class 9b assembly buildings as a result of AACFs (which comprise the quantifiable benefits considered in this </w:t>
      </w:r>
      <w:r w:rsidR="009474ED">
        <w:t xml:space="preserve">Final </w:t>
      </w:r>
      <w:r>
        <w:t>RIS) would be expected to decline with each new facility installed. On the other hand, the vast array of qualitative benefits through improved social equity</w:t>
      </w:r>
      <w:r w:rsidR="00B649FD">
        <w:t>,</w:t>
      </w:r>
      <w:r>
        <w:t xml:space="preserve"> cohesion and psychological wellbeing of people with a disability, would be expected to increase with the number of facilities. </w:t>
      </w:r>
    </w:p>
    <w:p w:rsidR="00400534" w:rsidRDefault="009A6274" w:rsidP="00D5643A">
      <w:pPr>
        <w:pStyle w:val="EYBodytextwithparaspace"/>
      </w:pPr>
      <w:r>
        <w:t xml:space="preserve">In other words beyond ten years, the qualitative benefits are expected to become more pronounced while the quantitative benefits </w:t>
      </w:r>
      <w:r w:rsidR="00B649FD">
        <w:t xml:space="preserve">become </w:t>
      </w:r>
      <w:r>
        <w:t>less so, meaning quantification was not considered appropriate</w:t>
      </w:r>
      <w:r w:rsidR="00B649FD">
        <w:t xml:space="preserve"> beyond this timeframe</w:t>
      </w:r>
      <w:r>
        <w:t>.</w:t>
      </w:r>
    </w:p>
    <w:p w:rsidR="00D5643A" w:rsidRPr="001E5FAC" w:rsidRDefault="00C4132B" w:rsidP="00D5643A">
      <w:pPr>
        <w:pStyle w:val="Caption"/>
        <w:pBdr>
          <w:top w:val="single" w:sz="4" w:space="1" w:color="auto"/>
          <w:left w:val="single" w:sz="4" w:space="4" w:color="auto"/>
          <w:bottom w:val="single" w:sz="4" w:space="1" w:color="auto"/>
          <w:right w:val="single" w:sz="4" w:space="4" w:color="auto"/>
        </w:pBdr>
        <w:shd w:val="clear" w:color="auto" w:fill="D9D9D9" w:themeFill="background1" w:themeFillShade="D9"/>
      </w:pPr>
      <w:r w:rsidRPr="001E5FAC">
        <w:t>Consultation questions</w:t>
      </w:r>
      <w:r w:rsidR="00D5643A" w:rsidRPr="001E5FAC">
        <w:t xml:space="preserve"> </w:t>
      </w:r>
    </w:p>
    <w:p w:rsidR="00987E4D" w:rsidRPr="001E5FAC" w:rsidRDefault="00987E4D" w:rsidP="00400534">
      <w:pPr>
        <w:pStyle w:val="EYBulletedText1"/>
        <w:pBdr>
          <w:top w:val="single" w:sz="4" w:space="1" w:color="auto"/>
          <w:left w:val="single" w:sz="4" w:space="4" w:color="auto"/>
          <w:bottom w:val="single" w:sz="4" w:space="1" w:color="auto"/>
          <w:right w:val="single" w:sz="4" w:space="4" w:color="auto"/>
        </w:pBdr>
        <w:shd w:val="clear" w:color="auto" w:fill="D9D9D9" w:themeFill="background1" w:themeFillShade="D9"/>
        <w:rPr>
          <w:noProof/>
        </w:rPr>
      </w:pPr>
      <w:bookmarkStart w:id="599" w:name="_Ref506883538"/>
      <w:r w:rsidRPr="001E5FAC">
        <w:rPr>
          <w:noProof/>
        </w:rPr>
        <w:t>Is the assumption that every visitor makes a 15</w:t>
      </w:r>
      <w:r w:rsidR="001D43E9">
        <w:rPr>
          <w:noProof/>
        </w:rPr>
        <w:t xml:space="preserve"> </w:t>
      </w:r>
      <w:r w:rsidRPr="001E5FAC">
        <w:rPr>
          <w:noProof/>
        </w:rPr>
        <w:t>km round trip, and that this trip takes 20 minutes, a reasonable assumption? Are you able to suggest an alternative assumption?</w:t>
      </w:r>
    </w:p>
    <w:p w:rsidR="00987E4D" w:rsidRPr="001E5FAC" w:rsidRDefault="00987E4D" w:rsidP="00400534">
      <w:pPr>
        <w:pStyle w:val="EYBulletedText1"/>
        <w:pBdr>
          <w:top w:val="single" w:sz="4" w:space="1" w:color="auto"/>
          <w:left w:val="single" w:sz="4" w:space="4" w:color="auto"/>
          <w:bottom w:val="single" w:sz="4" w:space="1" w:color="auto"/>
          <w:right w:val="single" w:sz="4" w:space="4" w:color="auto"/>
        </w:pBdr>
        <w:shd w:val="clear" w:color="auto" w:fill="D9D9D9" w:themeFill="background1" w:themeFillShade="D9"/>
      </w:pPr>
      <w:bookmarkStart w:id="600" w:name="_Ref506883559"/>
      <w:bookmarkEnd w:id="599"/>
      <w:r w:rsidRPr="001E5FAC">
        <w:t>Do you agree with the assumptions regarding the number of ‘additional’ trips to shopping centres, museums and stadiums as a result of AACFs being introduced (1 for shopping centres, 0.5 for museums, and 4 for stadiums)? Are you able to suggest an alternative assumption?</w:t>
      </w:r>
    </w:p>
    <w:p w:rsidR="00987E4D" w:rsidRPr="001E5FAC" w:rsidRDefault="00AB7008" w:rsidP="00400534">
      <w:pPr>
        <w:pStyle w:val="EYBulletedText1"/>
        <w:pBdr>
          <w:top w:val="single" w:sz="4" w:space="1" w:color="auto"/>
          <w:left w:val="single" w:sz="4" w:space="4" w:color="auto"/>
          <w:bottom w:val="single" w:sz="4" w:space="1" w:color="auto"/>
          <w:right w:val="single" w:sz="4" w:space="4" w:color="auto"/>
        </w:pBdr>
        <w:shd w:val="clear" w:color="auto" w:fill="D9D9D9" w:themeFill="background1" w:themeFillShade="D9"/>
      </w:pPr>
      <w:bookmarkStart w:id="601" w:name="_Ref506883572"/>
      <w:bookmarkEnd w:id="600"/>
      <w:r w:rsidRPr="001E5FAC">
        <w:t>Do you agree with the assumptions regarding the estimated entry fee and additional spending for museums and stadiums? Are you able to suggest an alternative assumption?</w:t>
      </w:r>
    </w:p>
    <w:p w:rsidR="00C4132B" w:rsidRPr="00040312" w:rsidRDefault="00C4132B" w:rsidP="00040312">
      <w:pPr>
        <w:pStyle w:val="NormalWeb"/>
        <w:spacing w:after="0" w:line="240" w:lineRule="auto"/>
        <w:rPr>
          <w:rFonts w:ascii="Arial" w:hAnsi="Arial" w:cstheme="minorBidi"/>
          <w:szCs w:val="22"/>
        </w:rPr>
      </w:pPr>
    </w:p>
    <w:p w:rsidR="00C4132B" w:rsidRPr="00AF7114" w:rsidRDefault="002157BB" w:rsidP="00400534">
      <w:pPr>
        <w:pStyle w:val="Caption"/>
        <w:pBdr>
          <w:top w:val="single" w:sz="4" w:space="1" w:color="auto"/>
          <w:left w:val="single" w:sz="4" w:space="4" w:color="auto"/>
          <w:bottom w:val="single" w:sz="4" w:space="1" w:color="auto"/>
          <w:right w:val="single" w:sz="4" w:space="4" w:color="auto"/>
        </w:pBdr>
        <w:shd w:val="clear" w:color="auto" w:fill="F2F2F2" w:themeFill="background1" w:themeFillShade="F2"/>
      </w:pPr>
      <w:r w:rsidRPr="00AF7114">
        <w:t>Stakeholder feedback</w:t>
      </w:r>
    </w:p>
    <w:p w:rsidR="00C4132B" w:rsidRPr="00AF7114" w:rsidRDefault="00C4132B" w:rsidP="00403B65">
      <w:pPr>
        <w:pStyle w:val="EYBulletedText1"/>
        <w:pBdr>
          <w:top w:val="single" w:sz="4" w:space="1" w:color="auto"/>
          <w:left w:val="single" w:sz="4" w:space="4" w:color="auto"/>
          <w:bottom w:val="single" w:sz="4" w:space="1" w:color="auto"/>
          <w:right w:val="single" w:sz="4" w:space="4" w:color="auto"/>
        </w:pBdr>
        <w:shd w:val="clear" w:color="auto" w:fill="F2F2F2" w:themeFill="background1" w:themeFillShade="F2"/>
      </w:pPr>
      <w:r w:rsidRPr="008B18B7">
        <w:t>There was a general consensus that every visitor making a 15</w:t>
      </w:r>
      <w:r w:rsidR="001D43E9" w:rsidRPr="002667A8">
        <w:t xml:space="preserve"> </w:t>
      </w:r>
      <w:r w:rsidRPr="008B18B7">
        <w:t>km round trip with a duration of 20 minutes was reasonable</w:t>
      </w:r>
      <w:r w:rsidRPr="00AF7114">
        <w:t>. It was noted this assumption may not be representative of regional, rural and remote areas or trips taken in urban areas during peak travel times.</w:t>
      </w:r>
      <w:r w:rsidR="006E1488" w:rsidRPr="00AF7114">
        <w:t xml:space="preserve"> The Shoalhaven City Council noted that for regional dwellers, a 60</w:t>
      </w:r>
      <w:r w:rsidR="009474ED">
        <w:t> </w:t>
      </w:r>
      <w:r w:rsidR="006E1488" w:rsidRPr="00AF7114">
        <w:t>km round trip may be more reasonable and for rural dwellers an estimate of 150</w:t>
      </w:r>
      <w:r w:rsidR="001D43E9">
        <w:t xml:space="preserve"> </w:t>
      </w:r>
      <w:r w:rsidR="006E1488" w:rsidRPr="00AF7114">
        <w:t>km might be more realistic.</w:t>
      </w:r>
      <w:r w:rsidR="00535618">
        <w:t xml:space="preserve"> While it is acknowledged that in regional areas the estimated travel times may be higher</w:t>
      </w:r>
      <w:r w:rsidR="009F295E">
        <w:t xml:space="preserve"> and incur increased time and cost, these would be dominated by the average of all trips and </w:t>
      </w:r>
      <w:r w:rsidR="00F64260">
        <w:t>the analysis</w:t>
      </w:r>
      <w:r w:rsidR="00535618">
        <w:t xml:space="preserve"> retain</w:t>
      </w:r>
      <w:r w:rsidR="00F64260">
        <w:t>s</w:t>
      </w:r>
      <w:r w:rsidR="00535618">
        <w:t xml:space="preserve"> the assumptions in their current form; if the benefits outweigh the costs at a travel assumption of 20 km, then the benefits will be four times as large with a travel time assumption of 60 km.</w:t>
      </w:r>
    </w:p>
    <w:p w:rsidR="00C4132B" w:rsidRPr="00AF7114" w:rsidRDefault="00C4132B" w:rsidP="00400534">
      <w:pPr>
        <w:pStyle w:val="EYBulletedText1"/>
        <w:pBdr>
          <w:top w:val="single" w:sz="4" w:space="1" w:color="auto"/>
          <w:left w:val="single" w:sz="4" w:space="4" w:color="auto"/>
          <w:bottom w:val="single" w:sz="4" w:space="1" w:color="auto"/>
          <w:right w:val="single" w:sz="4" w:space="4" w:color="auto"/>
        </w:pBdr>
        <w:shd w:val="clear" w:color="auto" w:fill="F2F2F2" w:themeFill="background1" w:themeFillShade="F2"/>
      </w:pPr>
      <w:r w:rsidRPr="00AF7114">
        <w:t>While some responses noted this assumption was appropriate, multiple responses</w:t>
      </w:r>
      <w:r w:rsidR="00D37AEB" w:rsidRPr="00AF7114">
        <w:t xml:space="preserve"> including those from </w:t>
      </w:r>
      <w:r w:rsidR="004C7E7E" w:rsidRPr="00AF7114">
        <w:t xml:space="preserve">the </w:t>
      </w:r>
      <w:r w:rsidR="00BF17FB">
        <w:t xml:space="preserve">Victorian </w:t>
      </w:r>
      <w:r w:rsidR="00B25133">
        <w:t>HHS</w:t>
      </w:r>
      <w:r w:rsidR="00BF17FB">
        <w:t>BA</w:t>
      </w:r>
      <w:r w:rsidR="00D37AEB" w:rsidRPr="00AF7114">
        <w:t>, a representative of the Association of Consultants in Access Australia and disability advocates</w:t>
      </w:r>
      <w:r w:rsidRPr="00AF7114">
        <w:t xml:space="preserve"> were of the view that the additional trip factors used underestimated the additional trips that will result from the introduction of AACFs with literature and studies o</w:t>
      </w:r>
      <w:r w:rsidR="00805814">
        <w:t>n accessible tourism provided.</w:t>
      </w:r>
    </w:p>
    <w:bookmarkEnd w:id="601"/>
    <w:p w:rsidR="00D5643A" w:rsidRPr="002B182F" w:rsidRDefault="00071CA8" w:rsidP="00400534">
      <w:pPr>
        <w:pStyle w:val="EYBulletedText1"/>
        <w:pBdr>
          <w:top w:val="single" w:sz="4" w:space="1" w:color="auto"/>
          <w:left w:val="single" w:sz="4" w:space="4" w:color="auto"/>
          <w:bottom w:val="single" w:sz="4" w:space="1" w:color="auto"/>
          <w:right w:val="single" w:sz="4" w:space="4" w:color="auto"/>
        </w:pBdr>
        <w:shd w:val="clear" w:color="auto" w:fill="F2F2F2" w:themeFill="background1" w:themeFillShade="F2"/>
      </w:pPr>
      <w:r w:rsidRPr="00AF7114">
        <w:lastRenderedPageBreak/>
        <w:t xml:space="preserve">While some responses noted this assumption was appropriate, multiple responses were of the view that additional </w:t>
      </w:r>
      <w:r w:rsidR="00114A2F" w:rsidRPr="00AF7114">
        <w:t xml:space="preserve">entry fees and </w:t>
      </w:r>
      <w:r w:rsidRPr="00AF7114">
        <w:t>spending</w:t>
      </w:r>
      <w:r w:rsidR="00114A2F" w:rsidRPr="00AF7114">
        <w:t xml:space="preserve"> was underestimated with literature and studies on universal design and accessible tourism provided</w:t>
      </w:r>
      <w:r w:rsidR="00BF17FB">
        <w:t xml:space="preserve"> by the Victorian </w:t>
      </w:r>
      <w:r w:rsidR="00B25133">
        <w:t>HHS</w:t>
      </w:r>
      <w:r w:rsidR="00BF17FB">
        <w:t>BA</w:t>
      </w:r>
      <w:r w:rsidR="00345DCC" w:rsidRPr="00AF7114">
        <w:t xml:space="preserve"> and a disability advocate</w:t>
      </w:r>
      <w:r w:rsidR="00114A2F" w:rsidRPr="00AF7114">
        <w:t>.</w:t>
      </w:r>
    </w:p>
    <w:p w:rsidR="00D5643A" w:rsidRPr="00D14EDB" w:rsidRDefault="00D5643A" w:rsidP="009260BA">
      <w:pPr>
        <w:pStyle w:val="EYBodytextwithparaspace"/>
      </w:pPr>
    </w:p>
    <w:p w:rsidR="00912ADF" w:rsidRPr="00D14EDB" w:rsidRDefault="00912ADF" w:rsidP="00407AFB">
      <w:pPr>
        <w:pStyle w:val="EYAppendix"/>
      </w:pPr>
      <w:r w:rsidRPr="00D14EDB">
        <w:br w:type="page"/>
      </w:r>
    </w:p>
    <w:p w:rsidR="00BC218E" w:rsidRPr="00D14EDB" w:rsidRDefault="00BC218E" w:rsidP="00A15416">
      <w:pPr>
        <w:pStyle w:val="EYAppendix"/>
        <w:numPr>
          <w:ilvl w:val="0"/>
          <w:numId w:val="27"/>
        </w:numPr>
      </w:pPr>
      <w:bookmarkStart w:id="602" w:name="_Ref506302826"/>
      <w:bookmarkStart w:id="603" w:name="_Toc525897806"/>
      <w:r w:rsidRPr="00D14EDB">
        <w:lastRenderedPageBreak/>
        <w:t>Assumed building profile</w:t>
      </w:r>
      <w:bookmarkEnd w:id="589"/>
      <w:bookmarkEnd w:id="590"/>
      <w:bookmarkEnd w:id="591"/>
      <w:bookmarkEnd w:id="602"/>
      <w:bookmarkEnd w:id="603"/>
      <w:r w:rsidRPr="00D14EDB">
        <w:t xml:space="preserve"> </w:t>
      </w:r>
    </w:p>
    <w:p w:rsidR="00407AFB" w:rsidRPr="001E5FAC" w:rsidRDefault="00407AFB" w:rsidP="00407AFB">
      <w:pPr>
        <w:pStyle w:val="Caption"/>
      </w:pPr>
      <w:bookmarkStart w:id="604" w:name="_Toc525897831"/>
      <w:r w:rsidRPr="006803A1">
        <w:t xml:space="preserve">Table </w:t>
      </w:r>
      <w:r w:rsidR="00EC0E2D">
        <w:rPr>
          <w:noProof/>
        </w:rPr>
        <w:fldChar w:fldCharType="begin"/>
      </w:r>
      <w:r w:rsidR="00EC0E2D">
        <w:rPr>
          <w:noProof/>
        </w:rPr>
        <w:instrText xml:space="preserve"> STYLEREF  \s "EY Appendix" </w:instrText>
      </w:r>
      <w:r w:rsidR="00EC0E2D">
        <w:rPr>
          <w:noProof/>
        </w:rPr>
        <w:fldChar w:fldCharType="separate"/>
      </w:r>
      <w:r w:rsidR="00910A73">
        <w:rPr>
          <w:noProof/>
        </w:rPr>
        <w:t>B</w:t>
      </w:r>
      <w:r w:rsidR="00EC0E2D">
        <w:rPr>
          <w:noProof/>
        </w:rPr>
        <w:fldChar w:fldCharType="end"/>
      </w:r>
      <w:r w:rsidR="00325A73">
        <w:noBreakHyphen/>
      </w:r>
      <w:r w:rsidR="00D128AA">
        <w:rPr>
          <w:noProof/>
        </w:rPr>
        <w:fldChar w:fldCharType="begin"/>
      </w:r>
      <w:r w:rsidR="00D128AA">
        <w:rPr>
          <w:noProof/>
        </w:rPr>
        <w:instrText xml:space="preserve"> SEQ Table \* ARABIC \</w:instrText>
      </w:r>
      <w:r w:rsidR="00EC0E2D">
        <w:rPr>
          <w:noProof/>
        </w:rPr>
        <w:instrText>r</w:instrText>
      </w:r>
      <w:r w:rsidR="00D128AA">
        <w:rPr>
          <w:noProof/>
        </w:rPr>
        <w:instrText xml:space="preserve"> 1 </w:instrText>
      </w:r>
      <w:r w:rsidR="00D128AA">
        <w:rPr>
          <w:noProof/>
        </w:rPr>
        <w:fldChar w:fldCharType="separate"/>
      </w:r>
      <w:r w:rsidR="00910A73">
        <w:rPr>
          <w:noProof/>
        </w:rPr>
        <w:t>1</w:t>
      </w:r>
      <w:r w:rsidR="00D128AA">
        <w:rPr>
          <w:noProof/>
        </w:rPr>
        <w:fldChar w:fldCharType="end"/>
      </w:r>
      <w:r w:rsidR="00C25B69" w:rsidRPr="001E5FAC">
        <w:rPr>
          <w:noProof/>
        </w:rPr>
        <w:t>:</w:t>
      </w:r>
      <w:r w:rsidRPr="001E5FAC">
        <w:t xml:space="preserve"> Assumed </w:t>
      </w:r>
      <w:r w:rsidR="007C7718" w:rsidRPr="001E5FAC">
        <w:t>number of buildings constructed, regulatory and non-regulatory scenarios</w:t>
      </w:r>
      <w:bookmarkEnd w:id="604"/>
    </w:p>
    <w:tbl>
      <w:tblPr>
        <w:tblStyle w:val="TableGrid"/>
        <w:tblW w:w="5152"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Caption w:val="Table B 1: Assumed number of buildings constructed, regulatory and non-regulatory scenarios"/>
        <w:tblDescription w:val="The assumed number of buildings constructed."/>
      </w:tblPr>
      <w:tblGrid>
        <w:gridCol w:w="2089"/>
        <w:gridCol w:w="783"/>
        <w:gridCol w:w="782"/>
        <w:gridCol w:w="782"/>
        <w:gridCol w:w="781"/>
        <w:gridCol w:w="781"/>
        <w:gridCol w:w="784"/>
        <w:gridCol w:w="782"/>
        <w:gridCol w:w="781"/>
        <w:gridCol w:w="781"/>
        <w:gridCol w:w="794"/>
      </w:tblGrid>
      <w:tr w:rsidR="004705C6" w:rsidRPr="00040312" w:rsidTr="0022711B">
        <w:tc>
          <w:tcPr>
            <w:tcW w:w="20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4705C6" w:rsidRPr="00040312" w:rsidRDefault="004705C6" w:rsidP="00054CF8">
            <w:pPr>
              <w:pStyle w:val="EYTableHeadingWhite"/>
              <w:rPr>
                <w:sz w:val="20"/>
                <w:szCs w:val="20"/>
              </w:rPr>
            </w:pPr>
          </w:p>
        </w:tc>
        <w:tc>
          <w:tcPr>
            <w:tcW w:w="7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4705C6" w:rsidRPr="00040312" w:rsidRDefault="004705C6" w:rsidP="00054CF8">
            <w:pPr>
              <w:pStyle w:val="EYTableHeadingWhite"/>
              <w:rPr>
                <w:sz w:val="20"/>
                <w:szCs w:val="20"/>
              </w:rPr>
            </w:pPr>
            <w:r w:rsidRPr="00040312">
              <w:rPr>
                <w:sz w:val="20"/>
                <w:szCs w:val="20"/>
              </w:rPr>
              <w:t>2018</w:t>
            </w:r>
          </w:p>
        </w:tc>
        <w:tc>
          <w:tcPr>
            <w:tcW w:w="7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4705C6" w:rsidRPr="00040312" w:rsidRDefault="004705C6" w:rsidP="00054CF8">
            <w:pPr>
              <w:pStyle w:val="EYTableHeadingWhite"/>
              <w:rPr>
                <w:sz w:val="20"/>
                <w:szCs w:val="20"/>
              </w:rPr>
            </w:pPr>
            <w:r w:rsidRPr="00040312">
              <w:rPr>
                <w:sz w:val="20"/>
                <w:szCs w:val="20"/>
              </w:rPr>
              <w:t>2019</w:t>
            </w:r>
          </w:p>
        </w:tc>
        <w:tc>
          <w:tcPr>
            <w:tcW w:w="7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4705C6" w:rsidRPr="00040312" w:rsidRDefault="004705C6" w:rsidP="00054CF8">
            <w:pPr>
              <w:pStyle w:val="EYTableHeadingWhite"/>
              <w:rPr>
                <w:sz w:val="20"/>
                <w:szCs w:val="20"/>
              </w:rPr>
            </w:pPr>
            <w:r w:rsidRPr="00040312">
              <w:rPr>
                <w:sz w:val="20"/>
                <w:szCs w:val="20"/>
              </w:rPr>
              <w:t>2020</w:t>
            </w:r>
          </w:p>
        </w:tc>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4705C6" w:rsidRPr="00040312" w:rsidRDefault="004705C6" w:rsidP="00054CF8">
            <w:pPr>
              <w:pStyle w:val="EYTableHeadingWhite"/>
              <w:rPr>
                <w:sz w:val="20"/>
                <w:szCs w:val="20"/>
              </w:rPr>
            </w:pPr>
            <w:r w:rsidRPr="00040312">
              <w:rPr>
                <w:sz w:val="20"/>
                <w:szCs w:val="20"/>
              </w:rPr>
              <w:t>2021</w:t>
            </w:r>
          </w:p>
        </w:tc>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4705C6" w:rsidRPr="00040312" w:rsidRDefault="004705C6" w:rsidP="00054CF8">
            <w:pPr>
              <w:pStyle w:val="EYTableHeadingWhite"/>
              <w:rPr>
                <w:sz w:val="20"/>
                <w:szCs w:val="20"/>
              </w:rPr>
            </w:pPr>
            <w:r w:rsidRPr="00040312">
              <w:rPr>
                <w:sz w:val="20"/>
                <w:szCs w:val="20"/>
              </w:rPr>
              <w:t>2022</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4705C6" w:rsidRPr="00040312" w:rsidRDefault="004705C6" w:rsidP="00054CF8">
            <w:pPr>
              <w:pStyle w:val="EYTableHeadingWhite"/>
              <w:rPr>
                <w:sz w:val="20"/>
                <w:szCs w:val="20"/>
              </w:rPr>
            </w:pPr>
            <w:r w:rsidRPr="00040312">
              <w:rPr>
                <w:sz w:val="20"/>
                <w:szCs w:val="20"/>
              </w:rPr>
              <w:t>2023</w:t>
            </w:r>
          </w:p>
        </w:tc>
        <w:tc>
          <w:tcPr>
            <w:tcW w:w="7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4705C6" w:rsidRPr="00040312" w:rsidRDefault="004705C6" w:rsidP="00054CF8">
            <w:pPr>
              <w:pStyle w:val="EYTableHeadingWhite"/>
              <w:rPr>
                <w:sz w:val="20"/>
                <w:szCs w:val="20"/>
              </w:rPr>
            </w:pPr>
            <w:r w:rsidRPr="00040312">
              <w:rPr>
                <w:sz w:val="20"/>
                <w:szCs w:val="20"/>
              </w:rPr>
              <w:t>2024</w:t>
            </w:r>
          </w:p>
        </w:tc>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4705C6" w:rsidRPr="00040312" w:rsidRDefault="004705C6" w:rsidP="00054CF8">
            <w:pPr>
              <w:pStyle w:val="EYTableHeadingWhite"/>
              <w:rPr>
                <w:sz w:val="20"/>
                <w:szCs w:val="20"/>
              </w:rPr>
            </w:pPr>
            <w:r w:rsidRPr="00040312">
              <w:rPr>
                <w:sz w:val="20"/>
                <w:szCs w:val="20"/>
              </w:rPr>
              <w:t>2025</w:t>
            </w:r>
          </w:p>
        </w:tc>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4705C6" w:rsidRPr="00040312" w:rsidRDefault="004705C6" w:rsidP="00054CF8">
            <w:pPr>
              <w:pStyle w:val="EYTableHeadingWhite"/>
              <w:rPr>
                <w:sz w:val="20"/>
                <w:szCs w:val="20"/>
              </w:rPr>
            </w:pPr>
            <w:r w:rsidRPr="00040312">
              <w:rPr>
                <w:sz w:val="20"/>
                <w:szCs w:val="20"/>
              </w:rPr>
              <w:t>2026</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noWrap/>
            <w:hideMark/>
          </w:tcPr>
          <w:p w:rsidR="004705C6" w:rsidRPr="00040312" w:rsidRDefault="004705C6" w:rsidP="00054CF8">
            <w:pPr>
              <w:pStyle w:val="EYTableHeadingWhite"/>
              <w:rPr>
                <w:sz w:val="20"/>
                <w:szCs w:val="20"/>
              </w:rPr>
            </w:pPr>
            <w:r w:rsidRPr="00040312">
              <w:rPr>
                <w:sz w:val="20"/>
                <w:szCs w:val="20"/>
              </w:rPr>
              <w:t>2027</w:t>
            </w:r>
          </w:p>
        </w:tc>
      </w:tr>
      <w:tr w:rsidR="002735B3" w:rsidRPr="00040312" w:rsidTr="00602F49">
        <w:trPr>
          <w:gridAfter w:val="10"/>
          <w:wAfter w:w="7831" w:type="dxa"/>
        </w:trPr>
        <w:tc>
          <w:tcPr>
            <w:tcW w:w="2089" w:type="dxa"/>
            <w:shd w:val="clear" w:color="auto" w:fill="D9D9D9" w:themeFill="background1" w:themeFillShade="D9"/>
            <w:noWrap/>
            <w:hideMark/>
          </w:tcPr>
          <w:p w:rsidR="002735B3" w:rsidRPr="00040312" w:rsidRDefault="002735B3" w:rsidP="0022711B">
            <w:pPr>
              <w:spacing w:before="60" w:after="60"/>
              <w:jc w:val="left"/>
              <w:rPr>
                <w:rFonts w:eastAsia="Times New Roman" w:cs="Arial"/>
                <w:sz w:val="20"/>
                <w:szCs w:val="20"/>
                <w:lang w:eastAsia="en-AU"/>
              </w:rPr>
            </w:pPr>
            <w:r w:rsidRPr="00040312">
              <w:rPr>
                <w:rFonts w:eastAsia="Times New Roman" w:cs="Arial"/>
                <w:b/>
                <w:bCs/>
                <w:color w:val="000000"/>
                <w:sz w:val="20"/>
                <w:szCs w:val="20"/>
                <w:lang w:eastAsia="en-AU"/>
              </w:rPr>
              <w:t>Shopping centres</w:t>
            </w:r>
          </w:p>
        </w:tc>
      </w:tr>
      <w:tr w:rsidR="004705C6" w:rsidRPr="00040312" w:rsidTr="0022711B">
        <w:tc>
          <w:tcPr>
            <w:tcW w:w="2089" w:type="dxa"/>
            <w:noWrap/>
            <w:hideMark/>
          </w:tcPr>
          <w:p w:rsidR="004705C6" w:rsidRPr="00040312" w:rsidRDefault="004705C6" w:rsidP="00054CF8">
            <w:pPr>
              <w:jc w:val="left"/>
              <w:rPr>
                <w:rFonts w:eastAsia="Times New Roman" w:cs="Arial"/>
                <w:iCs/>
                <w:color w:val="000000"/>
                <w:sz w:val="20"/>
                <w:szCs w:val="20"/>
                <w:lang w:eastAsia="en-AU"/>
              </w:rPr>
            </w:pPr>
            <w:r w:rsidRPr="00040312">
              <w:rPr>
                <w:rFonts w:eastAsia="Times New Roman" w:cs="Arial"/>
                <w:iCs/>
                <w:color w:val="000000"/>
                <w:sz w:val="20"/>
                <w:szCs w:val="20"/>
                <w:lang w:eastAsia="en-AU"/>
              </w:rPr>
              <w:t>Total floor space (sqm) - Regulatory</w:t>
            </w:r>
          </w:p>
        </w:tc>
        <w:tc>
          <w:tcPr>
            <w:tcW w:w="7831" w:type="dxa"/>
            <w:gridSpan w:val="10"/>
            <w:noWrap/>
            <w:hideMark/>
          </w:tcPr>
          <w:p w:rsidR="004705C6" w:rsidRPr="00040312" w:rsidRDefault="004705C6" w:rsidP="00054CF8">
            <w:pPr>
              <w:jc w:val="center"/>
              <w:rPr>
                <w:rFonts w:eastAsia="Times New Roman" w:cs="Arial"/>
                <w:iCs/>
                <w:color w:val="000000"/>
                <w:sz w:val="20"/>
                <w:szCs w:val="20"/>
                <w:lang w:eastAsia="en-AU"/>
              </w:rPr>
            </w:pPr>
          </w:p>
        </w:tc>
      </w:tr>
      <w:tr w:rsidR="004705C6" w:rsidRPr="00040312" w:rsidTr="0022711B">
        <w:tc>
          <w:tcPr>
            <w:tcW w:w="2089" w:type="dxa"/>
            <w:noWrap/>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&lt;10,000</w:t>
            </w:r>
          </w:p>
        </w:tc>
        <w:tc>
          <w:tcPr>
            <w:tcW w:w="783"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149</w:t>
            </w:r>
          </w:p>
        </w:tc>
        <w:tc>
          <w:tcPr>
            <w:tcW w:w="782"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150</w:t>
            </w:r>
          </w:p>
        </w:tc>
        <w:tc>
          <w:tcPr>
            <w:tcW w:w="782"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150</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149</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150</w:t>
            </w:r>
          </w:p>
        </w:tc>
        <w:tc>
          <w:tcPr>
            <w:tcW w:w="784"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150</w:t>
            </w:r>
          </w:p>
        </w:tc>
        <w:tc>
          <w:tcPr>
            <w:tcW w:w="782"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149</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150</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150</w:t>
            </w:r>
          </w:p>
        </w:tc>
        <w:tc>
          <w:tcPr>
            <w:tcW w:w="794"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150</w:t>
            </w:r>
          </w:p>
        </w:tc>
      </w:tr>
      <w:tr w:rsidR="004705C6" w:rsidRPr="00040312" w:rsidTr="0022711B">
        <w:tc>
          <w:tcPr>
            <w:tcW w:w="2089" w:type="dxa"/>
            <w:noWrap/>
            <w:hideMark/>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10,000-25,000</w:t>
            </w:r>
          </w:p>
        </w:tc>
        <w:tc>
          <w:tcPr>
            <w:tcW w:w="783"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31</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32</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23</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34</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36</w:t>
            </w:r>
          </w:p>
        </w:tc>
        <w:tc>
          <w:tcPr>
            <w:tcW w:w="78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31</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31</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32</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31</w:t>
            </w:r>
          </w:p>
        </w:tc>
        <w:tc>
          <w:tcPr>
            <w:tcW w:w="79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31</w:t>
            </w:r>
          </w:p>
        </w:tc>
      </w:tr>
      <w:tr w:rsidR="004705C6" w:rsidRPr="00040312" w:rsidTr="0022711B">
        <w:tc>
          <w:tcPr>
            <w:tcW w:w="2089" w:type="dxa"/>
            <w:noWrap/>
            <w:hideMark/>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25,000-50,000</w:t>
            </w:r>
          </w:p>
        </w:tc>
        <w:tc>
          <w:tcPr>
            <w:tcW w:w="783"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34</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36</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22</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37</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41</w:t>
            </w:r>
          </w:p>
        </w:tc>
        <w:tc>
          <w:tcPr>
            <w:tcW w:w="78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34</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35</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35</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34</w:t>
            </w:r>
          </w:p>
        </w:tc>
        <w:tc>
          <w:tcPr>
            <w:tcW w:w="79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35</w:t>
            </w:r>
          </w:p>
        </w:tc>
      </w:tr>
      <w:tr w:rsidR="004705C6" w:rsidRPr="00040312" w:rsidTr="0022711B">
        <w:tc>
          <w:tcPr>
            <w:tcW w:w="2089" w:type="dxa"/>
            <w:noWrap/>
            <w:hideMark/>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50,000-75,000</w:t>
            </w:r>
          </w:p>
        </w:tc>
        <w:tc>
          <w:tcPr>
            <w:tcW w:w="783"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7</w:t>
            </w:r>
          </w:p>
        </w:tc>
        <w:tc>
          <w:tcPr>
            <w:tcW w:w="78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6</w:t>
            </w:r>
          </w:p>
        </w:tc>
        <w:tc>
          <w:tcPr>
            <w:tcW w:w="79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r>
      <w:tr w:rsidR="004705C6" w:rsidRPr="00040312" w:rsidTr="0022711B">
        <w:tc>
          <w:tcPr>
            <w:tcW w:w="2089" w:type="dxa"/>
            <w:noWrap/>
            <w:hideMark/>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75</w:t>
            </w:r>
            <w:r w:rsidR="00B649FD" w:rsidRPr="00040312">
              <w:rPr>
                <w:rFonts w:eastAsia="Times New Roman" w:cs="Arial"/>
                <w:color w:val="000000"/>
                <w:sz w:val="20"/>
                <w:szCs w:val="20"/>
                <w:lang w:eastAsia="en-AU"/>
              </w:rPr>
              <w:t>,0</w:t>
            </w:r>
            <w:r w:rsidRPr="00040312">
              <w:rPr>
                <w:rFonts w:eastAsia="Times New Roman" w:cs="Arial"/>
                <w:color w:val="000000"/>
                <w:sz w:val="20"/>
                <w:szCs w:val="20"/>
                <w:lang w:eastAsia="en-AU"/>
              </w:rPr>
              <w:t>00-100,000</w:t>
            </w:r>
          </w:p>
        </w:tc>
        <w:tc>
          <w:tcPr>
            <w:tcW w:w="783"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7</w:t>
            </w:r>
          </w:p>
        </w:tc>
        <w:tc>
          <w:tcPr>
            <w:tcW w:w="78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6</w:t>
            </w:r>
          </w:p>
        </w:tc>
        <w:tc>
          <w:tcPr>
            <w:tcW w:w="79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r>
      <w:tr w:rsidR="004705C6" w:rsidRPr="00040312" w:rsidTr="0022711B">
        <w:tc>
          <w:tcPr>
            <w:tcW w:w="2089" w:type="dxa"/>
            <w:noWrap/>
            <w:hideMark/>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100,000 plus</w:t>
            </w:r>
          </w:p>
        </w:tc>
        <w:tc>
          <w:tcPr>
            <w:tcW w:w="783"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7</w:t>
            </w:r>
          </w:p>
        </w:tc>
        <w:tc>
          <w:tcPr>
            <w:tcW w:w="78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6</w:t>
            </w:r>
          </w:p>
        </w:tc>
        <w:tc>
          <w:tcPr>
            <w:tcW w:w="79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r>
      <w:tr w:rsidR="004705C6" w:rsidRPr="00040312" w:rsidTr="0022711B">
        <w:tc>
          <w:tcPr>
            <w:tcW w:w="2089" w:type="dxa"/>
            <w:noWrap/>
            <w:hideMark/>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Total floor space (sqm) – Non-regulatory</w:t>
            </w:r>
          </w:p>
        </w:tc>
        <w:tc>
          <w:tcPr>
            <w:tcW w:w="7831" w:type="dxa"/>
            <w:gridSpan w:val="10"/>
            <w:noWrap/>
          </w:tcPr>
          <w:p w:rsidR="004705C6" w:rsidRPr="00040312" w:rsidRDefault="004705C6" w:rsidP="0022711B">
            <w:pPr>
              <w:jc w:val="left"/>
              <w:rPr>
                <w:rFonts w:eastAsia="Times New Roman" w:cs="Arial"/>
                <w:iCs/>
                <w:color w:val="000000"/>
                <w:sz w:val="20"/>
                <w:szCs w:val="20"/>
                <w:lang w:eastAsia="en-AU"/>
              </w:rPr>
            </w:pPr>
          </w:p>
        </w:tc>
      </w:tr>
      <w:tr w:rsidR="004705C6" w:rsidRPr="00040312" w:rsidTr="0022711B">
        <w:tc>
          <w:tcPr>
            <w:tcW w:w="2089" w:type="dxa"/>
            <w:noWrap/>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&lt;10,000</w:t>
            </w:r>
          </w:p>
        </w:tc>
        <w:tc>
          <w:tcPr>
            <w:tcW w:w="783" w:type="dxa"/>
            <w:noWrap/>
          </w:tcPr>
          <w:p w:rsidR="004705C6" w:rsidRPr="00040312" w:rsidRDefault="004705C6" w:rsidP="00040312">
            <w:pPr>
              <w:jc w:val="right"/>
              <w:rPr>
                <w:rFonts w:eastAsia="Times New Roman" w:cs="Arial"/>
                <w:iCs/>
                <w:color w:val="000000"/>
                <w:sz w:val="20"/>
                <w:szCs w:val="20"/>
                <w:lang w:eastAsia="en-AU"/>
              </w:rPr>
            </w:pPr>
            <w:r w:rsidRPr="00040312">
              <w:rPr>
                <w:rFonts w:cs="Calibri"/>
                <w:color w:val="000000"/>
                <w:sz w:val="20"/>
                <w:szCs w:val="20"/>
              </w:rPr>
              <w:t>90</w:t>
            </w:r>
          </w:p>
        </w:tc>
        <w:tc>
          <w:tcPr>
            <w:tcW w:w="782" w:type="dxa"/>
          </w:tcPr>
          <w:p w:rsidR="004705C6" w:rsidRPr="00040312" w:rsidRDefault="004705C6" w:rsidP="00040312">
            <w:pPr>
              <w:jc w:val="right"/>
              <w:rPr>
                <w:rFonts w:eastAsia="Times New Roman" w:cs="Arial"/>
                <w:iCs/>
                <w:color w:val="000000"/>
                <w:sz w:val="20"/>
                <w:szCs w:val="20"/>
                <w:lang w:eastAsia="en-AU"/>
              </w:rPr>
            </w:pPr>
            <w:r w:rsidRPr="00040312">
              <w:rPr>
                <w:rFonts w:cs="Calibri"/>
                <w:color w:val="000000"/>
                <w:sz w:val="20"/>
                <w:szCs w:val="20"/>
              </w:rPr>
              <w:t>90</w:t>
            </w:r>
          </w:p>
        </w:tc>
        <w:tc>
          <w:tcPr>
            <w:tcW w:w="782" w:type="dxa"/>
          </w:tcPr>
          <w:p w:rsidR="004705C6" w:rsidRPr="00040312" w:rsidRDefault="004705C6" w:rsidP="00040312">
            <w:pPr>
              <w:jc w:val="right"/>
              <w:rPr>
                <w:rFonts w:eastAsia="Times New Roman" w:cs="Arial"/>
                <w:iCs/>
                <w:color w:val="000000"/>
                <w:sz w:val="20"/>
                <w:szCs w:val="20"/>
                <w:lang w:eastAsia="en-AU"/>
              </w:rPr>
            </w:pPr>
            <w:r w:rsidRPr="00040312">
              <w:rPr>
                <w:rFonts w:cs="Calibri"/>
                <w:color w:val="000000"/>
                <w:sz w:val="20"/>
                <w:szCs w:val="20"/>
              </w:rPr>
              <w:t>90</w:t>
            </w:r>
          </w:p>
        </w:tc>
        <w:tc>
          <w:tcPr>
            <w:tcW w:w="781" w:type="dxa"/>
          </w:tcPr>
          <w:p w:rsidR="004705C6" w:rsidRPr="00040312" w:rsidRDefault="004705C6" w:rsidP="00040312">
            <w:pPr>
              <w:jc w:val="right"/>
              <w:rPr>
                <w:rFonts w:eastAsia="Times New Roman" w:cs="Arial"/>
                <w:iCs/>
                <w:color w:val="000000"/>
                <w:sz w:val="20"/>
                <w:szCs w:val="20"/>
                <w:lang w:eastAsia="en-AU"/>
              </w:rPr>
            </w:pPr>
            <w:r w:rsidRPr="00040312">
              <w:rPr>
                <w:rFonts w:cs="Calibri"/>
                <w:color w:val="000000"/>
                <w:sz w:val="20"/>
                <w:szCs w:val="20"/>
              </w:rPr>
              <w:t>90</w:t>
            </w:r>
          </w:p>
        </w:tc>
        <w:tc>
          <w:tcPr>
            <w:tcW w:w="781" w:type="dxa"/>
          </w:tcPr>
          <w:p w:rsidR="004705C6" w:rsidRPr="00040312" w:rsidRDefault="004705C6" w:rsidP="00040312">
            <w:pPr>
              <w:jc w:val="right"/>
              <w:rPr>
                <w:rFonts w:eastAsia="Times New Roman" w:cs="Arial"/>
                <w:iCs/>
                <w:color w:val="000000"/>
                <w:sz w:val="20"/>
                <w:szCs w:val="20"/>
                <w:lang w:eastAsia="en-AU"/>
              </w:rPr>
            </w:pPr>
            <w:r w:rsidRPr="00040312">
              <w:rPr>
                <w:rFonts w:cs="Calibri"/>
                <w:color w:val="000000"/>
                <w:sz w:val="20"/>
                <w:szCs w:val="20"/>
              </w:rPr>
              <w:t>90</w:t>
            </w:r>
          </w:p>
        </w:tc>
        <w:tc>
          <w:tcPr>
            <w:tcW w:w="784" w:type="dxa"/>
          </w:tcPr>
          <w:p w:rsidR="004705C6" w:rsidRPr="00040312" w:rsidRDefault="004705C6" w:rsidP="00040312">
            <w:pPr>
              <w:jc w:val="right"/>
              <w:rPr>
                <w:rFonts w:eastAsia="Times New Roman" w:cs="Arial"/>
                <w:iCs/>
                <w:color w:val="000000"/>
                <w:sz w:val="20"/>
                <w:szCs w:val="20"/>
                <w:lang w:eastAsia="en-AU"/>
              </w:rPr>
            </w:pPr>
            <w:r w:rsidRPr="00040312">
              <w:rPr>
                <w:rFonts w:cs="Calibri"/>
                <w:color w:val="000000"/>
                <w:sz w:val="20"/>
                <w:szCs w:val="20"/>
              </w:rPr>
              <w:t>90</w:t>
            </w:r>
          </w:p>
        </w:tc>
        <w:tc>
          <w:tcPr>
            <w:tcW w:w="782" w:type="dxa"/>
          </w:tcPr>
          <w:p w:rsidR="004705C6" w:rsidRPr="00040312" w:rsidRDefault="004705C6" w:rsidP="00040312">
            <w:pPr>
              <w:jc w:val="right"/>
              <w:rPr>
                <w:rFonts w:eastAsia="Times New Roman" w:cs="Arial"/>
                <w:iCs/>
                <w:color w:val="000000"/>
                <w:sz w:val="20"/>
                <w:szCs w:val="20"/>
                <w:lang w:eastAsia="en-AU"/>
              </w:rPr>
            </w:pPr>
            <w:r w:rsidRPr="00040312">
              <w:rPr>
                <w:rFonts w:cs="Calibri"/>
                <w:color w:val="000000"/>
                <w:sz w:val="20"/>
                <w:szCs w:val="20"/>
              </w:rPr>
              <w:t>90</w:t>
            </w:r>
          </w:p>
        </w:tc>
        <w:tc>
          <w:tcPr>
            <w:tcW w:w="781" w:type="dxa"/>
          </w:tcPr>
          <w:p w:rsidR="004705C6" w:rsidRPr="00040312" w:rsidRDefault="004705C6" w:rsidP="00040312">
            <w:pPr>
              <w:jc w:val="right"/>
              <w:rPr>
                <w:rFonts w:eastAsia="Times New Roman" w:cs="Arial"/>
                <w:iCs/>
                <w:color w:val="000000"/>
                <w:sz w:val="20"/>
                <w:szCs w:val="20"/>
                <w:lang w:eastAsia="en-AU"/>
              </w:rPr>
            </w:pPr>
            <w:r w:rsidRPr="00040312">
              <w:rPr>
                <w:rFonts w:cs="Calibri"/>
                <w:color w:val="000000"/>
                <w:sz w:val="20"/>
                <w:szCs w:val="20"/>
              </w:rPr>
              <w:t>90</w:t>
            </w:r>
          </w:p>
        </w:tc>
        <w:tc>
          <w:tcPr>
            <w:tcW w:w="781" w:type="dxa"/>
          </w:tcPr>
          <w:p w:rsidR="004705C6" w:rsidRPr="00040312" w:rsidRDefault="004705C6" w:rsidP="00040312">
            <w:pPr>
              <w:jc w:val="right"/>
              <w:rPr>
                <w:rFonts w:eastAsia="Times New Roman" w:cs="Arial"/>
                <w:iCs/>
                <w:color w:val="000000"/>
                <w:sz w:val="20"/>
                <w:szCs w:val="20"/>
                <w:lang w:eastAsia="en-AU"/>
              </w:rPr>
            </w:pPr>
            <w:r w:rsidRPr="00040312">
              <w:rPr>
                <w:rFonts w:cs="Calibri"/>
                <w:color w:val="000000"/>
                <w:sz w:val="20"/>
                <w:szCs w:val="20"/>
              </w:rPr>
              <w:t>90</w:t>
            </w:r>
          </w:p>
        </w:tc>
        <w:tc>
          <w:tcPr>
            <w:tcW w:w="794" w:type="dxa"/>
          </w:tcPr>
          <w:p w:rsidR="004705C6" w:rsidRPr="00040312" w:rsidRDefault="004705C6" w:rsidP="00040312">
            <w:pPr>
              <w:jc w:val="right"/>
              <w:rPr>
                <w:rFonts w:eastAsia="Times New Roman" w:cs="Arial"/>
                <w:iCs/>
                <w:color w:val="000000"/>
                <w:sz w:val="20"/>
                <w:szCs w:val="20"/>
                <w:lang w:eastAsia="en-AU"/>
              </w:rPr>
            </w:pPr>
            <w:r w:rsidRPr="00040312">
              <w:rPr>
                <w:rFonts w:cs="Calibri"/>
                <w:color w:val="000000"/>
                <w:sz w:val="20"/>
                <w:szCs w:val="20"/>
              </w:rPr>
              <w:t>90</w:t>
            </w:r>
          </w:p>
        </w:tc>
      </w:tr>
      <w:tr w:rsidR="004705C6" w:rsidRPr="00040312" w:rsidTr="0022711B">
        <w:tc>
          <w:tcPr>
            <w:tcW w:w="2089" w:type="dxa"/>
            <w:noWrap/>
            <w:hideMark/>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10,000-25,000</w:t>
            </w:r>
          </w:p>
        </w:tc>
        <w:tc>
          <w:tcPr>
            <w:tcW w:w="783"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19</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19</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14</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20</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22</w:t>
            </w:r>
          </w:p>
        </w:tc>
        <w:tc>
          <w:tcPr>
            <w:tcW w:w="78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19</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19</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19</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19</w:t>
            </w:r>
          </w:p>
        </w:tc>
        <w:tc>
          <w:tcPr>
            <w:tcW w:w="79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19</w:t>
            </w:r>
          </w:p>
        </w:tc>
      </w:tr>
      <w:tr w:rsidR="004705C6" w:rsidRPr="00040312" w:rsidTr="0022711B">
        <w:tc>
          <w:tcPr>
            <w:tcW w:w="2089" w:type="dxa"/>
            <w:noWrap/>
            <w:hideMark/>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25,000-50,000</w:t>
            </w:r>
          </w:p>
        </w:tc>
        <w:tc>
          <w:tcPr>
            <w:tcW w:w="783"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20</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22</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13</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22</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25</w:t>
            </w:r>
          </w:p>
        </w:tc>
        <w:tc>
          <w:tcPr>
            <w:tcW w:w="78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20</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21</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21</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20</w:t>
            </w:r>
          </w:p>
        </w:tc>
        <w:tc>
          <w:tcPr>
            <w:tcW w:w="79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21</w:t>
            </w:r>
          </w:p>
        </w:tc>
      </w:tr>
      <w:tr w:rsidR="004705C6" w:rsidRPr="00040312" w:rsidTr="0022711B">
        <w:tc>
          <w:tcPr>
            <w:tcW w:w="2089" w:type="dxa"/>
            <w:noWrap/>
            <w:hideMark/>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50,000-75,000</w:t>
            </w:r>
          </w:p>
        </w:tc>
        <w:tc>
          <w:tcPr>
            <w:tcW w:w="783"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4</w:t>
            </w:r>
          </w:p>
        </w:tc>
        <w:tc>
          <w:tcPr>
            <w:tcW w:w="78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4</w:t>
            </w:r>
          </w:p>
        </w:tc>
        <w:tc>
          <w:tcPr>
            <w:tcW w:w="79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r>
      <w:tr w:rsidR="004705C6" w:rsidRPr="00040312" w:rsidTr="0022711B">
        <w:tc>
          <w:tcPr>
            <w:tcW w:w="2089" w:type="dxa"/>
            <w:noWrap/>
            <w:hideMark/>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75,000-100,000</w:t>
            </w:r>
          </w:p>
        </w:tc>
        <w:tc>
          <w:tcPr>
            <w:tcW w:w="783"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4</w:t>
            </w:r>
          </w:p>
        </w:tc>
        <w:tc>
          <w:tcPr>
            <w:tcW w:w="78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4</w:t>
            </w:r>
          </w:p>
        </w:tc>
        <w:tc>
          <w:tcPr>
            <w:tcW w:w="79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r>
      <w:tr w:rsidR="004705C6" w:rsidRPr="00040312" w:rsidTr="0022711B">
        <w:tc>
          <w:tcPr>
            <w:tcW w:w="2089" w:type="dxa"/>
            <w:noWrap/>
            <w:hideMark/>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100,000 plus</w:t>
            </w:r>
          </w:p>
        </w:tc>
        <w:tc>
          <w:tcPr>
            <w:tcW w:w="783"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4</w:t>
            </w:r>
          </w:p>
        </w:tc>
        <w:tc>
          <w:tcPr>
            <w:tcW w:w="78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4</w:t>
            </w:r>
          </w:p>
        </w:tc>
        <w:tc>
          <w:tcPr>
            <w:tcW w:w="79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r>
      <w:tr w:rsidR="004705C6" w:rsidRPr="00040312" w:rsidTr="0022711B">
        <w:trPr>
          <w:gridAfter w:val="10"/>
          <w:wAfter w:w="7831" w:type="dxa"/>
        </w:trPr>
        <w:tc>
          <w:tcPr>
            <w:tcW w:w="2089" w:type="dxa"/>
            <w:shd w:val="clear" w:color="auto" w:fill="D9D9D9" w:themeFill="background1" w:themeFillShade="D9"/>
            <w:noWrap/>
            <w:hideMark/>
          </w:tcPr>
          <w:p w:rsidR="004705C6" w:rsidRPr="00040312" w:rsidRDefault="004705C6" w:rsidP="0022711B">
            <w:pPr>
              <w:spacing w:before="60" w:after="60"/>
              <w:jc w:val="left"/>
              <w:rPr>
                <w:rFonts w:eastAsia="Times New Roman" w:cs="Arial"/>
                <w:sz w:val="20"/>
                <w:szCs w:val="20"/>
                <w:lang w:eastAsia="en-AU"/>
              </w:rPr>
            </w:pPr>
            <w:r w:rsidRPr="00040312">
              <w:rPr>
                <w:rFonts w:eastAsia="Times New Roman" w:cs="Arial"/>
                <w:b/>
                <w:bCs/>
                <w:color w:val="000000"/>
                <w:sz w:val="20"/>
                <w:szCs w:val="20"/>
                <w:lang w:eastAsia="en-AU"/>
              </w:rPr>
              <w:t>Museums</w:t>
            </w:r>
          </w:p>
        </w:tc>
      </w:tr>
      <w:tr w:rsidR="004705C6" w:rsidRPr="00040312" w:rsidTr="0022711B">
        <w:tc>
          <w:tcPr>
            <w:tcW w:w="2089" w:type="dxa"/>
            <w:noWrap/>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Regulatory</w:t>
            </w:r>
          </w:p>
        </w:tc>
        <w:tc>
          <w:tcPr>
            <w:tcW w:w="783"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0</w:t>
            </w:r>
          </w:p>
        </w:tc>
        <w:tc>
          <w:tcPr>
            <w:tcW w:w="782"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9</w:t>
            </w:r>
          </w:p>
        </w:tc>
        <w:tc>
          <w:tcPr>
            <w:tcW w:w="782"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13</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4</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0</w:t>
            </w:r>
          </w:p>
        </w:tc>
        <w:tc>
          <w:tcPr>
            <w:tcW w:w="784"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0</w:t>
            </w:r>
          </w:p>
        </w:tc>
        <w:tc>
          <w:tcPr>
            <w:tcW w:w="782"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94"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r>
      <w:tr w:rsidR="004705C6" w:rsidRPr="00040312" w:rsidTr="0022711B">
        <w:tc>
          <w:tcPr>
            <w:tcW w:w="2089" w:type="dxa"/>
            <w:noWrap/>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Non-regulatory</w:t>
            </w:r>
          </w:p>
        </w:tc>
        <w:tc>
          <w:tcPr>
            <w:tcW w:w="783"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0</w:t>
            </w:r>
          </w:p>
        </w:tc>
        <w:tc>
          <w:tcPr>
            <w:tcW w:w="782"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5</w:t>
            </w:r>
          </w:p>
        </w:tc>
        <w:tc>
          <w:tcPr>
            <w:tcW w:w="782"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7</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0</w:t>
            </w:r>
          </w:p>
        </w:tc>
        <w:tc>
          <w:tcPr>
            <w:tcW w:w="784"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0</w:t>
            </w:r>
          </w:p>
        </w:tc>
        <w:tc>
          <w:tcPr>
            <w:tcW w:w="782"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w:t>
            </w:r>
          </w:p>
        </w:tc>
        <w:tc>
          <w:tcPr>
            <w:tcW w:w="794"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w:t>
            </w:r>
          </w:p>
        </w:tc>
      </w:tr>
      <w:tr w:rsidR="004705C6" w:rsidRPr="00040312" w:rsidTr="0022711B">
        <w:trPr>
          <w:gridAfter w:val="10"/>
          <w:wAfter w:w="7831" w:type="dxa"/>
        </w:trPr>
        <w:tc>
          <w:tcPr>
            <w:tcW w:w="2089" w:type="dxa"/>
            <w:shd w:val="clear" w:color="auto" w:fill="D9D9D9" w:themeFill="background1" w:themeFillShade="D9"/>
            <w:noWrap/>
            <w:hideMark/>
          </w:tcPr>
          <w:p w:rsidR="004705C6" w:rsidRPr="00040312" w:rsidRDefault="004705C6" w:rsidP="0022711B">
            <w:pPr>
              <w:spacing w:before="60" w:after="60"/>
              <w:jc w:val="left"/>
              <w:rPr>
                <w:rFonts w:eastAsia="Times New Roman" w:cs="Arial"/>
                <w:sz w:val="20"/>
                <w:szCs w:val="20"/>
                <w:lang w:eastAsia="en-AU"/>
              </w:rPr>
            </w:pPr>
            <w:r w:rsidRPr="00040312">
              <w:rPr>
                <w:rFonts w:eastAsia="Times New Roman" w:cs="Arial"/>
                <w:b/>
                <w:bCs/>
                <w:color w:val="000000"/>
                <w:sz w:val="20"/>
                <w:szCs w:val="20"/>
                <w:lang w:eastAsia="en-AU"/>
              </w:rPr>
              <w:t>Stadiums</w:t>
            </w:r>
          </w:p>
        </w:tc>
      </w:tr>
      <w:tr w:rsidR="004705C6" w:rsidRPr="00040312" w:rsidTr="0022711B">
        <w:tc>
          <w:tcPr>
            <w:tcW w:w="2089" w:type="dxa"/>
            <w:noWrap/>
            <w:hideMark/>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Regulatory</w:t>
            </w:r>
          </w:p>
        </w:tc>
        <w:tc>
          <w:tcPr>
            <w:tcW w:w="783"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0</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10</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4</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3</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w:t>
            </w:r>
          </w:p>
        </w:tc>
        <w:tc>
          <w:tcPr>
            <w:tcW w:w="78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w:t>
            </w:r>
          </w:p>
        </w:tc>
        <w:tc>
          <w:tcPr>
            <w:tcW w:w="79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w:t>
            </w:r>
          </w:p>
        </w:tc>
      </w:tr>
      <w:tr w:rsidR="004705C6" w:rsidRPr="00040312" w:rsidTr="0022711B">
        <w:tc>
          <w:tcPr>
            <w:tcW w:w="2089" w:type="dxa"/>
            <w:noWrap/>
            <w:hideMark/>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Non-regulatory</w:t>
            </w:r>
          </w:p>
        </w:tc>
        <w:tc>
          <w:tcPr>
            <w:tcW w:w="783"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0</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6</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w:t>
            </w:r>
          </w:p>
        </w:tc>
        <w:tc>
          <w:tcPr>
            <w:tcW w:w="78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w:t>
            </w:r>
          </w:p>
        </w:tc>
        <w:tc>
          <w:tcPr>
            <w:tcW w:w="782"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w:t>
            </w:r>
          </w:p>
        </w:tc>
        <w:tc>
          <w:tcPr>
            <w:tcW w:w="781"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w:t>
            </w:r>
          </w:p>
        </w:tc>
        <w:tc>
          <w:tcPr>
            <w:tcW w:w="794" w:type="dxa"/>
            <w:noWrap/>
            <w:hideMark/>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w:t>
            </w:r>
          </w:p>
        </w:tc>
      </w:tr>
      <w:tr w:rsidR="004705C6" w:rsidRPr="00040312" w:rsidTr="0022711B">
        <w:trPr>
          <w:gridAfter w:val="10"/>
          <w:wAfter w:w="7831" w:type="dxa"/>
        </w:trPr>
        <w:tc>
          <w:tcPr>
            <w:tcW w:w="2089" w:type="dxa"/>
            <w:shd w:val="clear" w:color="auto" w:fill="D9D9D9" w:themeFill="background1" w:themeFillShade="D9"/>
            <w:noWrap/>
          </w:tcPr>
          <w:p w:rsidR="004705C6" w:rsidRPr="00040312" w:rsidRDefault="004705C6" w:rsidP="0022711B">
            <w:pPr>
              <w:spacing w:before="60" w:after="60"/>
              <w:jc w:val="left"/>
              <w:rPr>
                <w:rFonts w:eastAsia="Times New Roman" w:cs="Arial"/>
                <w:color w:val="000000"/>
                <w:sz w:val="20"/>
                <w:szCs w:val="20"/>
                <w:lang w:eastAsia="en-AU"/>
              </w:rPr>
            </w:pPr>
            <w:r w:rsidRPr="00040312">
              <w:rPr>
                <w:rFonts w:eastAsia="Times New Roman" w:cs="Arial"/>
                <w:b/>
                <w:color w:val="000000"/>
                <w:sz w:val="20"/>
                <w:szCs w:val="20"/>
                <w:lang w:eastAsia="en-AU"/>
              </w:rPr>
              <w:t>Swimming Pools</w:t>
            </w:r>
          </w:p>
        </w:tc>
      </w:tr>
      <w:tr w:rsidR="004705C6" w:rsidRPr="00040312" w:rsidTr="0022711B">
        <w:tc>
          <w:tcPr>
            <w:tcW w:w="2089" w:type="dxa"/>
            <w:noWrap/>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Regulatory</w:t>
            </w:r>
          </w:p>
        </w:tc>
        <w:tc>
          <w:tcPr>
            <w:tcW w:w="783"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18</w:t>
            </w:r>
          </w:p>
        </w:tc>
        <w:tc>
          <w:tcPr>
            <w:tcW w:w="782"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18</w:t>
            </w:r>
          </w:p>
        </w:tc>
        <w:tc>
          <w:tcPr>
            <w:tcW w:w="782"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18</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20</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16</w:t>
            </w:r>
          </w:p>
        </w:tc>
        <w:tc>
          <w:tcPr>
            <w:tcW w:w="784"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18</w:t>
            </w:r>
          </w:p>
        </w:tc>
        <w:tc>
          <w:tcPr>
            <w:tcW w:w="782"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17</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17</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17</w:t>
            </w:r>
          </w:p>
        </w:tc>
        <w:tc>
          <w:tcPr>
            <w:tcW w:w="794"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17</w:t>
            </w:r>
          </w:p>
        </w:tc>
      </w:tr>
      <w:tr w:rsidR="004705C6" w:rsidRPr="00040312" w:rsidTr="0022711B">
        <w:tc>
          <w:tcPr>
            <w:tcW w:w="2089" w:type="dxa"/>
            <w:noWrap/>
          </w:tcPr>
          <w:p w:rsidR="004705C6" w:rsidRPr="00040312" w:rsidRDefault="004705C6" w:rsidP="00054CF8">
            <w:pPr>
              <w:jc w:val="left"/>
              <w:rPr>
                <w:rFonts w:eastAsia="Times New Roman" w:cs="Arial"/>
                <w:color w:val="000000"/>
                <w:sz w:val="20"/>
                <w:szCs w:val="20"/>
                <w:lang w:eastAsia="en-AU"/>
              </w:rPr>
            </w:pPr>
            <w:r w:rsidRPr="00040312">
              <w:rPr>
                <w:rFonts w:eastAsia="Times New Roman" w:cs="Arial"/>
                <w:color w:val="000000"/>
                <w:sz w:val="20"/>
                <w:szCs w:val="20"/>
                <w:lang w:eastAsia="en-AU"/>
              </w:rPr>
              <w:t>Non-regulatory</w:t>
            </w:r>
          </w:p>
        </w:tc>
        <w:tc>
          <w:tcPr>
            <w:tcW w:w="783"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10</w:t>
            </w:r>
          </w:p>
        </w:tc>
        <w:tc>
          <w:tcPr>
            <w:tcW w:w="782"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10</w:t>
            </w:r>
          </w:p>
        </w:tc>
        <w:tc>
          <w:tcPr>
            <w:tcW w:w="782"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10</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12</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9</w:t>
            </w:r>
          </w:p>
        </w:tc>
        <w:tc>
          <w:tcPr>
            <w:tcW w:w="784"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10</w:t>
            </w:r>
          </w:p>
        </w:tc>
        <w:tc>
          <w:tcPr>
            <w:tcW w:w="782"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10</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10</w:t>
            </w:r>
          </w:p>
        </w:tc>
        <w:tc>
          <w:tcPr>
            <w:tcW w:w="781"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10</w:t>
            </w:r>
          </w:p>
        </w:tc>
        <w:tc>
          <w:tcPr>
            <w:tcW w:w="794" w:type="dxa"/>
            <w:noWrap/>
          </w:tcPr>
          <w:p w:rsidR="004705C6" w:rsidRPr="00040312" w:rsidRDefault="004705C6" w:rsidP="00040312">
            <w:pPr>
              <w:jc w:val="right"/>
              <w:rPr>
                <w:rFonts w:eastAsia="Times New Roman" w:cs="Arial"/>
                <w:color w:val="000000"/>
                <w:sz w:val="20"/>
                <w:szCs w:val="20"/>
                <w:lang w:eastAsia="en-AU"/>
              </w:rPr>
            </w:pPr>
            <w:r w:rsidRPr="00040312">
              <w:rPr>
                <w:rFonts w:cs="Calibri"/>
                <w:color w:val="000000"/>
                <w:sz w:val="20"/>
                <w:szCs w:val="20"/>
              </w:rPr>
              <w:t>10</w:t>
            </w:r>
          </w:p>
        </w:tc>
      </w:tr>
    </w:tbl>
    <w:p w:rsidR="004705C6" w:rsidRPr="001E5FAC" w:rsidRDefault="00040312" w:rsidP="00400534">
      <w:pPr>
        <w:pStyle w:val="EYBodytextwithparaspace"/>
        <w:rPr>
          <w:b/>
          <w:bCs/>
        </w:rPr>
        <w:sectPr w:rsidR="004705C6" w:rsidRPr="001E5FAC" w:rsidSect="00013CD3">
          <w:pgSz w:w="11906" w:h="16838" w:code="9"/>
          <w:pgMar w:top="2268" w:right="851" w:bottom="851" w:left="1418" w:header="709" w:footer="567" w:gutter="0"/>
          <w:cols w:space="708"/>
          <w:docGrid w:linePitch="360"/>
        </w:sectPr>
      </w:pPr>
      <w:r>
        <w:br/>
      </w:r>
      <w:r w:rsidR="004705C6" w:rsidRPr="001E5FAC">
        <w:t>Note: construction profile is based on IBIS World estimates for museums and stadiums, a</w:t>
      </w:r>
      <w:r w:rsidR="00F8657D">
        <w:t>nd shopping centres over 10,000</w:t>
      </w:r>
      <w:r w:rsidR="00DB1162" w:rsidRPr="001E5FAC">
        <w:t>m</w:t>
      </w:r>
      <w:r w:rsidR="00DB1162" w:rsidRPr="001E5FAC">
        <w:rPr>
          <w:vertAlign w:val="superscript"/>
        </w:rPr>
        <w:t>2</w:t>
      </w:r>
      <w:r w:rsidR="004705C6" w:rsidRPr="001E5FAC">
        <w:t xml:space="preserve">. For shopping centres the profile includes renovations and additions and has been informed by information provided by the Shopping </w:t>
      </w:r>
      <w:r w:rsidR="00DB1162" w:rsidRPr="001E5FAC">
        <w:t xml:space="preserve">Centre Council </w:t>
      </w:r>
      <w:r w:rsidR="004705C6" w:rsidRPr="001E5FAC">
        <w:t>of Australia. Swimming pool development has bee</w:t>
      </w:r>
      <w:r w:rsidR="00DB1162" w:rsidRPr="001E5FAC">
        <w:t>n</w:t>
      </w:r>
      <w:r w:rsidR="004705C6" w:rsidRPr="001E5FAC">
        <w:t xml:space="preserve"> estimated by assuming the </w:t>
      </w:r>
      <w:r w:rsidR="00DB1162" w:rsidRPr="001E5FAC">
        <w:t>number</w:t>
      </w:r>
      <w:r w:rsidR="004705C6" w:rsidRPr="001E5FAC">
        <w:t xml:space="preserve"> of </w:t>
      </w:r>
      <w:r w:rsidR="00311261">
        <w:t xml:space="preserve">swimming </w:t>
      </w:r>
      <w:r w:rsidR="004705C6" w:rsidRPr="001E5FAC">
        <w:t>pools Australia wide grows in line with population</w:t>
      </w:r>
      <w:r w:rsidR="00BE7C80">
        <w:t>.</w:t>
      </w:r>
    </w:p>
    <w:p w:rsidR="0000189F" w:rsidRPr="001E5FAC" w:rsidRDefault="00C70AA5" w:rsidP="00407AFB">
      <w:pPr>
        <w:pStyle w:val="EYAppendix"/>
      </w:pPr>
      <w:bookmarkStart w:id="605" w:name="_Toc504063191"/>
      <w:bookmarkStart w:id="606" w:name="_Toc504388881"/>
      <w:bookmarkStart w:id="607" w:name="_Toc504401732"/>
      <w:bookmarkStart w:id="608" w:name="_Toc525897807"/>
      <w:r w:rsidRPr="001E5FAC">
        <w:lastRenderedPageBreak/>
        <w:t>Consultation approach</w:t>
      </w:r>
      <w:bookmarkEnd w:id="605"/>
      <w:bookmarkEnd w:id="606"/>
      <w:bookmarkEnd w:id="607"/>
      <w:bookmarkEnd w:id="608"/>
      <w:r w:rsidR="00517347" w:rsidRPr="001E5FAC">
        <w:t xml:space="preserve"> </w:t>
      </w:r>
    </w:p>
    <w:p w:rsidR="00B54191" w:rsidRPr="001E5FAC" w:rsidRDefault="00B54191" w:rsidP="00AC7A9C">
      <w:pPr>
        <w:pStyle w:val="EYBodytextwithparaspace"/>
      </w:pPr>
      <w:r w:rsidRPr="001E5FAC">
        <w:t>A balanced RI</w:t>
      </w:r>
      <w:r w:rsidR="00894CC2" w:rsidRPr="001E5FAC">
        <w:t>S</w:t>
      </w:r>
      <w:r w:rsidRPr="001E5FAC">
        <w:t xml:space="preserve"> consists of both primary and secondary data analysis, which allows for a more complete understanding of the </w:t>
      </w:r>
      <w:r w:rsidR="00A15A80">
        <w:t>proposed regulatory amendment</w:t>
      </w:r>
      <w:r w:rsidRPr="001E5FAC">
        <w:t xml:space="preserve">.  </w:t>
      </w:r>
    </w:p>
    <w:p w:rsidR="00B54191" w:rsidRPr="001E5FAC" w:rsidRDefault="00B54191" w:rsidP="00AC7A9C">
      <w:pPr>
        <w:pStyle w:val="EYBodytextwithparaspace"/>
      </w:pPr>
      <w:r w:rsidRPr="001E5FAC">
        <w:t>Primary data collection involved consulting with individuals who have a disability, carers, parents</w:t>
      </w:r>
      <w:r w:rsidR="009474ED">
        <w:t xml:space="preserve"> of a person with disability</w:t>
      </w:r>
      <w:r w:rsidRPr="001E5FAC">
        <w:t xml:space="preserve">, a </w:t>
      </w:r>
      <w:r w:rsidR="009474ED">
        <w:t>c</w:t>
      </w:r>
      <w:r w:rsidRPr="001E5FAC">
        <w:t xml:space="preserve">are </w:t>
      </w:r>
      <w:r w:rsidR="009474ED">
        <w:t>g</w:t>
      </w:r>
      <w:r w:rsidRPr="001E5FAC">
        <w:t xml:space="preserve">roup and </w:t>
      </w:r>
      <w:r w:rsidR="00C9670F">
        <w:t xml:space="preserve">a disability </w:t>
      </w:r>
      <w:r w:rsidR="009474ED">
        <w:t>p</w:t>
      </w:r>
      <w:r w:rsidRPr="001E5FAC">
        <w:t xml:space="preserve">eak body to obtain insights into the attitudes, perceptions and ideas about </w:t>
      </w:r>
      <w:r w:rsidR="002D7A82" w:rsidRPr="001E5FAC">
        <w:t>AACFs</w:t>
      </w:r>
      <w:r w:rsidRPr="001E5FAC">
        <w:t xml:space="preserve"> from an “end users” perspective. In addition to this, the availability and suitability of the facilities was explored, along with the perceived benefits and challenges of accessing and using such facilities.</w:t>
      </w:r>
    </w:p>
    <w:p w:rsidR="00B54191" w:rsidRPr="001E5FAC" w:rsidRDefault="00B54191" w:rsidP="00B54191">
      <w:pPr>
        <w:rPr>
          <w:b/>
        </w:rPr>
      </w:pPr>
      <w:r w:rsidRPr="001E5FAC">
        <w:rPr>
          <w:b/>
        </w:rPr>
        <w:t>Target audience</w:t>
      </w:r>
    </w:p>
    <w:p w:rsidR="00B54191" w:rsidRPr="001E5FAC" w:rsidRDefault="00B54191" w:rsidP="00BC5184">
      <w:pPr>
        <w:pStyle w:val="EYBodytextwithparaspace"/>
        <w:spacing w:after="200"/>
      </w:pPr>
      <w:r w:rsidRPr="001E5FAC">
        <w:t>Insights were obtained through a series of in-depth and paired interviews, and small group discussions with 10 people, including:</w:t>
      </w:r>
    </w:p>
    <w:p w:rsidR="00B54191" w:rsidRPr="001E5FAC" w:rsidRDefault="00B54191" w:rsidP="00040312">
      <w:pPr>
        <w:pStyle w:val="EYBulletnoparaspace"/>
      </w:pPr>
      <w:r w:rsidRPr="001E5FAC">
        <w:t>Four (4) people with a disability (spinal cord injury, head injury, encephalitis)</w:t>
      </w:r>
    </w:p>
    <w:p w:rsidR="00B54191" w:rsidRPr="001E5FAC" w:rsidRDefault="00B54191" w:rsidP="00040312">
      <w:pPr>
        <w:pStyle w:val="EYBulletnoparaspace"/>
      </w:pPr>
      <w:r w:rsidRPr="001E5FAC">
        <w:t>Two (2) parents of teenagers and young adults with a disability (cerebral palsy)</w:t>
      </w:r>
    </w:p>
    <w:p w:rsidR="00B54191" w:rsidRPr="001E5FAC" w:rsidRDefault="00B54191" w:rsidP="00040312">
      <w:pPr>
        <w:pStyle w:val="EYBulletnoparaspace"/>
      </w:pPr>
      <w:r w:rsidRPr="001E5FAC">
        <w:t xml:space="preserve">Three (3) </w:t>
      </w:r>
      <w:r w:rsidR="00C9670F">
        <w:t>c</w:t>
      </w:r>
      <w:r w:rsidRPr="001E5FAC">
        <w:t xml:space="preserve">are </w:t>
      </w:r>
      <w:r w:rsidR="00C9670F">
        <w:t>g</w:t>
      </w:r>
      <w:r w:rsidRPr="001E5FAC">
        <w:t>roup representatives, including the Manager, disability accommodation services, the holiday co-ordinator and one of the carers</w:t>
      </w:r>
    </w:p>
    <w:p w:rsidR="00B54191" w:rsidRPr="001E5FAC" w:rsidRDefault="00B54191" w:rsidP="00040312">
      <w:pPr>
        <w:pStyle w:val="EYBulletnoparaspace"/>
      </w:pPr>
      <w:r w:rsidRPr="001E5FAC">
        <w:t xml:space="preserve">The CEO of a </w:t>
      </w:r>
      <w:r w:rsidR="00C9670F">
        <w:t>disability p</w:t>
      </w:r>
      <w:r w:rsidRPr="001E5FAC">
        <w:t xml:space="preserve">eak </w:t>
      </w:r>
      <w:r w:rsidR="00C9670F">
        <w:t>b</w:t>
      </w:r>
      <w:r w:rsidRPr="001E5FAC">
        <w:t xml:space="preserve">ody </w:t>
      </w:r>
      <w:r w:rsidR="00040312">
        <w:t>(and life time wheelchair user)</w:t>
      </w:r>
      <w:r w:rsidR="00C9670F">
        <w:t>.</w:t>
      </w:r>
    </w:p>
    <w:p w:rsidR="00B54191" w:rsidRPr="001E5FAC" w:rsidRDefault="00B54191" w:rsidP="00AC7A9C">
      <w:pPr>
        <w:pStyle w:val="EYBodytextwithparaspace"/>
      </w:pPr>
      <w:r w:rsidRPr="001E5FAC">
        <w:t>The location of research participants is outlined in the table below:</w:t>
      </w:r>
    </w:p>
    <w:p w:rsidR="00407AFB" w:rsidRDefault="00407AFB" w:rsidP="00407AFB">
      <w:pPr>
        <w:pStyle w:val="Caption"/>
      </w:pPr>
      <w:bookmarkStart w:id="609" w:name="_Toc525897832"/>
      <w:r w:rsidRPr="001E5FAC">
        <w:t xml:space="preserve">Table </w:t>
      </w:r>
      <w:r w:rsidR="00EC0E2D">
        <w:rPr>
          <w:noProof/>
        </w:rPr>
        <w:fldChar w:fldCharType="begin"/>
      </w:r>
      <w:r w:rsidR="00EC0E2D">
        <w:rPr>
          <w:noProof/>
        </w:rPr>
        <w:instrText xml:space="preserve"> STYLEREF  \s "EY Appendix" </w:instrText>
      </w:r>
      <w:r w:rsidR="00EC0E2D">
        <w:rPr>
          <w:noProof/>
        </w:rPr>
        <w:fldChar w:fldCharType="separate"/>
      </w:r>
      <w:r w:rsidR="00910A73">
        <w:rPr>
          <w:noProof/>
        </w:rPr>
        <w:t>C</w:t>
      </w:r>
      <w:r w:rsidR="00EC0E2D">
        <w:rPr>
          <w:noProof/>
        </w:rPr>
        <w:fldChar w:fldCharType="end"/>
      </w:r>
      <w:r w:rsidR="00325A73">
        <w:noBreakHyphen/>
      </w:r>
      <w:r w:rsidR="00D128AA">
        <w:rPr>
          <w:noProof/>
        </w:rPr>
        <w:fldChar w:fldCharType="begin"/>
      </w:r>
      <w:r w:rsidR="00D128AA">
        <w:rPr>
          <w:noProof/>
        </w:rPr>
        <w:instrText xml:space="preserve"> SEQ Table \* ARABIC \</w:instrText>
      </w:r>
      <w:r w:rsidR="00EC0E2D">
        <w:rPr>
          <w:noProof/>
        </w:rPr>
        <w:instrText>r</w:instrText>
      </w:r>
      <w:r w:rsidR="00D128AA">
        <w:rPr>
          <w:noProof/>
        </w:rPr>
        <w:instrText xml:space="preserve"> 1 </w:instrText>
      </w:r>
      <w:r w:rsidR="00D128AA">
        <w:rPr>
          <w:noProof/>
        </w:rPr>
        <w:fldChar w:fldCharType="separate"/>
      </w:r>
      <w:r w:rsidR="00910A73">
        <w:rPr>
          <w:noProof/>
        </w:rPr>
        <w:t>1</w:t>
      </w:r>
      <w:r w:rsidR="00D128AA">
        <w:rPr>
          <w:noProof/>
        </w:rPr>
        <w:fldChar w:fldCharType="end"/>
      </w:r>
      <w:r w:rsidR="00C25B69" w:rsidRPr="001E5FAC">
        <w:rPr>
          <w:noProof/>
        </w:rPr>
        <w:t>:</w:t>
      </w:r>
      <w:r w:rsidRPr="001E5FAC">
        <w:t xml:space="preserve"> </w:t>
      </w:r>
      <w:r w:rsidR="00D075A4">
        <w:t>Location of research participants</w:t>
      </w:r>
      <w:bookmarkEnd w:id="609"/>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Caption w:val="Table A 1: Distance travelled and travel time assumption"/>
        <w:tblDescription w:val="Distance travelled and travel time assumptions."/>
      </w:tblPr>
      <w:tblGrid>
        <w:gridCol w:w="2830"/>
        <w:gridCol w:w="1560"/>
        <w:gridCol w:w="1702"/>
        <w:gridCol w:w="1700"/>
        <w:gridCol w:w="1835"/>
      </w:tblGrid>
      <w:tr w:rsidR="002E2B24" w:rsidRPr="001E5FAC" w:rsidTr="002E2B24">
        <w:trPr>
          <w:tblHeader/>
        </w:trPr>
        <w:tc>
          <w:tcPr>
            <w:tcW w:w="1470"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808080"/>
            <w:noWrap/>
            <w:hideMark/>
          </w:tcPr>
          <w:p w:rsidR="002E2B24" w:rsidRPr="00DD6CB8" w:rsidRDefault="002E2B24" w:rsidP="006340F9">
            <w:pPr>
              <w:pStyle w:val="EYTableHeadingWhite"/>
              <w:rPr>
                <w:sz w:val="20"/>
                <w:szCs w:val="20"/>
                <w:lang w:eastAsia="en-AU"/>
              </w:rPr>
            </w:pPr>
            <w:r>
              <w:rPr>
                <w:sz w:val="20"/>
                <w:szCs w:val="20"/>
              </w:rPr>
              <w:t>Location</w:t>
            </w:r>
          </w:p>
        </w:tc>
        <w:tc>
          <w:tcPr>
            <w:tcW w:w="2577"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noWrap/>
            <w:hideMark/>
          </w:tcPr>
          <w:p w:rsidR="002E2B24" w:rsidRPr="00DD6CB8" w:rsidRDefault="002E2B24" w:rsidP="006340F9">
            <w:pPr>
              <w:pStyle w:val="EYTableHeadingWhite"/>
              <w:rPr>
                <w:sz w:val="20"/>
                <w:szCs w:val="20"/>
              </w:rPr>
            </w:pPr>
            <w:r>
              <w:rPr>
                <w:sz w:val="20"/>
                <w:szCs w:val="20"/>
              </w:rPr>
              <w:t>Number of Interviews</w:t>
            </w:r>
          </w:p>
        </w:tc>
        <w:tc>
          <w:tcPr>
            <w:tcW w:w="953"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808080"/>
            <w:noWrap/>
            <w:hideMark/>
          </w:tcPr>
          <w:p w:rsidR="002E2B24" w:rsidRPr="00DD6CB8" w:rsidRDefault="002E2B24" w:rsidP="006340F9">
            <w:pPr>
              <w:pStyle w:val="EYTableHeadingWhite"/>
              <w:rPr>
                <w:sz w:val="20"/>
                <w:szCs w:val="20"/>
              </w:rPr>
            </w:pPr>
            <w:r>
              <w:rPr>
                <w:sz w:val="20"/>
                <w:szCs w:val="20"/>
              </w:rPr>
              <w:t>Total</w:t>
            </w:r>
          </w:p>
        </w:tc>
      </w:tr>
      <w:tr w:rsidR="002E2B24" w:rsidRPr="001E5FAC" w:rsidTr="002E2B24">
        <w:trPr>
          <w:tblHeader/>
        </w:trPr>
        <w:tc>
          <w:tcPr>
            <w:tcW w:w="1470" w:type="pct"/>
            <w:vMerge/>
            <w:tcBorders>
              <w:left w:val="single" w:sz="4" w:space="0" w:color="FFFFFF" w:themeColor="background1"/>
              <w:bottom w:val="single" w:sz="4" w:space="0" w:color="808080" w:themeColor="background1" w:themeShade="80"/>
              <w:right w:val="single" w:sz="4" w:space="0" w:color="FFFFFF" w:themeColor="background1"/>
            </w:tcBorders>
            <w:shd w:val="clear" w:color="auto" w:fill="808080"/>
            <w:noWrap/>
          </w:tcPr>
          <w:p w:rsidR="002E2B24" w:rsidRPr="00DD6CB8" w:rsidRDefault="002E2B24" w:rsidP="006340F9">
            <w:pPr>
              <w:pStyle w:val="EYTableHeadingWhite"/>
              <w:rPr>
                <w:sz w:val="20"/>
                <w:szCs w:val="20"/>
              </w:rPr>
            </w:pPr>
          </w:p>
        </w:tc>
        <w:tc>
          <w:tcPr>
            <w:tcW w:w="810" w:type="pct"/>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808080"/>
            <w:noWrap/>
          </w:tcPr>
          <w:p w:rsidR="002E2B24" w:rsidRPr="00DD6CB8" w:rsidRDefault="002E2B24" w:rsidP="006340F9">
            <w:pPr>
              <w:pStyle w:val="EYTableHeadingWhite"/>
              <w:rPr>
                <w:sz w:val="20"/>
                <w:szCs w:val="20"/>
              </w:rPr>
            </w:pPr>
            <w:r>
              <w:rPr>
                <w:sz w:val="20"/>
                <w:szCs w:val="20"/>
              </w:rPr>
              <w:t>People with Disability</w:t>
            </w:r>
          </w:p>
        </w:tc>
        <w:tc>
          <w:tcPr>
            <w:tcW w:w="884" w:type="pct"/>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808080"/>
            <w:noWrap/>
          </w:tcPr>
          <w:p w:rsidR="002E2B24" w:rsidRPr="00DD6CB8" w:rsidRDefault="002E2B24" w:rsidP="006340F9">
            <w:pPr>
              <w:pStyle w:val="EYTableHeadingWhite"/>
              <w:rPr>
                <w:sz w:val="20"/>
                <w:szCs w:val="20"/>
              </w:rPr>
            </w:pPr>
            <w:r>
              <w:rPr>
                <w:sz w:val="20"/>
                <w:szCs w:val="20"/>
              </w:rPr>
              <w:t>Parents / Carers</w:t>
            </w:r>
          </w:p>
        </w:tc>
        <w:tc>
          <w:tcPr>
            <w:tcW w:w="883" w:type="pct"/>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808080"/>
            <w:noWrap/>
          </w:tcPr>
          <w:p w:rsidR="002E2B24" w:rsidRPr="00DD6CB8" w:rsidRDefault="002E2B24" w:rsidP="006340F9">
            <w:pPr>
              <w:pStyle w:val="EYTableHeadingWhite"/>
              <w:rPr>
                <w:sz w:val="20"/>
                <w:szCs w:val="20"/>
              </w:rPr>
            </w:pPr>
            <w:r>
              <w:rPr>
                <w:sz w:val="20"/>
                <w:szCs w:val="20"/>
              </w:rPr>
              <w:t>Care Group / Peak Body</w:t>
            </w:r>
          </w:p>
        </w:tc>
        <w:tc>
          <w:tcPr>
            <w:tcW w:w="953" w:type="pct"/>
            <w:vMerge/>
            <w:tcBorders>
              <w:left w:val="single" w:sz="4" w:space="0" w:color="FFFFFF" w:themeColor="background1"/>
              <w:bottom w:val="single" w:sz="4" w:space="0" w:color="808080" w:themeColor="background1" w:themeShade="80"/>
              <w:right w:val="single" w:sz="4" w:space="0" w:color="FFFFFF" w:themeColor="background1"/>
            </w:tcBorders>
            <w:shd w:val="clear" w:color="auto" w:fill="808080"/>
            <w:noWrap/>
          </w:tcPr>
          <w:p w:rsidR="002E2B24" w:rsidRPr="00DD6CB8" w:rsidRDefault="002E2B24" w:rsidP="006340F9">
            <w:pPr>
              <w:pStyle w:val="EYTableHeadingWhite"/>
              <w:rPr>
                <w:sz w:val="20"/>
                <w:szCs w:val="20"/>
              </w:rPr>
            </w:pPr>
          </w:p>
        </w:tc>
      </w:tr>
      <w:tr w:rsidR="002E2B24" w:rsidRPr="001E5FAC" w:rsidTr="002E2B24">
        <w:tc>
          <w:tcPr>
            <w:tcW w:w="1470" w:type="pct"/>
            <w:tcBorders>
              <w:top w:val="single" w:sz="4" w:space="0" w:color="808080" w:themeColor="background1" w:themeShade="80"/>
              <w:bottom w:val="single" w:sz="4" w:space="0" w:color="808080" w:themeColor="background1" w:themeShade="80"/>
            </w:tcBorders>
            <w:shd w:val="clear" w:color="auto" w:fill="auto"/>
            <w:noWrap/>
            <w:hideMark/>
          </w:tcPr>
          <w:p w:rsidR="002E2B24" w:rsidRPr="00DD6CB8" w:rsidRDefault="002E2B24" w:rsidP="006340F9">
            <w:pPr>
              <w:pStyle w:val="EYTableText"/>
              <w:rPr>
                <w:sz w:val="20"/>
                <w:szCs w:val="20"/>
                <w:lang w:eastAsia="en-AU"/>
              </w:rPr>
            </w:pPr>
            <w:r>
              <w:rPr>
                <w:sz w:val="20"/>
                <w:szCs w:val="20"/>
                <w:lang w:eastAsia="en-AU"/>
              </w:rPr>
              <w:t>New South Wales</w:t>
            </w:r>
          </w:p>
        </w:tc>
        <w:tc>
          <w:tcPr>
            <w:tcW w:w="810" w:type="pct"/>
            <w:tcBorders>
              <w:top w:val="single" w:sz="4" w:space="0" w:color="808080" w:themeColor="background1" w:themeShade="80"/>
              <w:bottom w:val="single" w:sz="4" w:space="0" w:color="808080" w:themeColor="background1" w:themeShade="80"/>
            </w:tcBorders>
            <w:shd w:val="clear" w:color="auto" w:fill="auto"/>
            <w:noWrap/>
            <w:hideMark/>
          </w:tcPr>
          <w:p w:rsidR="002E2B24" w:rsidRPr="00DD6CB8" w:rsidRDefault="002E2B24" w:rsidP="002E2B24">
            <w:pPr>
              <w:pStyle w:val="EYTableText"/>
              <w:jc w:val="right"/>
              <w:rPr>
                <w:sz w:val="20"/>
                <w:szCs w:val="20"/>
                <w:lang w:eastAsia="en-AU"/>
              </w:rPr>
            </w:pPr>
            <w:r>
              <w:rPr>
                <w:sz w:val="20"/>
                <w:szCs w:val="20"/>
                <w:lang w:eastAsia="en-AU"/>
              </w:rPr>
              <w:t>1</w:t>
            </w:r>
          </w:p>
        </w:tc>
        <w:tc>
          <w:tcPr>
            <w:tcW w:w="884" w:type="pct"/>
            <w:tcBorders>
              <w:top w:val="single" w:sz="4" w:space="0" w:color="808080" w:themeColor="background1" w:themeShade="80"/>
              <w:bottom w:val="single" w:sz="4" w:space="0" w:color="808080" w:themeColor="background1" w:themeShade="80"/>
            </w:tcBorders>
            <w:shd w:val="clear" w:color="auto" w:fill="auto"/>
            <w:noWrap/>
            <w:hideMark/>
          </w:tcPr>
          <w:p w:rsidR="002E2B24" w:rsidRPr="00DD6CB8" w:rsidRDefault="002E2B24" w:rsidP="006340F9">
            <w:pPr>
              <w:pStyle w:val="EYTableText"/>
              <w:jc w:val="right"/>
              <w:rPr>
                <w:sz w:val="20"/>
                <w:szCs w:val="20"/>
                <w:lang w:eastAsia="en-AU"/>
              </w:rPr>
            </w:pPr>
            <w:r>
              <w:rPr>
                <w:sz w:val="20"/>
                <w:szCs w:val="20"/>
                <w:lang w:eastAsia="en-AU"/>
              </w:rPr>
              <w:t>1</w:t>
            </w:r>
          </w:p>
        </w:tc>
        <w:tc>
          <w:tcPr>
            <w:tcW w:w="883" w:type="pct"/>
            <w:tcBorders>
              <w:top w:val="single" w:sz="4" w:space="0" w:color="808080" w:themeColor="background1" w:themeShade="80"/>
              <w:bottom w:val="single" w:sz="4" w:space="0" w:color="808080" w:themeColor="background1" w:themeShade="80"/>
            </w:tcBorders>
            <w:shd w:val="clear" w:color="auto" w:fill="auto"/>
            <w:noWrap/>
            <w:hideMark/>
          </w:tcPr>
          <w:p w:rsidR="002E2B24" w:rsidRPr="00DD6CB8" w:rsidRDefault="002E2B24" w:rsidP="006340F9">
            <w:pPr>
              <w:pStyle w:val="EYTableText"/>
              <w:jc w:val="right"/>
              <w:rPr>
                <w:sz w:val="20"/>
                <w:szCs w:val="20"/>
                <w:lang w:eastAsia="en-AU"/>
              </w:rPr>
            </w:pPr>
            <w:r>
              <w:rPr>
                <w:sz w:val="20"/>
                <w:szCs w:val="20"/>
                <w:lang w:eastAsia="en-AU"/>
              </w:rPr>
              <w:t>1</w:t>
            </w:r>
          </w:p>
        </w:tc>
        <w:tc>
          <w:tcPr>
            <w:tcW w:w="953" w:type="pct"/>
            <w:tcBorders>
              <w:top w:val="single" w:sz="4" w:space="0" w:color="808080" w:themeColor="background1" w:themeShade="80"/>
              <w:bottom w:val="single" w:sz="4" w:space="0" w:color="808080" w:themeColor="background1" w:themeShade="80"/>
            </w:tcBorders>
            <w:shd w:val="clear" w:color="auto" w:fill="auto"/>
            <w:noWrap/>
            <w:hideMark/>
          </w:tcPr>
          <w:p w:rsidR="002E2B24" w:rsidRPr="00DD6CB8" w:rsidRDefault="002E2B24" w:rsidP="006340F9">
            <w:pPr>
              <w:pStyle w:val="EYTableText"/>
              <w:jc w:val="right"/>
              <w:rPr>
                <w:sz w:val="20"/>
                <w:szCs w:val="20"/>
                <w:lang w:eastAsia="en-AU"/>
              </w:rPr>
            </w:pPr>
            <w:r>
              <w:rPr>
                <w:sz w:val="20"/>
                <w:szCs w:val="20"/>
                <w:lang w:eastAsia="en-AU"/>
              </w:rPr>
              <w:t>3</w:t>
            </w:r>
          </w:p>
        </w:tc>
      </w:tr>
      <w:tr w:rsidR="002E2B24" w:rsidRPr="001E5FAC" w:rsidTr="002E2B24">
        <w:tc>
          <w:tcPr>
            <w:tcW w:w="1470" w:type="pct"/>
            <w:tcBorders>
              <w:top w:val="single" w:sz="4" w:space="0" w:color="808080" w:themeColor="background1" w:themeShade="80"/>
              <w:bottom w:val="single" w:sz="4" w:space="0" w:color="808080" w:themeColor="background1" w:themeShade="80"/>
            </w:tcBorders>
            <w:shd w:val="clear" w:color="auto" w:fill="auto"/>
            <w:noWrap/>
          </w:tcPr>
          <w:p w:rsidR="002E2B24" w:rsidRDefault="002E2B24" w:rsidP="006340F9">
            <w:pPr>
              <w:pStyle w:val="EYTableText"/>
              <w:rPr>
                <w:sz w:val="20"/>
                <w:szCs w:val="20"/>
                <w:lang w:eastAsia="en-AU"/>
              </w:rPr>
            </w:pPr>
            <w:r>
              <w:rPr>
                <w:sz w:val="20"/>
                <w:szCs w:val="20"/>
                <w:lang w:eastAsia="en-AU"/>
              </w:rPr>
              <w:t>Victoria</w:t>
            </w:r>
          </w:p>
        </w:tc>
        <w:tc>
          <w:tcPr>
            <w:tcW w:w="810" w:type="pct"/>
            <w:tcBorders>
              <w:top w:val="single" w:sz="4" w:space="0" w:color="808080" w:themeColor="background1" w:themeShade="80"/>
              <w:bottom w:val="single" w:sz="4" w:space="0" w:color="808080" w:themeColor="background1" w:themeShade="80"/>
            </w:tcBorders>
            <w:shd w:val="clear" w:color="auto" w:fill="auto"/>
            <w:noWrap/>
          </w:tcPr>
          <w:p w:rsidR="002E2B24" w:rsidRPr="00DD6CB8" w:rsidRDefault="002E2B24" w:rsidP="002E2B24">
            <w:pPr>
              <w:pStyle w:val="EYTableText"/>
              <w:jc w:val="right"/>
              <w:rPr>
                <w:sz w:val="20"/>
                <w:szCs w:val="20"/>
                <w:lang w:eastAsia="en-AU"/>
              </w:rPr>
            </w:pPr>
            <w:r>
              <w:rPr>
                <w:sz w:val="20"/>
                <w:szCs w:val="20"/>
                <w:lang w:eastAsia="en-AU"/>
              </w:rPr>
              <w:t>1</w:t>
            </w:r>
          </w:p>
        </w:tc>
        <w:tc>
          <w:tcPr>
            <w:tcW w:w="884" w:type="pct"/>
            <w:tcBorders>
              <w:top w:val="single" w:sz="4" w:space="0" w:color="808080" w:themeColor="background1" w:themeShade="80"/>
              <w:bottom w:val="single" w:sz="4" w:space="0" w:color="808080" w:themeColor="background1" w:themeShade="80"/>
            </w:tcBorders>
            <w:shd w:val="clear" w:color="auto" w:fill="auto"/>
            <w:noWrap/>
          </w:tcPr>
          <w:p w:rsidR="002E2B24" w:rsidRPr="00DD6CB8" w:rsidRDefault="002E2B24" w:rsidP="006340F9">
            <w:pPr>
              <w:pStyle w:val="EYTableText"/>
              <w:jc w:val="right"/>
              <w:rPr>
                <w:sz w:val="20"/>
                <w:szCs w:val="20"/>
                <w:lang w:eastAsia="en-AU"/>
              </w:rPr>
            </w:pPr>
            <w:r>
              <w:rPr>
                <w:sz w:val="20"/>
                <w:szCs w:val="20"/>
                <w:lang w:eastAsia="en-AU"/>
              </w:rPr>
              <w:t>1</w:t>
            </w:r>
          </w:p>
        </w:tc>
        <w:tc>
          <w:tcPr>
            <w:tcW w:w="883" w:type="pct"/>
            <w:tcBorders>
              <w:top w:val="single" w:sz="4" w:space="0" w:color="808080" w:themeColor="background1" w:themeShade="80"/>
              <w:bottom w:val="single" w:sz="4" w:space="0" w:color="808080" w:themeColor="background1" w:themeShade="80"/>
            </w:tcBorders>
            <w:shd w:val="clear" w:color="auto" w:fill="auto"/>
            <w:noWrap/>
          </w:tcPr>
          <w:p w:rsidR="002E2B24" w:rsidRPr="00DD6CB8" w:rsidRDefault="003E1404" w:rsidP="006340F9">
            <w:pPr>
              <w:pStyle w:val="EYTableText"/>
              <w:jc w:val="right"/>
              <w:rPr>
                <w:sz w:val="20"/>
                <w:szCs w:val="20"/>
                <w:lang w:eastAsia="en-AU"/>
              </w:rPr>
            </w:pPr>
            <w:r>
              <w:rPr>
                <w:sz w:val="20"/>
                <w:szCs w:val="20"/>
                <w:lang w:eastAsia="en-AU"/>
              </w:rPr>
              <w:t>N/A</w:t>
            </w:r>
          </w:p>
        </w:tc>
        <w:tc>
          <w:tcPr>
            <w:tcW w:w="953" w:type="pct"/>
            <w:tcBorders>
              <w:top w:val="single" w:sz="4" w:space="0" w:color="808080" w:themeColor="background1" w:themeShade="80"/>
              <w:bottom w:val="single" w:sz="4" w:space="0" w:color="808080" w:themeColor="background1" w:themeShade="80"/>
            </w:tcBorders>
            <w:shd w:val="clear" w:color="auto" w:fill="auto"/>
            <w:noWrap/>
          </w:tcPr>
          <w:p w:rsidR="002E2B24" w:rsidRPr="00DD6CB8" w:rsidRDefault="002E2B24" w:rsidP="006340F9">
            <w:pPr>
              <w:pStyle w:val="EYTableText"/>
              <w:jc w:val="right"/>
              <w:rPr>
                <w:sz w:val="20"/>
                <w:szCs w:val="20"/>
                <w:lang w:eastAsia="en-AU"/>
              </w:rPr>
            </w:pPr>
            <w:r>
              <w:rPr>
                <w:sz w:val="20"/>
                <w:szCs w:val="20"/>
                <w:lang w:eastAsia="en-AU"/>
              </w:rPr>
              <w:t>2</w:t>
            </w:r>
          </w:p>
        </w:tc>
      </w:tr>
      <w:tr w:rsidR="002E2B24" w:rsidRPr="001E5FAC" w:rsidTr="002E2B24">
        <w:tc>
          <w:tcPr>
            <w:tcW w:w="1470" w:type="pct"/>
            <w:tcBorders>
              <w:top w:val="single" w:sz="4" w:space="0" w:color="808080" w:themeColor="background1" w:themeShade="80"/>
              <w:bottom w:val="single" w:sz="4" w:space="0" w:color="808080" w:themeColor="background1" w:themeShade="80"/>
            </w:tcBorders>
            <w:shd w:val="clear" w:color="auto" w:fill="auto"/>
            <w:noWrap/>
          </w:tcPr>
          <w:p w:rsidR="002E2B24" w:rsidRDefault="002E2B24" w:rsidP="006340F9">
            <w:pPr>
              <w:pStyle w:val="EYTableText"/>
              <w:rPr>
                <w:sz w:val="20"/>
                <w:szCs w:val="20"/>
                <w:lang w:eastAsia="en-AU"/>
              </w:rPr>
            </w:pPr>
            <w:r>
              <w:rPr>
                <w:sz w:val="20"/>
                <w:szCs w:val="20"/>
                <w:lang w:eastAsia="en-AU"/>
              </w:rPr>
              <w:t>Western Australia</w:t>
            </w:r>
          </w:p>
        </w:tc>
        <w:tc>
          <w:tcPr>
            <w:tcW w:w="810" w:type="pct"/>
            <w:tcBorders>
              <w:top w:val="single" w:sz="4" w:space="0" w:color="808080" w:themeColor="background1" w:themeShade="80"/>
              <w:bottom w:val="single" w:sz="4" w:space="0" w:color="808080" w:themeColor="background1" w:themeShade="80"/>
            </w:tcBorders>
            <w:shd w:val="clear" w:color="auto" w:fill="auto"/>
            <w:noWrap/>
          </w:tcPr>
          <w:p w:rsidR="002E2B24" w:rsidRPr="00DD6CB8" w:rsidRDefault="002E2B24" w:rsidP="002E2B24">
            <w:pPr>
              <w:pStyle w:val="EYTableText"/>
              <w:jc w:val="right"/>
              <w:rPr>
                <w:sz w:val="20"/>
                <w:szCs w:val="20"/>
                <w:lang w:eastAsia="en-AU"/>
              </w:rPr>
            </w:pPr>
            <w:r>
              <w:rPr>
                <w:sz w:val="20"/>
                <w:szCs w:val="20"/>
                <w:lang w:eastAsia="en-AU"/>
              </w:rPr>
              <w:t>2</w:t>
            </w:r>
          </w:p>
        </w:tc>
        <w:tc>
          <w:tcPr>
            <w:tcW w:w="884" w:type="pct"/>
            <w:tcBorders>
              <w:top w:val="single" w:sz="4" w:space="0" w:color="808080" w:themeColor="background1" w:themeShade="80"/>
              <w:bottom w:val="single" w:sz="4" w:space="0" w:color="808080" w:themeColor="background1" w:themeShade="80"/>
            </w:tcBorders>
            <w:shd w:val="clear" w:color="auto" w:fill="auto"/>
            <w:noWrap/>
          </w:tcPr>
          <w:p w:rsidR="002E2B24" w:rsidRPr="00DD6CB8" w:rsidRDefault="002E2B24" w:rsidP="006340F9">
            <w:pPr>
              <w:pStyle w:val="EYTableText"/>
              <w:jc w:val="right"/>
              <w:rPr>
                <w:sz w:val="20"/>
                <w:szCs w:val="20"/>
                <w:lang w:eastAsia="en-AU"/>
              </w:rPr>
            </w:pPr>
            <w:r>
              <w:rPr>
                <w:sz w:val="20"/>
                <w:szCs w:val="20"/>
                <w:lang w:eastAsia="en-AU"/>
              </w:rPr>
              <w:t>1</w:t>
            </w:r>
          </w:p>
        </w:tc>
        <w:tc>
          <w:tcPr>
            <w:tcW w:w="883" w:type="pct"/>
            <w:tcBorders>
              <w:top w:val="single" w:sz="4" w:space="0" w:color="808080" w:themeColor="background1" w:themeShade="80"/>
              <w:bottom w:val="single" w:sz="4" w:space="0" w:color="808080" w:themeColor="background1" w:themeShade="80"/>
            </w:tcBorders>
            <w:shd w:val="clear" w:color="auto" w:fill="auto"/>
            <w:noWrap/>
          </w:tcPr>
          <w:p w:rsidR="002E2B24" w:rsidRPr="00DD6CB8" w:rsidRDefault="003E1404" w:rsidP="006340F9">
            <w:pPr>
              <w:pStyle w:val="EYTableText"/>
              <w:jc w:val="right"/>
              <w:rPr>
                <w:sz w:val="20"/>
                <w:szCs w:val="20"/>
                <w:lang w:eastAsia="en-AU"/>
              </w:rPr>
            </w:pPr>
            <w:r>
              <w:rPr>
                <w:sz w:val="20"/>
                <w:szCs w:val="20"/>
                <w:lang w:eastAsia="en-AU"/>
              </w:rPr>
              <w:t>2</w:t>
            </w:r>
          </w:p>
        </w:tc>
        <w:tc>
          <w:tcPr>
            <w:tcW w:w="953" w:type="pct"/>
            <w:tcBorders>
              <w:top w:val="single" w:sz="4" w:space="0" w:color="808080" w:themeColor="background1" w:themeShade="80"/>
              <w:bottom w:val="single" w:sz="4" w:space="0" w:color="808080" w:themeColor="background1" w:themeShade="80"/>
            </w:tcBorders>
            <w:shd w:val="clear" w:color="auto" w:fill="auto"/>
            <w:noWrap/>
          </w:tcPr>
          <w:p w:rsidR="002E2B24" w:rsidRPr="00DD6CB8" w:rsidRDefault="002E2B24" w:rsidP="006340F9">
            <w:pPr>
              <w:pStyle w:val="EYTableText"/>
              <w:jc w:val="right"/>
              <w:rPr>
                <w:sz w:val="20"/>
                <w:szCs w:val="20"/>
                <w:lang w:eastAsia="en-AU"/>
              </w:rPr>
            </w:pPr>
            <w:r>
              <w:rPr>
                <w:sz w:val="20"/>
                <w:szCs w:val="20"/>
                <w:lang w:eastAsia="en-AU"/>
              </w:rPr>
              <w:t>5</w:t>
            </w:r>
          </w:p>
        </w:tc>
      </w:tr>
      <w:tr w:rsidR="002E2B24" w:rsidRPr="001E5FAC" w:rsidTr="002E2B24">
        <w:tc>
          <w:tcPr>
            <w:tcW w:w="1470" w:type="pct"/>
            <w:tcBorders>
              <w:top w:val="single" w:sz="4" w:space="0" w:color="808080" w:themeColor="background1" w:themeShade="80"/>
            </w:tcBorders>
            <w:shd w:val="clear" w:color="auto" w:fill="auto"/>
            <w:noWrap/>
          </w:tcPr>
          <w:p w:rsidR="002E2B24" w:rsidRPr="002E2B24" w:rsidRDefault="002E2B24" w:rsidP="006340F9">
            <w:pPr>
              <w:pStyle w:val="EYTableText"/>
              <w:rPr>
                <w:b/>
                <w:sz w:val="20"/>
                <w:szCs w:val="20"/>
                <w:lang w:eastAsia="en-AU"/>
              </w:rPr>
            </w:pPr>
            <w:r w:rsidRPr="002E2B24">
              <w:rPr>
                <w:b/>
                <w:sz w:val="20"/>
                <w:szCs w:val="20"/>
                <w:lang w:eastAsia="en-AU"/>
              </w:rPr>
              <w:t>Total</w:t>
            </w:r>
          </w:p>
        </w:tc>
        <w:tc>
          <w:tcPr>
            <w:tcW w:w="810" w:type="pct"/>
            <w:tcBorders>
              <w:top w:val="single" w:sz="4" w:space="0" w:color="808080" w:themeColor="background1" w:themeShade="80"/>
            </w:tcBorders>
            <w:shd w:val="clear" w:color="auto" w:fill="auto"/>
            <w:noWrap/>
          </w:tcPr>
          <w:p w:rsidR="002E2B24" w:rsidRPr="00DD6CB8" w:rsidRDefault="002E2B24" w:rsidP="002E2B24">
            <w:pPr>
              <w:pStyle w:val="EYTableText"/>
              <w:jc w:val="right"/>
              <w:rPr>
                <w:sz w:val="20"/>
                <w:szCs w:val="20"/>
                <w:lang w:eastAsia="en-AU"/>
              </w:rPr>
            </w:pPr>
            <w:r>
              <w:rPr>
                <w:sz w:val="20"/>
                <w:szCs w:val="20"/>
                <w:lang w:eastAsia="en-AU"/>
              </w:rPr>
              <w:t>4</w:t>
            </w:r>
          </w:p>
        </w:tc>
        <w:tc>
          <w:tcPr>
            <w:tcW w:w="884" w:type="pct"/>
            <w:tcBorders>
              <w:top w:val="single" w:sz="4" w:space="0" w:color="808080" w:themeColor="background1" w:themeShade="80"/>
            </w:tcBorders>
            <w:shd w:val="clear" w:color="auto" w:fill="auto"/>
            <w:noWrap/>
          </w:tcPr>
          <w:p w:rsidR="002E2B24" w:rsidRPr="00DD6CB8" w:rsidRDefault="002E2B24" w:rsidP="006340F9">
            <w:pPr>
              <w:pStyle w:val="EYTableText"/>
              <w:jc w:val="right"/>
              <w:rPr>
                <w:sz w:val="20"/>
                <w:szCs w:val="20"/>
                <w:lang w:eastAsia="en-AU"/>
              </w:rPr>
            </w:pPr>
            <w:r>
              <w:rPr>
                <w:sz w:val="20"/>
                <w:szCs w:val="20"/>
                <w:lang w:eastAsia="en-AU"/>
              </w:rPr>
              <w:t>3</w:t>
            </w:r>
          </w:p>
        </w:tc>
        <w:tc>
          <w:tcPr>
            <w:tcW w:w="883" w:type="pct"/>
            <w:tcBorders>
              <w:top w:val="single" w:sz="4" w:space="0" w:color="808080" w:themeColor="background1" w:themeShade="80"/>
            </w:tcBorders>
            <w:shd w:val="clear" w:color="auto" w:fill="auto"/>
            <w:noWrap/>
          </w:tcPr>
          <w:p w:rsidR="002E2B24" w:rsidRPr="00DD6CB8" w:rsidRDefault="002E2B24" w:rsidP="006340F9">
            <w:pPr>
              <w:pStyle w:val="EYTableText"/>
              <w:jc w:val="right"/>
              <w:rPr>
                <w:sz w:val="20"/>
                <w:szCs w:val="20"/>
                <w:lang w:eastAsia="en-AU"/>
              </w:rPr>
            </w:pPr>
            <w:r>
              <w:rPr>
                <w:sz w:val="20"/>
                <w:szCs w:val="20"/>
                <w:lang w:eastAsia="en-AU"/>
              </w:rPr>
              <w:t>3</w:t>
            </w:r>
          </w:p>
        </w:tc>
        <w:tc>
          <w:tcPr>
            <w:tcW w:w="953" w:type="pct"/>
            <w:tcBorders>
              <w:top w:val="single" w:sz="4" w:space="0" w:color="808080" w:themeColor="background1" w:themeShade="80"/>
            </w:tcBorders>
            <w:shd w:val="clear" w:color="auto" w:fill="auto"/>
            <w:noWrap/>
          </w:tcPr>
          <w:p w:rsidR="002E2B24" w:rsidRPr="00DD6CB8" w:rsidRDefault="002E2B24" w:rsidP="006340F9">
            <w:pPr>
              <w:pStyle w:val="EYTableText"/>
              <w:jc w:val="right"/>
              <w:rPr>
                <w:sz w:val="20"/>
                <w:szCs w:val="20"/>
                <w:lang w:eastAsia="en-AU"/>
              </w:rPr>
            </w:pPr>
            <w:r>
              <w:rPr>
                <w:sz w:val="20"/>
                <w:szCs w:val="20"/>
                <w:lang w:eastAsia="en-AU"/>
              </w:rPr>
              <w:t>10</w:t>
            </w:r>
          </w:p>
        </w:tc>
      </w:tr>
    </w:tbl>
    <w:p w:rsidR="00B54191" w:rsidRPr="001E5FAC" w:rsidRDefault="00B54191" w:rsidP="00AC7A9C">
      <w:pPr>
        <w:spacing w:after="0"/>
      </w:pPr>
    </w:p>
    <w:p w:rsidR="00B54191" w:rsidRPr="001E5FAC" w:rsidRDefault="00B54191" w:rsidP="00CA004D">
      <w:pPr>
        <w:pStyle w:val="EYAppendixHeading3"/>
      </w:pPr>
      <w:r w:rsidRPr="001E5FAC">
        <w:t>Interviews and small group discussions</w:t>
      </w:r>
    </w:p>
    <w:p w:rsidR="00B54191" w:rsidRPr="001E5FAC" w:rsidRDefault="00B54191" w:rsidP="00AC7A9C">
      <w:pPr>
        <w:pStyle w:val="EYBodytextwithparaspace"/>
      </w:pPr>
      <w:r w:rsidRPr="001E5FAC">
        <w:t>Each session lasted between 30 minutes and one and a half hours</w:t>
      </w:r>
      <w:r w:rsidR="00BF1928" w:rsidRPr="001E5FAC">
        <w:t>,</w:t>
      </w:r>
      <w:r w:rsidRPr="001E5FAC">
        <w:t xml:space="preserve"> and involved face to face and </w:t>
      </w:r>
      <w:r w:rsidR="00C9670F">
        <w:t>tele</w:t>
      </w:r>
      <w:r w:rsidRPr="001E5FAC">
        <w:t xml:space="preserve">phone interviews with one or more participants, as well as a small group discussion. </w:t>
      </w:r>
    </w:p>
    <w:p w:rsidR="00B54191" w:rsidRPr="001E5FAC" w:rsidRDefault="00B54191" w:rsidP="00CA004D">
      <w:pPr>
        <w:pStyle w:val="EYAppendixHeading3"/>
      </w:pPr>
      <w:r w:rsidRPr="001E5FAC">
        <w:t>Recruitment strategy</w:t>
      </w:r>
    </w:p>
    <w:p w:rsidR="00B54191" w:rsidRPr="001E5FAC" w:rsidRDefault="00B54191" w:rsidP="00AC7A9C">
      <w:pPr>
        <w:pStyle w:val="EYBodytextwithparaspace"/>
      </w:pPr>
      <w:r w:rsidRPr="001E5FAC">
        <w:t>Participants in the qualitative research component were recruited through a respected well known individual with exten</w:t>
      </w:r>
      <w:r w:rsidR="002C2500" w:rsidRPr="001E5FAC">
        <w:t>sive industry sector knowledge.</w:t>
      </w:r>
      <w:r w:rsidRPr="001E5FAC">
        <w:t xml:space="preserve"> This individual introduced us to organisations, through who the final participants were recruited.</w:t>
      </w:r>
    </w:p>
    <w:p w:rsidR="00B54191" w:rsidRPr="001E5FAC" w:rsidRDefault="00B54191" w:rsidP="00CA004D">
      <w:pPr>
        <w:pStyle w:val="EYAppendixHeading3"/>
      </w:pPr>
      <w:r w:rsidRPr="001E5FAC">
        <w:t xml:space="preserve">Research instruments </w:t>
      </w:r>
    </w:p>
    <w:p w:rsidR="00B54191" w:rsidRPr="001E5FAC" w:rsidRDefault="00B54191" w:rsidP="002C2500">
      <w:pPr>
        <w:pStyle w:val="EYBodytextwithparaspace"/>
      </w:pPr>
      <w:r w:rsidRPr="001E5FAC">
        <w:t xml:space="preserve">A discussion guide was developed for use in both the one-on-one interviews and small group discussions. </w:t>
      </w:r>
    </w:p>
    <w:p w:rsidR="00B54191" w:rsidRPr="001E5FAC" w:rsidRDefault="00B54191" w:rsidP="00AC7A9C">
      <w:pPr>
        <w:pStyle w:val="EYBodytextwithparaspace"/>
      </w:pPr>
      <w:r w:rsidRPr="001E5FAC">
        <w:rPr>
          <w:bCs/>
        </w:rPr>
        <w:lastRenderedPageBreak/>
        <w:t xml:space="preserve">The key areas of enquiry </w:t>
      </w:r>
      <w:r w:rsidRPr="001E5FAC">
        <w:t xml:space="preserve">covered in the guide related to the primary objectives of the </w:t>
      </w:r>
      <w:r w:rsidR="00C9670F">
        <w:t>RIS</w:t>
      </w:r>
      <w:r w:rsidRPr="001E5FAC">
        <w:t xml:space="preserve">, as well as the identification of potential </w:t>
      </w:r>
      <w:r w:rsidR="00805814">
        <w:t xml:space="preserve">opportunities for improvement. </w:t>
      </w:r>
      <w:r w:rsidRPr="001E5FAC">
        <w:t>The following table provides an outline of the key questions.</w:t>
      </w:r>
    </w:p>
    <w:p w:rsidR="00407AFB" w:rsidRPr="001E5FAC" w:rsidRDefault="00407AFB" w:rsidP="00407AFB">
      <w:pPr>
        <w:pStyle w:val="Caption"/>
      </w:pPr>
      <w:bookmarkStart w:id="610" w:name="_Toc525897833"/>
      <w:r w:rsidRPr="001E5FAC">
        <w:t xml:space="preserve">Table </w:t>
      </w:r>
      <w:r w:rsidR="00EC0E2D">
        <w:rPr>
          <w:noProof/>
        </w:rPr>
        <w:fldChar w:fldCharType="begin"/>
      </w:r>
      <w:r w:rsidR="00EC0E2D">
        <w:rPr>
          <w:noProof/>
        </w:rPr>
        <w:instrText xml:space="preserve"> STYLEREF  \s "EY Appendix" </w:instrText>
      </w:r>
      <w:r w:rsidR="00EC0E2D">
        <w:rPr>
          <w:noProof/>
        </w:rPr>
        <w:fldChar w:fldCharType="separate"/>
      </w:r>
      <w:r w:rsidR="00910A73">
        <w:rPr>
          <w:noProof/>
        </w:rPr>
        <w:t>C</w:t>
      </w:r>
      <w:r w:rsidR="00EC0E2D">
        <w:rPr>
          <w:noProof/>
        </w:rPr>
        <w:fldChar w:fldCharType="end"/>
      </w:r>
      <w:r w:rsidR="00325A73">
        <w:noBreakHyphen/>
      </w:r>
      <w:r w:rsidR="00D128AA">
        <w:rPr>
          <w:noProof/>
        </w:rPr>
        <w:fldChar w:fldCharType="begin"/>
      </w:r>
      <w:r w:rsidR="00D128AA">
        <w:rPr>
          <w:noProof/>
        </w:rPr>
        <w:instrText xml:space="preserve"> SEQ Table \* ARABIC \s 1 </w:instrText>
      </w:r>
      <w:r w:rsidR="00D128AA">
        <w:rPr>
          <w:noProof/>
        </w:rPr>
        <w:fldChar w:fldCharType="separate"/>
      </w:r>
      <w:r w:rsidR="00910A73">
        <w:rPr>
          <w:noProof/>
        </w:rPr>
        <w:t>2</w:t>
      </w:r>
      <w:r w:rsidR="00D128AA">
        <w:rPr>
          <w:noProof/>
        </w:rPr>
        <w:fldChar w:fldCharType="end"/>
      </w:r>
      <w:r w:rsidR="00C25B69" w:rsidRPr="001E5FAC">
        <w:rPr>
          <w:noProof/>
        </w:rPr>
        <w:t>:</w:t>
      </w:r>
      <w:r w:rsidRPr="001E5FAC">
        <w:t xml:space="preserve"> </w:t>
      </w:r>
      <w:r w:rsidR="00D075A4">
        <w:t>Key questions</w:t>
      </w:r>
      <w:bookmarkEnd w:id="610"/>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Caption w:val="Table C 2: Sensitivity of whole of economy results to integration of AACFs with standard accessible facilities"/>
        <w:tblDescription w:val="Sensitivity of whole of economy results to integration of AACFs with standard accessible facilities."/>
      </w:tblPr>
      <w:tblGrid>
        <w:gridCol w:w="1556"/>
        <w:gridCol w:w="8071"/>
      </w:tblGrid>
      <w:tr w:rsidR="00B54191" w:rsidRPr="001E5FAC" w:rsidTr="0022711B">
        <w:trPr>
          <w:tblHeader/>
        </w:trPr>
        <w:tc>
          <w:tcPr>
            <w:tcW w:w="8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hideMark/>
          </w:tcPr>
          <w:p w:rsidR="00B54191" w:rsidRPr="0022711B" w:rsidRDefault="00B54191" w:rsidP="00AA5DEE">
            <w:pPr>
              <w:pStyle w:val="EYTableHeadingWhite"/>
              <w:rPr>
                <w:sz w:val="20"/>
                <w:szCs w:val="20"/>
                <w:lang w:eastAsia="en-AU"/>
              </w:rPr>
            </w:pPr>
            <w:r w:rsidRPr="0022711B">
              <w:rPr>
                <w:sz w:val="20"/>
                <w:szCs w:val="20"/>
                <w:lang w:eastAsia="en-AU"/>
              </w:rPr>
              <w:t>Issue</w:t>
            </w:r>
          </w:p>
        </w:tc>
        <w:tc>
          <w:tcPr>
            <w:tcW w:w="41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hideMark/>
          </w:tcPr>
          <w:p w:rsidR="00B54191" w:rsidRPr="0022711B" w:rsidRDefault="00B54191" w:rsidP="00AA5DEE">
            <w:pPr>
              <w:pStyle w:val="EYTableHeadingWhite"/>
              <w:rPr>
                <w:sz w:val="20"/>
                <w:szCs w:val="20"/>
                <w:lang w:eastAsia="en-AU"/>
              </w:rPr>
            </w:pPr>
            <w:r w:rsidRPr="0022711B">
              <w:rPr>
                <w:sz w:val="20"/>
                <w:szCs w:val="20"/>
                <w:lang w:eastAsia="en-AU"/>
              </w:rPr>
              <w:t>Key questions</w:t>
            </w:r>
          </w:p>
        </w:tc>
      </w:tr>
      <w:tr w:rsidR="00B54191" w:rsidRPr="001E5FAC" w:rsidTr="0022711B">
        <w:tc>
          <w:tcPr>
            <w:tcW w:w="808" w:type="pct"/>
            <w:tcBorders>
              <w:top w:val="single" w:sz="4" w:space="0" w:color="FFFFFF" w:themeColor="background1"/>
            </w:tcBorders>
            <w:shd w:val="clear" w:color="auto" w:fill="D9D9D9" w:themeFill="background1" w:themeFillShade="D9"/>
            <w:hideMark/>
          </w:tcPr>
          <w:p w:rsidR="00B54191" w:rsidRPr="0022711B" w:rsidRDefault="00B54191" w:rsidP="00AA5DEE">
            <w:pPr>
              <w:pStyle w:val="EYTableText"/>
              <w:rPr>
                <w:sz w:val="20"/>
                <w:szCs w:val="20"/>
                <w:lang w:eastAsia="en-AU"/>
              </w:rPr>
            </w:pPr>
            <w:r w:rsidRPr="0022711B">
              <w:rPr>
                <w:sz w:val="20"/>
                <w:szCs w:val="20"/>
                <w:lang w:eastAsia="en-AU"/>
              </w:rPr>
              <w:t>Background and activities</w:t>
            </w:r>
          </w:p>
        </w:tc>
        <w:tc>
          <w:tcPr>
            <w:tcW w:w="4192" w:type="pct"/>
            <w:tcBorders>
              <w:top w:val="single" w:sz="4" w:space="0" w:color="FFFFFF" w:themeColor="background1"/>
            </w:tcBorders>
            <w:shd w:val="clear" w:color="auto" w:fill="auto"/>
            <w:hideMark/>
          </w:tcPr>
          <w:p w:rsidR="00B54191" w:rsidRPr="0022711B" w:rsidRDefault="00B54191" w:rsidP="00AA5DEE">
            <w:pPr>
              <w:pStyle w:val="EYTablebullet1"/>
              <w:rPr>
                <w:sz w:val="20"/>
                <w:szCs w:val="20"/>
              </w:rPr>
            </w:pPr>
            <w:r w:rsidRPr="0022711B">
              <w:rPr>
                <w:sz w:val="20"/>
                <w:szCs w:val="20"/>
              </w:rPr>
              <w:t>Could you tell us about you?</w:t>
            </w:r>
          </w:p>
          <w:p w:rsidR="00B54191" w:rsidRPr="0022711B" w:rsidRDefault="00B54191" w:rsidP="00AA5DEE">
            <w:pPr>
              <w:pStyle w:val="EYTablebullet1"/>
              <w:rPr>
                <w:sz w:val="20"/>
                <w:szCs w:val="20"/>
              </w:rPr>
            </w:pPr>
            <w:r w:rsidRPr="0022711B">
              <w:rPr>
                <w:sz w:val="20"/>
                <w:szCs w:val="20"/>
              </w:rPr>
              <w:t>Do you like to go out, and if so where do you go and what do you do?</w:t>
            </w:r>
          </w:p>
          <w:p w:rsidR="00B54191" w:rsidRPr="0022711B" w:rsidRDefault="00B54191" w:rsidP="00AA5DEE">
            <w:pPr>
              <w:pStyle w:val="EYTablebullet1"/>
              <w:rPr>
                <w:sz w:val="20"/>
                <w:szCs w:val="20"/>
              </w:rPr>
            </w:pPr>
            <w:r w:rsidRPr="0022711B">
              <w:rPr>
                <w:sz w:val="20"/>
                <w:szCs w:val="20"/>
              </w:rPr>
              <w:t>How important is it for you to be able to go out?</w:t>
            </w:r>
          </w:p>
          <w:p w:rsidR="00B54191" w:rsidRPr="0022711B" w:rsidRDefault="00B54191" w:rsidP="00AA5DEE">
            <w:pPr>
              <w:pStyle w:val="EYTablebullet1"/>
              <w:rPr>
                <w:sz w:val="20"/>
                <w:szCs w:val="20"/>
              </w:rPr>
            </w:pPr>
            <w:r w:rsidRPr="0022711B">
              <w:rPr>
                <w:sz w:val="20"/>
                <w:szCs w:val="20"/>
              </w:rPr>
              <w:t>Overall, what are the biggest barriers for you to going out?</w:t>
            </w:r>
          </w:p>
        </w:tc>
      </w:tr>
      <w:tr w:rsidR="00B54191" w:rsidRPr="001E5FAC" w:rsidTr="0022711B">
        <w:tc>
          <w:tcPr>
            <w:tcW w:w="808" w:type="pct"/>
            <w:shd w:val="clear" w:color="auto" w:fill="D9D9D9" w:themeFill="background1" w:themeFillShade="D9"/>
            <w:hideMark/>
          </w:tcPr>
          <w:p w:rsidR="00B54191" w:rsidRPr="0022711B" w:rsidRDefault="00B54191" w:rsidP="00AA5DEE">
            <w:pPr>
              <w:pStyle w:val="EYTableText"/>
              <w:rPr>
                <w:sz w:val="20"/>
                <w:szCs w:val="20"/>
                <w:lang w:eastAsia="en-AU"/>
              </w:rPr>
            </w:pPr>
            <w:r w:rsidRPr="0022711B">
              <w:rPr>
                <w:sz w:val="20"/>
                <w:szCs w:val="20"/>
                <w:lang w:eastAsia="en-AU"/>
              </w:rPr>
              <w:t>Going out</w:t>
            </w:r>
          </w:p>
        </w:tc>
        <w:tc>
          <w:tcPr>
            <w:tcW w:w="4192" w:type="pct"/>
            <w:shd w:val="clear" w:color="auto" w:fill="auto"/>
            <w:hideMark/>
          </w:tcPr>
          <w:p w:rsidR="00B54191" w:rsidRPr="0022711B" w:rsidRDefault="00B54191" w:rsidP="00AA5DEE">
            <w:pPr>
              <w:pStyle w:val="EYTablebullet1"/>
              <w:rPr>
                <w:sz w:val="20"/>
                <w:szCs w:val="20"/>
              </w:rPr>
            </w:pPr>
            <w:r w:rsidRPr="0022711B">
              <w:rPr>
                <w:sz w:val="20"/>
                <w:szCs w:val="20"/>
              </w:rPr>
              <w:t>When you decide to go out, what planning do you have to do?</w:t>
            </w:r>
          </w:p>
          <w:p w:rsidR="00B54191" w:rsidRPr="0022711B" w:rsidRDefault="00B54191" w:rsidP="00AA5DEE">
            <w:pPr>
              <w:pStyle w:val="EYTablebullet1"/>
              <w:rPr>
                <w:sz w:val="20"/>
                <w:szCs w:val="20"/>
              </w:rPr>
            </w:pPr>
            <w:r w:rsidRPr="0022711B">
              <w:rPr>
                <w:sz w:val="20"/>
                <w:szCs w:val="20"/>
              </w:rPr>
              <w:t>Is there anything that you need to be mindful of when you go out, and if so what?</w:t>
            </w:r>
          </w:p>
          <w:p w:rsidR="00B54191" w:rsidRPr="0022711B" w:rsidRDefault="00B54191" w:rsidP="00AA5DEE">
            <w:pPr>
              <w:pStyle w:val="EYTablebullet1"/>
              <w:rPr>
                <w:sz w:val="20"/>
                <w:szCs w:val="20"/>
              </w:rPr>
            </w:pPr>
            <w:r w:rsidRPr="0022711B">
              <w:rPr>
                <w:sz w:val="20"/>
                <w:szCs w:val="20"/>
              </w:rPr>
              <w:t>Is there anything that you worry about when you go out?</w:t>
            </w:r>
          </w:p>
          <w:p w:rsidR="00B54191" w:rsidRPr="0022711B" w:rsidRDefault="00B54191" w:rsidP="00AA5DEE">
            <w:pPr>
              <w:pStyle w:val="EYTablebullet1"/>
              <w:rPr>
                <w:sz w:val="20"/>
                <w:szCs w:val="20"/>
              </w:rPr>
            </w:pPr>
            <w:r w:rsidRPr="0022711B">
              <w:rPr>
                <w:sz w:val="20"/>
                <w:szCs w:val="20"/>
              </w:rPr>
              <w:t>Is it important for you to be able to access a public bathroom when you go out?</w:t>
            </w:r>
          </w:p>
        </w:tc>
      </w:tr>
      <w:tr w:rsidR="00B54191" w:rsidRPr="001E5FAC" w:rsidTr="0022711B">
        <w:tc>
          <w:tcPr>
            <w:tcW w:w="808" w:type="pct"/>
            <w:shd w:val="clear" w:color="auto" w:fill="D9D9D9" w:themeFill="background1" w:themeFillShade="D9"/>
            <w:hideMark/>
          </w:tcPr>
          <w:p w:rsidR="00B54191" w:rsidRPr="0022711B" w:rsidRDefault="00B54191" w:rsidP="00AA5DEE">
            <w:pPr>
              <w:pStyle w:val="EYTableText"/>
              <w:rPr>
                <w:sz w:val="20"/>
                <w:szCs w:val="20"/>
                <w:lang w:eastAsia="en-AU"/>
              </w:rPr>
            </w:pPr>
            <w:r w:rsidRPr="0022711B">
              <w:rPr>
                <w:sz w:val="20"/>
                <w:szCs w:val="20"/>
                <w:lang w:eastAsia="en-AU"/>
              </w:rPr>
              <w:t>Change facilities</w:t>
            </w:r>
          </w:p>
        </w:tc>
        <w:tc>
          <w:tcPr>
            <w:tcW w:w="4192" w:type="pct"/>
            <w:shd w:val="clear" w:color="auto" w:fill="auto"/>
            <w:hideMark/>
          </w:tcPr>
          <w:p w:rsidR="00B54191" w:rsidRPr="0022711B" w:rsidRDefault="00B54191" w:rsidP="00AA5DEE">
            <w:pPr>
              <w:pStyle w:val="EYTablebullet1"/>
              <w:rPr>
                <w:sz w:val="20"/>
                <w:szCs w:val="20"/>
              </w:rPr>
            </w:pPr>
            <w:r w:rsidRPr="0022711B">
              <w:rPr>
                <w:sz w:val="20"/>
                <w:szCs w:val="20"/>
              </w:rPr>
              <w:t>Have you ever come across or heard of the “Changing Places” facility?</w:t>
            </w:r>
          </w:p>
          <w:p w:rsidR="00B54191" w:rsidRPr="0022711B" w:rsidRDefault="00B54191" w:rsidP="00AA5DEE">
            <w:pPr>
              <w:pStyle w:val="EYTablebullet1"/>
              <w:rPr>
                <w:sz w:val="20"/>
                <w:szCs w:val="20"/>
              </w:rPr>
            </w:pPr>
            <w:r w:rsidRPr="0022711B">
              <w:rPr>
                <w:sz w:val="20"/>
                <w:szCs w:val="20"/>
              </w:rPr>
              <w:t>What is your understanding of how they work?</w:t>
            </w:r>
          </w:p>
          <w:p w:rsidR="00B54191" w:rsidRPr="0022711B" w:rsidRDefault="00B54191" w:rsidP="00AA5DEE">
            <w:pPr>
              <w:pStyle w:val="EYTablebullet1"/>
              <w:rPr>
                <w:sz w:val="20"/>
                <w:szCs w:val="20"/>
              </w:rPr>
            </w:pPr>
            <w:r w:rsidRPr="0022711B">
              <w:rPr>
                <w:sz w:val="20"/>
                <w:szCs w:val="20"/>
              </w:rPr>
              <w:t>Have you actually used one?</w:t>
            </w:r>
          </w:p>
          <w:p w:rsidR="00B54191" w:rsidRPr="0022711B" w:rsidRDefault="00B54191" w:rsidP="00AA5DEE">
            <w:pPr>
              <w:pStyle w:val="EYTablebullet1"/>
              <w:rPr>
                <w:sz w:val="20"/>
                <w:szCs w:val="20"/>
              </w:rPr>
            </w:pPr>
            <w:r w:rsidRPr="0022711B">
              <w:rPr>
                <w:sz w:val="20"/>
                <w:szCs w:val="20"/>
              </w:rPr>
              <w:t>If respondent had not accessed a change facility</w:t>
            </w:r>
            <w:r w:rsidR="00C9670F">
              <w:rPr>
                <w:sz w:val="20"/>
                <w:szCs w:val="20"/>
              </w:rPr>
              <w:t>:</w:t>
            </w:r>
          </w:p>
          <w:p w:rsidR="00B54191" w:rsidRPr="00145CFE" w:rsidRDefault="00B54191" w:rsidP="00145CFE">
            <w:pPr>
              <w:pStyle w:val="EYTablebullet2"/>
              <w:rPr>
                <w:sz w:val="20"/>
                <w:szCs w:val="20"/>
              </w:rPr>
            </w:pPr>
            <w:r w:rsidRPr="00145CFE">
              <w:rPr>
                <w:sz w:val="20"/>
                <w:szCs w:val="20"/>
              </w:rPr>
              <w:t>What difference do you think a facility like this could make to you?</w:t>
            </w:r>
          </w:p>
          <w:p w:rsidR="00B54191" w:rsidRPr="00145CFE" w:rsidRDefault="00B54191" w:rsidP="00145CFE">
            <w:pPr>
              <w:pStyle w:val="EYTablebullet2"/>
              <w:rPr>
                <w:sz w:val="20"/>
                <w:szCs w:val="20"/>
              </w:rPr>
            </w:pPr>
            <w:r w:rsidRPr="00145CFE">
              <w:rPr>
                <w:sz w:val="20"/>
                <w:szCs w:val="20"/>
              </w:rPr>
              <w:t>What are the possible benefits and drawbacks?</w:t>
            </w:r>
          </w:p>
          <w:p w:rsidR="00B54191" w:rsidRPr="0022711B" w:rsidRDefault="00B54191" w:rsidP="00145CFE">
            <w:pPr>
              <w:pStyle w:val="EYTablebullet2"/>
            </w:pPr>
            <w:r w:rsidRPr="00145CFE">
              <w:rPr>
                <w:sz w:val="20"/>
                <w:szCs w:val="20"/>
              </w:rPr>
              <w:t>If a facility like this was located in your local shopping centre or some other public facility, do you think you might go there more often?</w:t>
            </w:r>
          </w:p>
        </w:tc>
      </w:tr>
      <w:tr w:rsidR="00B54191" w:rsidRPr="001E5FAC" w:rsidTr="0022711B">
        <w:tc>
          <w:tcPr>
            <w:tcW w:w="808" w:type="pct"/>
            <w:shd w:val="clear" w:color="auto" w:fill="D9D9D9" w:themeFill="background1" w:themeFillShade="D9"/>
            <w:hideMark/>
          </w:tcPr>
          <w:p w:rsidR="00B54191" w:rsidRPr="0022711B" w:rsidRDefault="00B54191" w:rsidP="00AA5DEE">
            <w:pPr>
              <w:pStyle w:val="EYTableText"/>
              <w:rPr>
                <w:sz w:val="20"/>
                <w:szCs w:val="20"/>
                <w:lang w:eastAsia="en-AU"/>
              </w:rPr>
            </w:pPr>
            <w:r w:rsidRPr="0022711B">
              <w:rPr>
                <w:sz w:val="20"/>
                <w:szCs w:val="20"/>
                <w:lang w:eastAsia="en-AU"/>
              </w:rPr>
              <w:t>Opportunities for improvement</w:t>
            </w:r>
          </w:p>
        </w:tc>
        <w:tc>
          <w:tcPr>
            <w:tcW w:w="4192" w:type="pct"/>
            <w:shd w:val="clear" w:color="auto" w:fill="auto"/>
            <w:hideMark/>
          </w:tcPr>
          <w:p w:rsidR="00B54191" w:rsidRPr="0022711B" w:rsidRDefault="00B54191" w:rsidP="00AA5DEE">
            <w:pPr>
              <w:pStyle w:val="EYTablebullet1"/>
              <w:rPr>
                <w:sz w:val="20"/>
                <w:szCs w:val="20"/>
              </w:rPr>
            </w:pPr>
            <w:r w:rsidRPr="0022711B">
              <w:rPr>
                <w:sz w:val="20"/>
                <w:szCs w:val="20"/>
              </w:rPr>
              <w:t xml:space="preserve">If you were </w:t>
            </w:r>
            <w:r w:rsidR="005740EE">
              <w:rPr>
                <w:sz w:val="20"/>
                <w:szCs w:val="20"/>
              </w:rPr>
              <w:t>‘</w:t>
            </w:r>
            <w:r w:rsidRPr="0022711B">
              <w:rPr>
                <w:sz w:val="20"/>
                <w:szCs w:val="20"/>
              </w:rPr>
              <w:t>boss for the day</w:t>
            </w:r>
            <w:r w:rsidR="005740EE">
              <w:rPr>
                <w:sz w:val="20"/>
                <w:szCs w:val="20"/>
              </w:rPr>
              <w:t>’</w:t>
            </w:r>
            <w:r w:rsidRPr="0022711B">
              <w:rPr>
                <w:sz w:val="20"/>
                <w:szCs w:val="20"/>
              </w:rPr>
              <w:t>, what would you do to make it easier for you and others to go to shopping centres and other public places?</w:t>
            </w:r>
          </w:p>
          <w:p w:rsidR="00B54191" w:rsidRPr="0022711B" w:rsidRDefault="00B54191" w:rsidP="00AA5DEE">
            <w:pPr>
              <w:pStyle w:val="EYTablebullet1"/>
              <w:rPr>
                <w:sz w:val="20"/>
                <w:szCs w:val="20"/>
              </w:rPr>
            </w:pPr>
            <w:r w:rsidRPr="0022711B">
              <w:rPr>
                <w:sz w:val="20"/>
                <w:szCs w:val="20"/>
              </w:rPr>
              <w:t>Finally, is there anything that you would like to add about public facilities?</w:t>
            </w:r>
          </w:p>
        </w:tc>
      </w:tr>
    </w:tbl>
    <w:p w:rsidR="00AA5DEE" w:rsidRPr="001E5FAC" w:rsidRDefault="00AA5DEE" w:rsidP="00AA5DEE">
      <w:pPr>
        <w:spacing w:after="0"/>
        <w:jc w:val="left"/>
        <w:rPr>
          <w:rFonts w:cs="Arial"/>
          <w:szCs w:val="24"/>
        </w:rPr>
      </w:pPr>
    </w:p>
    <w:p w:rsidR="00B54191" w:rsidRPr="001E5FAC" w:rsidRDefault="00B54191" w:rsidP="00040312">
      <w:pPr>
        <w:pStyle w:val="EYBodytextwithparaspace"/>
      </w:pPr>
      <w:r w:rsidRPr="001E5FAC">
        <w:t xml:space="preserve">These questions were modified to suit the </w:t>
      </w:r>
      <w:r w:rsidR="00C9670F">
        <w:t>c</w:t>
      </w:r>
      <w:r w:rsidRPr="001E5FAC">
        <w:t xml:space="preserve">are </w:t>
      </w:r>
      <w:r w:rsidR="00C9670F">
        <w:t>g</w:t>
      </w:r>
      <w:r w:rsidRPr="001E5FAC">
        <w:t>r</w:t>
      </w:r>
      <w:r w:rsidR="00407AFB" w:rsidRPr="001E5FAC">
        <w:t xml:space="preserve">oup and CEO from the </w:t>
      </w:r>
      <w:r w:rsidR="00C9670F">
        <w:t>disability p</w:t>
      </w:r>
      <w:r w:rsidR="00407AFB" w:rsidRPr="001E5FAC">
        <w:t xml:space="preserve">eak </w:t>
      </w:r>
      <w:r w:rsidR="00C9670F">
        <w:t>b</w:t>
      </w:r>
      <w:r w:rsidR="00407AFB" w:rsidRPr="001E5FAC">
        <w:t>ody.</w:t>
      </w:r>
    </w:p>
    <w:p w:rsidR="00B54191" w:rsidRPr="001E5FAC" w:rsidRDefault="00B54191" w:rsidP="00AA5DEE">
      <w:pPr>
        <w:pStyle w:val="EYAppendixHeading3"/>
      </w:pPr>
      <w:r w:rsidRPr="001E5FAC">
        <w:t>Ethics exemption</w:t>
      </w:r>
    </w:p>
    <w:p w:rsidR="00B54191" w:rsidRPr="001E5FAC" w:rsidRDefault="00B54191" w:rsidP="00AA5DEE">
      <w:pPr>
        <w:pStyle w:val="EYBodytextwithparaspace"/>
        <w:rPr>
          <w:rFonts w:asciiTheme="majorHAnsi" w:eastAsiaTheme="majorEastAsia" w:hAnsiTheme="majorHAnsi" w:cstheme="majorBidi"/>
          <w:b/>
          <w:bCs/>
          <w:color w:val="002060"/>
          <w:sz w:val="32"/>
          <w:szCs w:val="26"/>
        </w:rPr>
      </w:pPr>
      <w:r w:rsidRPr="001E5FAC">
        <w:t xml:space="preserve">An application for ethics exemption was lodged with the Queensland University Human Research Ethics </w:t>
      </w:r>
      <w:r w:rsidR="00C9670F">
        <w:t>C</w:t>
      </w:r>
      <w:r w:rsidRPr="001E5FAC">
        <w:t>ommittee. Ethics exemption was approved and received on 16 November 2017 (Approval number 2017001810).</w:t>
      </w:r>
      <w:r w:rsidRPr="001E5FAC">
        <w:br w:type="page"/>
      </w:r>
    </w:p>
    <w:p w:rsidR="00C54DFE" w:rsidRPr="001E5FAC" w:rsidRDefault="00C54DFE" w:rsidP="00407AFB">
      <w:pPr>
        <w:pStyle w:val="EYAppendix"/>
      </w:pPr>
      <w:bookmarkStart w:id="611" w:name="_Toc504063192"/>
      <w:bookmarkStart w:id="612" w:name="_Toc504388882"/>
      <w:bookmarkStart w:id="613" w:name="_Toc504401733"/>
      <w:bookmarkStart w:id="614" w:name="_Ref506215047"/>
      <w:bookmarkStart w:id="615" w:name="_Ref517699164"/>
      <w:bookmarkStart w:id="616" w:name="_Toc525897808"/>
      <w:r w:rsidRPr="001E5FAC">
        <w:lastRenderedPageBreak/>
        <w:t xml:space="preserve">International </w:t>
      </w:r>
      <w:r w:rsidR="00C9670F">
        <w:t>c</w:t>
      </w:r>
      <w:r w:rsidRPr="001E5FAC">
        <w:t>omparisons</w:t>
      </w:r>
      <w:bookmarkEnd w:id="611"/>
      <w:bookmarkEnd w:id="612"/>
      <w:bookmarkEnd w:id="613"/>
      <w:bookmarkEnd w:id="614"/>
      <w:bookmarkEnd w:id="615"/>
      <w:bookmarkEnd w:id="616"/>
    </w:p>
    <w:p w:rsidR="00E33662" w:rsidRPr="001E5FAC" w:rsidRDefault="00AA5B35" w:rsidP="00AA5DEE">
      <w:pPr>
        <w:pStyle w:val="EYBodytextwithparaspace"/>
      </w:pPr>
      <w:r w:rsidRPr="001E5FAC">
        <w:t xml:space="preserve">There is international precedent for introducing changes to </w:t>
      </w:r>
      <w:r w:rsidR="00BF1928" w:rsidRPr="001E5FAC">
        <w:t xml:space="preserve">building regulations </w:t>
      </w:r>
      <w:r w:rsidR="00E33662" w:rsidRPr="001E5FAC">
        <w:t xml:space="preserve">based on issues identified for accessing </w:t>
      </w:r>
      <w:r w:rsidR="002D7A82" w:rsidRPr="001E5FAC">
        <w:t>AACFs</w:t>
      </w:r>
      <w:r w:rsidRPr="001E5FAC">
        <w:t xml:space="preserve">. </w:t>
      </w:r>
      <w:r w:rsidR="002D7A82" w:rsidRPr="001E5FAC">
        <w:t>A Canadian r</w:t>
      </w:r>
      <w:r w:rsidR="00E33662" w:rsidRPr="001E5FAC">
        <w:t>esear</w:t>
      </w:r>
      <w:r w:rsidR="002D7A82" w:rsidRPr="001E5FAC">
        <w:t>ch p</w:t>
      </w:r>
      <w:r w:rsidR="00E33662" w:rsidRPr="001E5FAC">
        <w:t>aper on exploring the barriers to shopping mall use by pe</w:t>
      </w:r>
      <w:r w:rsidR="00C9670F">
        <w:t>ople</w:t>
      </w:r>
      <w:r w:rsidR="00E33662" w:rsidRPr="001E5FAC">
        <w:t xml:space="preserve"> with disabilities, from the perspectives of people with disabilities, rehabilitation professionals and shopkeepers</w:t>
      </w:r>
      <w:r w:rsidR="00E33662" w:rsidRPr="00C133AC">
        <w:rPr>
          <w:rStyle w:val="FootnoteReference"/>
          <w:color w:val="000000" w:themeColor="text1"/>
          <w:sz w:val="24"/>
          <w:szCs w:val="24"/>
        </w:rPr>
        <w:footnoteReference w:id="98"/>
      </w:r>
      <w:r w:rsidR="00E33662" w:rsidRPr="001E5FAC">
        <w:t>, provides a multi-perspective assessment of the usability</w:t>
      </w:r>
      <w:r w:rsidR="00BF1928" w:rsidRPr="001E5FAC">
        <w:t>.</w:t>
      </w:r>
      <w:r w:rsidR="00E33662" w:rsidRPr="001E5FAC">
        <w:t xml:space="preserve"> </w:t>
      </w:r>
      <w:r w:rsidR="00BF1928" w:rsidRPr="001E5FAC">
        <w:t>T</w:t>
      </w:r>
      <w:r w:rsidR="00E33662" w:rsidRPr="001E5FAC">
        <w:t xml:space="preserve">he </w:t>
      </w:r>
      <w:r w:rsidR="00BF1928" w:rsidRPr="001E5FAC">
        <w:t xml:space="preserve">report also comments on the </w:t>
      </w:r>
      <w:r w:rsidR="00E33662" w:rsidRPr="001E5FAC">
        <w:t xml:space="preserve">environmental facilitators and obstacles to social participation in shopping malls. From the perspective of a rehabilitation professional: </w:t>
      </w:r>
    </w:p>
    <w:p w:rsidR="00E33662" w:rsidRPr="00040312" w:rsidRDefault="00E33662" w:rsidP="00040312">
      <w:pPr>
        <w:pStyle w:val="EYBodytextwithparaspace"/>
        <w:ind w:left="720"/>
        <w:rPr>
          <w:i/>
        </w:rPr>
      </w:pPr>
      <w:r w:rsidRPr="00040312">
        <w:rPr>
          <w:i/>
        </w:rPr>
        <w:t xml:space="preserve">“[Toilets] are often located at the far end of a hallway. It’s cramped, it’s not sure that someone with a wheelchair can really get in. There’s not always a raised toilet seat or a support bar. The sink is not at the right height...” </w:t>
      </w:r>
    </w:p>
    <w:p w:rsidR="00E33662" w:rsidRPr="001E5FAC" w:rsidRDefault="00E33662" w:rsidP="00AA5DEE">
      <w:pPr>
        <w:pStyle w:val="EYBodytextwithparaspace"/>
      </w:pPr>
      <w:r w:rsidRPr="001E5FAC">
        <w:t xml:space="preserve">To address such concerns, various countries have introduced standards or guidelines for the provision of </w:t>
      </w:r>
      <w:r w:rsidR="002D7A82" w:rsidRPr="001E5FAC">
        <w:t>AACFs</w:t>
      </w:r>
      <w:r w:rsidRPr="001E5FAC">
        <w:t>, namely in the United Kingdom, Canada and the US (California). These are summarised below.</w:t>
      </w:r>
    </w:p>
    <w:p w:rsidR="00AA5B35" w:rsidRPr="001E5FAC" w:rsidRDefault="00AA5B35" w:rsidP="00AA5DEE">
      <w:pPr>
        <w:pStyle w:val="EYAppendixHeading3"/>
      </w:pPr>
      <w:r w:rsidRPr="001E5FAC">
        <w:t>United Kingdom</w:t>
      </w:r>
    </w:p>
    <w:p w:rsidR="00983279" w:rsidRPr="001E5FAC" w:rsidRDefault="00983279" w:rsidP="00040312">
      <w:pPr>
        <w:pStyle w:val="EYBodytextwithparaspace"/>
        <w:rPr>
          <w:b/>
        </w:rPr>
      </w:pPr>
      <w:r w:rsidRPr="001E5FAC">
        <w:t xml:space="preserve">Internationally, the UK is the only country that provides a precedent for non-regulatory solutions driving the uptake of </w:t>
      </w:r>
      <w:r w:rsidR="002D7A82" w:rsidRPr="001E5FAC">
        <w:t>AACFs</w:t>
      </w:r>
      <w:r w:rsidRPr="001E5FAC">
        <w:t>. Specifically, the British Standard (BS) 8300 provides detailed guidance relating to the provision and design of Changing Places toilets. It recommends (but does not mandate) that Changing Places facilities should be provided in larger buildings and complexes with public access or where visitors are likely to spend a large period of time. The Changing Places website</w:t>
      </w:r>
      <w:r w:rsidRPr="00C133AC">
        <w:rPr>
          <w:rStyle w:val="FootnoteReference"/>
          <w:sz w:val="24"/>
          <w:szCs w:val="24"/>
        </w:rPr>
        <w:footnoteReference w:id="99"/>
      </w:r>
      <w:r w:rsidRPr="001E5FAC">
        <w:t xml:space="preserve"> reports that so far, over 1000 toilets have been registered in the UK, with a further 100 venues providing </w:t>
      </w:r>
      <w:r w:rsidR="00801837" w:rsidRPr="001E5FAC">
        <w:t>AACFs</w:t>
      </w:r>
      <w:r w:rsidRPr="001E5FAC">
        <w:t xml:space="preserve"> that include some but not all the requirements of a Changing Places specified facility. </w:t>
      </w:r>
    </w:p>
    <w:p w:rsidR="00983279" w:rsidRPr="001E5FAC" w:rsidRDefault="00983279" w:rsidP="00983279">
      <w:pPr>
        <w:pStyle w:val="EYBodytextwithparaspace"/>
      </w:pPr>
      <w:r w:rsidRPr="001E5FAC">
        <w:t xml:space="preserve">While there is no funding available specifically for Changing Places </w:t>
      </w:r>
      <w:r w:rsidR="005740EE">
        <w:t>facilities</w:t>
      </w:r>
      <w:r w:rsidRPr="001E5FAC">
        <w:t xml:space="preserve">, some venues in the UK have obtained funding from various sources to build facilities depending on what type of organisation they are or where they are located. </w:t>
      </w:r>
    </w:p>
    <w:p w:rsidR="00983279" w:rsidRPr="001E5FAC" w:rsidRDefault="00983279" w:rsidP="00983279">
      <w:pPr>
        <w:pStyle w:val="EYBodytextwithparaspace"/>
      </w:pPr>
      <w:r w:rsidRPr="001E5FAC">
        <w:t xml:space="preserve">There are ongoing calls in the UK for BS 8300 to be upgraded to mandate the provision of </w:t>
      </w:r>
      <w:r w:rsidR="00801837" w:rsidRPr="001E5FAC">
        <w:t>AACFs</w:t>
      </w:r>
      <w:r w:rsidRPr="001E5FAC">
        <w:t xml:space="preserve"> on the grounds that the current uptake is deemed insufficient to cater for the country’s disabled population.</w:t>
      </w:r>
      <w:r w:rsidRPr="00C133AC">
        <w:rPr>
          <w:rStyle w:val="FootnoteReference"/>
          <w:sz w:val="24"/>
          <w:szCs w:val="24"/>
        </w:rPr>
        <w:footnoteReference w:id="100"/>
      </w:r>
      <w:r w:rsidRPr="001E5FAC">
        <w:rPr>
          <w:rStyle w:val="FootnoteReference"/>
        </w:rPr>
        <w:t xml:space="preserve"> </w:t>
      </w:r>
      <w:r w:rsidRPr="001E5FAC">
        <w:t>The matter was raised in the House of Commons on the 13th of December 2017, receiving a positive response from the Prime Minister, the Hon Theresa May MP</w:t>
      </w:r>
      <w:r w:rsidR="003954B7">
        <w:t>.</w:t>
      </w:r>
      <w:r w:rsidRPr="00C133AC">
        <w:rPr>
          <w:rStyle w:val="FootnoteReference"/>
          <w:sz w:val="24"/>
          <w:szCs w:val="24"/>
        </w:rPr>
        <w:footnoteReference w:id="101"/>
      </w:r>
    </w:p>
    <w:p w:rsidR="00983279" w:rsidRPr="001E5FAC" w:rsidRDefault="00983279" w:rsidP="00983279">
      <w:pPr>
        <w:pStyle w:val="EYBodytextwithparaspace"/>
      </w:pPr>
      <w:r w:rsidRPr="001E5FAC">
        <w:t>The individual countries of the United Kingdom each have their own technical documents providing further guidance on the desirability (but again not mandating) of providing AACFs in public buildings. Further detail is provided below.</w:t>
      </w:r>
    </w:p>
    <w:p w:rsidR="00AA5B35" w:rsidRPr="001E5FAC" w:rsidRDefault="00AA5B35" w:rsidP="00AA5DEE">
      <w:pPr>
        <w:pStyle w:val="EYAppendixHeading3"/>
      </w:pPr>
      <w:r w:rsidRPr="001E5FAC">
        <w:lastRenderedPageBreak/>
        <w:t>England</w:t>
      </w:r>
    </w:p>
    <w:p w:rsidR="00AA5B35" w:rsidRPr="001E5FAC" w:rsidRDefault="00474EE3" w:rsidP="00AA5DEE">
      <w:pPr>
        <w:pStyle w:val="EYBodytextwithparaspace"/>
      </w:pPr>
      <w:r w:rsidRPr="001E5FAC">
        <w:t>In England</w:t>
      </w:r>
      <w:r w:rsidR="00BF1928" w:rsidRPr="001E5FAC">
        <w:t>, Approved</w:t>
      </w:r>
      <w:r w:rsidRPr="001E5FAC">
        <w:t xml:space="preserve"> </w:t>
      </w:r>
      <w:r w:rsidR="00AA5B35" w:rsidRPr="001E5FAC">
        <w:t>Document M (Access to and use of buildings (AD M) 2013 edition) Section 5 refers to the provision of sanitary accommodation and C</w:t>
      </w:r>
      <w:r w:rsidR="001009AA">
        <w:t xml:space="preserve">hanging </w:t>
      </w:r>
      <w:r w:rsidR="00AA5B35" w:rsidRPr="001E5FAC">
        <w:t>P</w:t>
      </w:r>
      <w:r w:rsidR="001009AA">
        <w:t>laces</w:t>
      </w:r>
      <w:r w:rsidR="00AA5B35" w:rsidRPr="001E5FAC">
        <w:t xml:space="preserve"> facilities in larger buildings</w:t>
      </w:r>
      <w:r w:rsidRPr="001E5FAC">
        <w:t>. Section 5.6 states that i</w:t>
      </w:r>
      <w:r w:rsidR="00AA5B35" w:rsidRPr="001E5FAC">
        <w:t xml:space="preserve">n large building developments, separate facilities for baby changing and an enlarged unisex toilet incorporating an adult changing table are desirable (further guidance </w:t>
      </w:r>
      <w:r w:rsidRPr="001E5FAC">
        <w:t xml:space="preserve">is provided </w:t>
      </w:r>
      <w:r w:rsidR="00AA5B35" w:rsidRPr="001E5FAC">
        <w:t xml:space="preserve">in </w:t>
      </w:r>
      <w:r w:rsidR="007C69BF">
        <w:t>S</w:t>
      </w:r>
      <w:r w:rsidR="007C69BF" w:rsidRPr="001E5FAC">
        <w:t xml:space="preserve">ection </w:t>
      </w:r>
      <w:r w:rsidR="00AA5B35" w:rsidRPr="001E5FAC">
        <w:t>12.7 and Annex G of BS 8300).</w:t>
      </w:r>
    </w:p>
    <w:p w:rsidR="00AA5B35" w:rsidRPr="001E5FAC" w:rsidRDefault="00474EE3" w:rsidP="00AA5DEE">
      <w:pPr>
        <w:pStyle w:val="EYBodytextwithparaspace"/>
      </w:pPr>
      <w:r w:rsidRPr="001E5FAC">
        <w:t>In addition, Section 5.17 states that i</w:t>
      </w:r>
      <w:r w:rsidR="00AA5B35" w:rsidRPr="001E5FAC">
        <w:t>n large building complexes, such as retail parks and large sports centres, there should be one wheelchair accessible unisex toilet capable of including an adult changing table</w:t>
      </w:r>
      <w:r w:rsidR="003954B7">
        <w:t>.</w:t>
      </w:r>
    </w:p>
    <w:p w:rsidR="00AA5B35" w:rsidRPr="001E5FAC" w:rsidRDefault="00AA5B35" w:rsidP="00AA5DEE">
      <w:pPr>
        <w:pStyle w:val="EYAppendixHeading3"/>
      </w:pPr>
      <w:r w:rsidRPr="001E5FAC">
        <w:t>Scotland</w:t>
      </w:r>
    </w:p>
    <w:p w:rsidR="00AA5B35" w:rsidRPr="001E5FAC" w:rsidRDefault="00474EE3" w:rsidP="00AA5DEE">
      <w:pPr>
        <w:pStyle w:val="EYBodytextwithparaspace"/>
      </w:pPr>
      <w:r w:rsidRPr="001E5FAC">
        <w:t>In Scotland, Technical Handbook 2013, S</w:t>
      </w:r>
      <w:r w:rsidR="00AA5B35" w:rsidRPr="001E5FAC">
        <w:t xml:space="preserve">ection 3.12 – </w:t>
      </w:r>
      <w:r w:rsidRPr="001E5FAC">
        <w:t>‘</w:t>
      </w:r>
      <w:r w:rsidR="00AA5B35" w:rsidRPr="001E5FAC">
        <w:t>Sanitary facilities</w:t>
      </w:r>
      <w:r w:rsidRPr="001E5FAC">
        <w:t>’</w:t>
      </w:r>
      <w:r w:rsidR="00AA5B35" w:rsidRPr="001E5FAC">
        <w:t xml:space="preserve"> acknowledges C</w:t>
      </w:r>
      <w:r w:rsidR="001009AA">
        <w:t xml:space="preserve">hanging </w:t>
      </w:r>
      <w:r w:rsidR="00AA5B35" w:rsidRPr="001E5FAC">
        <w:t>P</w:t>
      </w:r>
      <w:r w:rsidR="001009AA">
        <w:t>laces</w:t>
      </w:r>
      <w:r w:rsidR="00AA5B35" w:rsidRPr="001E5FAC">
        <w:t xml:space="preserve"> toilets as best practice and includes recommendations fo</w:t>
      </w:r>
      <w:r w:rsidRPr="001E5FAC">
        <w:t>r a network of these facilities, as follows:</w:t>
      </w:r>
    </w:p>
    <w:p w:rsidR="00AA5B35" w:rsidRPr="00040312" w:rsidRDefault="00474EE3" w:rsidP="00040312">
      <w:pPr>
        <w:pStyle w:val="EYBodytextwithparaspace"/>
        <w:ind w:left="720"/>
        <w:rPr>
          <w:i/>
        </w:rPr>
      </w:pPr>
      <w:r w:rsidRPr="00040312">
        <w:rPr>
          <w:i/>
        </w:rPr>
        <w:t>“</w:t>
      </w:r>
      <w:r w:rsidR="00AA5B35" w:rsidRPr="00040312">
        <w:rPr>
          <w:i/>
        </w:rPr>
        <w:t>A CPT is provided where the building owner chooses to do so and their installation represents best practice. There are many building types best suited for CPT installations including publicly accessible facilities such as shopping malls, entertainment or assembly buildings and transport related facilities. Provision of CPTs within suitable buildings is important to establish a network of facilities at appropriate locations across the country.”</w:t>
      </w:r>
    </w:p>
    <w:p w:rsidR="00AA5B35" w:rsidRPr="001E5FAC" w:rsidRDefault="00AA5B35" w:rsidP="00AA5DEE">
      <w:pPr>
        <w:pStyle w:val="EYAppendixHeading3"/>
      </w:pPr>
      <w:r w:rsidRPr="001E5FAC">
        <w:t>Northern Ireland</w:t>
      </w:r>
    </w:p>
    <w:p w:rsidR="00AA5B35" w:rsidRPr="001E5FAC" w:rsidRDefault="00474EE3" w:rsidP="00AA5DEE">
      <w:pPr>
        <w:pStyle w:val="EYBodytextwithparaspace"/>
      </w:pPr>
      <w:r w:rsidRPr="001E5FAC">
        <w:t xml:space="preserve">In Northern Ireland, </w:t>
      </w:r>
      <w:r w:rsidR="00AA5B35" w:rsidRPr="001E5FAC">
        <w:t xml:space="preserve">Technical Booklet R 2012 – </w:t>
      </w:r>
      <w:r w:rsidRPr="001E5FAC">
        <w:t>‘</w:t>
      </w:r>
      <w:r w:rsidR="00AA5B35" w:rsidRPr="001E5FAC">
        <w:t>Access to and use of buildings</w:t>
      </w:r>
      <w:r w:rsidRPr="001E5FAC">
        <w:t>’</w:t>
      </w:r>
      <w:r w:rsidR="00AA5B35" w:rsidRPr="001E5FAC">
        <w:t xml:space="preserve">, Section 6, </w:t>
      </w:r>
      <w:r w:rsidRPr="001E5FAC">
        <w:t>‘</w:t>
      </w:r>
      <w:r w:rsidR="00AA5B35" w:rsidRPr="001E5FAC">
        <w:t>Sanitary accommodation</w:t>
      </w:r>
      <w:r w:rsidRPr="001E5FAC">
        <w:t>’</w:t>
      </w:r>
      <w:r w:rsidR="00AA5B35" w:rsidRPr="001E5FAC">
        <w:t xml:space="preserve"> covers the provision of sanitary and changing facilities in dwellings and non-domestic buildings.</w:t>
      </w:r>
    </w:p>
    <w:p w:rsidR="00AA5B35" w:rsidRPr="001E5FAC" w:rsidRDefault="00474EE3" w:rsidP="00AA5DEE">
      <w:pPr>
        <w:pStyle w:val="EYBodytextwithparaspace"/>
      </w:pPr>
      <w:r w:rsidRPr="001E5FAC">
        <w:t>In addition, A</w:t>
      </w:r>
      <w:r w:rsidR="00AA5B35" w:rsidRPr="001E5FAC">
        <w:t xml:space="preserve">ppendix A, includes </w:t>
      </w:r>
      <w:r w:rsidRPr="001E5FAC">
        <w:t>the following recommendation</w:t>
      </w:r>
      <w:r w:rsidR="00AA5B35" w:rsidRPr="001E5FAC">
        <w:t xml:space="preserve"> for </w:t>
      </w:r>
      <w:r w:rsidR="00BF1928" w:rsidRPr="001E5FAC">
        <w:t>Changing Places</w:t>
      </w:r>
      <w:r w:rsidR="00AA5B35" w:rsidRPr="001E5FAC">
        <w:t xml:space="preserve"> facilities:</w:t>
      </w:r>
    </w:p>
    <w:p w:rsidR="00AA5B35" w:rsidRPr="00040312" w:rsidRDefault="00AA5B35" w:rsidP="00040312">
      <w:pPr>
        <w:pStyle w:val="EYBodytextwithparaspace"/>
        <w:ind w:left="720"/>
        <w:rPr>
          <w:i/>
        </w:rPr>
      </w:pPr>
      <w:r w:rsidRPr="00040312">
        <w:rPr>
          <w:i/>
        </w:rPr>
        <w:t>“People with profound and multiple learning disabilities, who require the help of up to two assistants, need a facility that is a combined toilet, shower and changing room. Such facilities require extra space to accommodate people, often using large wheelchairs having elevated leg rests, a reclining facility or integral oxygen cylinders, and space to fit slings for use with a hoist. It also needs to be possible for a wheelchair to remain within the facility when not in use without compromising the safe access and use of the equipment. A Changing Places toilet includes such extra space and facilities.”</w:t>
      </w:r>
    </w:p>
    <w:p w:rsidR="00474EE3" w:rsidRPr="001E5FAC" w:rsidRDefault="00474EE3" w:rsidP="00AA5DEE">
      <w:pPr>
        <w:pStyle w:val="EYAppendixHeading3"/>
      </w:pPr>
      <w:r w:rsidRPr="001E5FAC">
        <w:t>Canada (Ontario)</w:t>
      </w:r>
    </w:p>
    <w:p w:rsidR="00474EE3" w:rsidRPr="001E5FAC" w:rsidRDefault="00474EE3" w:rsidP="00AA5DEE">
      <w:pPr>
        <w:pStyle w:val="EYBodytextwithparaspace"/>
      </w:pPr>
      <w:r w:rsidRPr="001E5FAC">
        <w:t xml:space="preserve">In 2013, Ontario Regulation 368/13 was filed to amend the new 2012 Building Code, O.Reg. 332/12. The effective date of the amendment was </w:t>
      </w:r>
      <w:r w:rsidR="001009AA">
        <w:t xml:space="preserve">1 </w:t>
      </w:r>
      <w:r w:rsidRPr="001E5FAC">
        <w:t>January 2015. At least one universal toilet room is required in all buildings, and, for multi-storey buildings, at least one for every three floors.  Space for an adult change table has to be provided in all universal toilet room</w:t>
      </w:r>
      <w:r w:rsidR="00F8657D">
        <w:t>s except in buildings under 300</w:t>
      </w:r>
      <w:r w:rsidR="00DB1162" w:rsidRPr="001E5FAC">
        <w:t>m</w:t>
      </w:r>
      <w:r w:rsidR="00DB1162" w:rsidRPr="001E5FAC">
        <w:rPr>
          <w:vertAlign w:val="superscript"/>
        </w:rPr>
        <w:t>2</w:t>
      </w:r>
      <w:r w:rsidRPr="001E5FAC">
        <w:t xml:space="preserve"> in building area.</w:t>
      </w:r>
    </w:p>
    <w:p w:rsidR="00AA5B35" w:rsidRPr="001E5FAC" w:rsidRDefault="00AA5B35" w:rsidP="00AA5DEE">
      <w:pPr>
        <w:pStyle w:val="EYAppendixHeading3"/>
      </w:pPr>
      <w:r w:rsidRPr="001E5FAC">
        <w:lastRenderedPageBreak/>
        <w:t>US (California)</w:t>
      </w:r>
    </w:p>
    <w:p w:rsidR="00DD65D7" w:rsidRDefault="00474EE3" w:rsidP="00AA5DEE">
      <w:pPr>
        <w:pStyle w:val="EYBodytextwithparaspace"/>
      </w:pPr>
      <w:r w:rsidRPr="001E5FAC">
        <w:t>In California,</w:t>
      </w:r>
      <w:r w:rsidR="00DD65D7" w:rsidRPr="001E5FAC">
        <w:t xml:space="preserve"> </w:t>
      </w:r>
      <w:r w:rsidR="00DD65D7" w:rsidRPr="00400534">
        <w:rPr>
          <w:i/>
        </w:rPr>
        <w:t>Assembly Bill No. 662 Public accommodation: disabled adults</w:t>
      </w:r>
      <w:r w:rsidR="009F50F1" w:rsidRPr="00400534">
        <w:rPr>
          <w:i/>
        </w:rPr>
        <w:t>:</w:t>
      </w:r>
      <w:r w:rsidR="00DD65D7" w:rsidRPr="00400534">
        <w:rPr>
          <w:i/>
        </w:rPr>
        <w:t xml:space="preserve"> changing facilities</w:t>
      </w:r>
      <w:r w:rsidR="00DD65D7" w:rsidRPr="001E5FAC">
        <w:t xml:space="preserve"> </w:t>
      </w:r>
      <w:r w:rsidR="00DD65D7">
        <w:t xml:space="preserve">was enacted as law on </w:t>
      </w:r>
      <w:r w:rsidR="001009AA">
        <w:t xml:space="preserve">10 </w:t>
      </w:r>
      <w:r w:rsidR="00DD65D7">
        <w:t>October 2015 as Chapter 742 of the California Codes.</w:t>
      </w:r>
      <w:r w:rsidR="00DD65D7" w:rsidRPr="00C133AC">
        <w:rPr>
          <w:rStyle w:val="FootnoteReference"/>
          <w:sz w:val="24"/>
          <w:szCs w:val="24"/>
        </w:rPr>
        <w:footnoteReference w:id="102"/>
      </w:r>
      <w:r w:rsidR="00DD65D7">
        <w:t xml:space="preserve"> It added </w:t>
      </w:r>
      <w:r w:rsidR="009F50F1">
        <w:t xml:space="preserve">Section 19952.5 to </w:t>
      </w:r>
      <w:r w:rsidR="00DD65D7">
        <w:t>the Health and Safety Code</w:t>
      </w:r>
      <w:r w:rsidR="009F50F1">
        <w:t xml:space="preserve"> that included the following text</w:t>
      </w:r>
      <w:r w:rsidR="00DD65D7">
        <w:t>:</w:t>
      </w:r>
    </w:p>
    <w:p w:rsidR="00AA5B35" w:rsidRPr="001E5FAC" w:rsidRDefault="00AA5B35" w:rsidP="00BF4523">
      <w:pPr>
        <w:pStyle w:val="EYIndent1"/>
      </w:pPr>
      <w:r w:rsidRPr="00400534">
        <w:rPr>
          <w:b/>
        </w:rPr>
        <w:t>(a)</w:t>
      </w:r>
      <w:r w:rsidRPr="001E5FAC">
        <w:t> A person, private firm, organization, or corporation that owns or manages a commercial place of public amusement shall install and maintain at least one adult changing station for persons with a physical disability that is accessible to both men and women when the facility is open to the public, if either of the following occur:</w:t>
      </w:r>
    </w:p>
    <w:p w:rsidR="00AA5B35" w:rsidRPr="001E5FAC" w:rsidRDefault="00DD65D7" w:rsidP="00BF4523">
      <w:pPr>
        <w:pStyle w:val="EYIndent1"/>
      </w:pPr>
      <w:r w:rsidRPr="00400534">
        <w:rPr>
          <w:b/>
        </w:rPr>
        <w:t>(1)</w:t>
      </w:r>
      <w:r w:rsidR="009F50F1">
        <w:rPr>
          <w:b/>
        </w:rPr>
        <w:t xml:space="preserve"> </w:t>
      </w:r>
      <w:r w:rsidR="00AA5B35" w:rsidRPr="001E5FAC">
        <w:t>The commercial place of public amusement is newly constructed on or after January 1, 2020.</w:t>
      </w:r>
    </w:p>
    <w:p w:rsidR="00F40E06" w:rsidRPr="001E5FAC" w:rsidRDefault="00DD65D7" w:rsidP="00BF4523">
      <w:pPr>
        <w:pStyle w:val="EYIndent1"/>
      </w:pPr>
      <w:r>
        <w:rPr>
          <w:b/>
          <w:bCs/>
        </w:rPr>
        <w:t>(2) (A)</w:t>
      </w:r>
      <w:r w:rsidR="00AA5B35" w:rsidRPr="001E5FAC">
        <w:t> When an existing commercial place of public amusement is renovated on or after January 1, 2025, and requires a permit or the estimated cost of the renovation is ten thousand dollars ($10,000) or more</w:t>
      </w:r>
      <w:r w:rsidR="009A5C7C" w:rsidRPr="001E5FAC">
        <w:t>.</w:t>
      </w:r>
      <w:r w:rsidR="00AA5B35" w:rsidRPr="001E5FAC">
        <w:t xml:space="preserve"> </w:t>
      </w:r>
    </w:p>
    <w:p w:rsidR="00AA5B35" w:rsidRPr="001E5FAC" w:rsidRDefault="00DD65D7" w:rsidP="00BF4523">
      <w:pPr>
        <w:pStyle w:val="EYIndent1"/>
      </w:pPr>
      <w:r>
        <w:rPr>
          <w:b/>
          <w:bCs/>
        </w:rPr>
        <w:t>(B)</w:t>
      </w:r>
      <w:r w:rsidR="00AA5B35" w:rsidRPr="001E5FAC">
        <w:t> A commercial place of public amusement with an enclosed restroom facility or other similar private facility with an adult changing table in use before January 1, 2025, shall be deemed to comply with this paragraph.</w:t>
      </w:r>
    </w:p>
    <w:p w:rsidR="00BF1928" w:rsidRPr="001E5FAC" w:rsidRDefault="00BF1928" w:rsidP="00BF1928">
      <w:pPr>
        <w:pStyle w:val="EYIndent1"/>
      </w:pPr>
      <w:r w:rsidRPr="001E5FAC">
        <w:rPr>
          <w:b/>
        </w:rPr>
        <w:t>(</w:t>
      </w:r>
      <w:r w:rsidR="00DD65D7">
        <w:rPr>
          <w:b/>
        </w:rPr>
        <w:t>b</w:t>
      </w:r>
      <w:r w:rsidRPr="001E5FAC">
        <w:rPr>
          <w:b/>
        </w:rPr>
        <w:t>)</w:t>
      </w:r>
      <w:r w:rsidR="00AA5B35" w:rsidRPr="001E5FAC">
        <w:t> A facility shall ensure that the entrance to each adult changing station has conspicuous signage indicating the location of the station, and, if the facility has a central directory, shall ensure that the central directory indicates the location of the adult changing station.</w:t>
      </w:r>
      <w:r w:rsidR="00DD65D7" w:rsidRPr="00C133AC">
        <w:rPr>
          <w:rStyle w:val="FootnoteReference"/>
          <w:sz w:val="24"/>
          <w:szCs w:val="24"/>
        </w:rPr>
        <w:footnoteReference w:id="103"/>
      </w:r>
    </w:p>
    <w:p w:rsidR="006B634F" w:rsidRPr="001E5FAC" w:rsidRDefault="006B634F">
      <w:pPr>
        <w:jc w:val="left"/>
        <w:rPr>
          <w:rFonts w:cs="Arial"/>
          <w:szCs w:val="24"/>
        </w:rPr>
      </w:pPr>
      <w:r w:rsidRPr="001E5FAC">
        <w:rPr>
          <w:rFonts w:cs="Arial"/>
          <w:szCs w:val="24"/>
        </w:rPr>
        <w:br w:type="page"/>
      </w:r>
    </w:p>
    <w:p w:rsidR="00842982" w:rsidRPr="001E5FAC" w:rsidRDefault="00842982" w:rsidP="001E5FAC">
      <w:pPr>
        <w:pStyle w:val="EYAppendix"/>
      </w:pPr>
      <w:bookmarkStart w:id="617" w:name="_Ref518725398"/>
      <w:bookmarkStart w:id="618" w:name="_Toc525897809"/>
      <w:r w:rsidRPr="001E5FAC">
        <w:lastRenderedPageBreak/>
        <w:t>Consultation questions</w:t>
      </w:r>
      <w:bookmarkEnd w:id="617"/>
      <w:bookmarkEnd w:id="618"/>
    </w:p>
    <w:p w:rsidR="00842982" w:rsidRPr="001E5FAC" w:rsidRDefault="00842982" w:rsidP="00842982">
      <w:pPr>
        <w:pStyle w:val="EYBodytextwithparaspace"/>
      </w:pPr>
      <w:r w:rsidRPr="001E5FAC">
        <w:t xml:space="preserve">The following consultation questions were included in the Consultation RIS, prior to the release of this Final RIS. </w:t>
      </w:r>
    </w:p>
    <w:p w:rsidR="00237305" w:rsidRPr="001E5FAC" w:rsidRDefault="00842982" w:rsidP="00237305">
      <w:pPr>
        <w:pStyle w:val="EYBodytextwithparaspace"/>
      </w:pPr>
      <w:r w:rsidRPr="001E5FAC">
        <w:t>Note: These questions were provided as a guide and to stimulate discussion. It was not mandatory to address each and every question. Respondents were welcome to comment on these questions or on any other aspect of the Consultation RIS.</w:t>
      </w:r>
      <w:r w:rsidRPr="001E5FAC" w:rsidDel="0011297D">
        <w:t xml:space="preserve"> </w:t>
      </w:r>
    </w:p>
    <w:tbl>
      <w:tblPr>
        <w:tblW w:w="8931" w:type="dxa"/>
        <w:tblLook w:val="04A0" w:firstRow="1" w:lastRow="0" w:firstColumn="1" w:lastColumn="0" w:noHBand="0" w:noVBand="1"/>
      </w:tblPr>
      <w:tblGrid>
        <w:gridCol w:w="8931"/>
      </w:tblGrid>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color w:val="000000"/>
                <w:szCs w:val="24"/>
                <w:lang w:eastAsia="en-AU"/>
              </w:rPr>
              <w:t>1: Is the selection of the types of Class 9b assembly buildings considered appropriate?</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 xml:space="preserve">2: Do you consider that the case studies selected are representative of the types of buildings likely to be </w:t>
            </w:r>
            <w:r w:rsidRPr="001E5FAC">
              <w:rPr>
                <w:rFonts w:eastAsia="Times New Roman" w:cs="Arial"/>
                <w:color w:val="000000"/>
                <w:szCs w:val="24"/>
                <w:lang w:eastAsia="en-AU"/>
              </w:rPr>
              <w:t>constructed</w:t>
            </w:r>
            <w:r w:rsidRPr="001E5FAC">
              <w:rPr>
                <w:rFonts w:eastAsia="Times New Roman" w:cs="Arial"/>
                <w:noProof/>
                <w:color w:val="000000"/>
                <w:szCs w:val="24"/>
                <w:lang w:eastAsia="en-AU"/>
              </w:rPr>
              <w:t xml:space="preserve"> over the next 10 years?</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3: Do you agree with the process described in Section 4.1 to estimate the core cohort of people with a complex disability? If not, can you suggest an alternative method?</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 xml:space="preserve">4: Do you agree with the inclusion of the 22,372 people with a disability and profoundly or severely </w:t>
            </w:r>
            <w:r w:rsidRPr="001E5FAC">
              <w:rPr>
                <w:rFonts w:eastAsia="Times New Roman" w:cs="Arial"/>
                <w:color w:val="000000"/>
                <w:szCs w:val="24"/>
                <w:lang w:eastAsia="en-AU"/>
              </w:rPr>
              <w:t>limited</w:t>
            </w:r>
            <w:r w:rsidRPr="001E5FAC">
              <w:rPr>
                <w:rFonts w:eastAsia="Times New Roman" w:cs="Arial"/>
                <w:noProof/>
                <w:color w:val="000000"/>
                <w:szCs w:val="24"/>
                <w:lang w:eastAsia="en-AU"/>
              </w:rPr>
              <w:t xml:space="preserve"> in core activities who do not leave home in the core cohort?</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5: Do you agree with the description of the problem given in Section 2?</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 xml:space="preserve">6: Are there any other </w:t>
            </w:r>
            <w:r w:rsidRPr="001E5FAC">
              <w:rPr>
                <w:rFonts w:eastAsia="Times New Roman" w:cs="Arial"/>
                <w:color w:val="000000"/>
                <w:szCs w:val="24"/>
                <w:lang w:eastAsia="en-AU"/>
              </w:rPr>
              <w:t>characteristics</w:t>
            </w:r>
            <w:r w:rsidRPr="001E5FAC">
              <w:rPr>
                <w:rFonts w:eastAsia="Times New Roman" w:cs="Arial"/>
                <w:noProof/>
                <w:color w:val="000000"/>
                <w:szCs w:val="24"/>
                <w:lang w:eastAsia="en-AU"/>
              </w:rPr>
              <w:t xml:space="preserve"> of the problem that should be included in the analysis?</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 xml:space="preserve">7: Is the currently defined </w:t>
            </w:r>
            <w:r w:rsidRPr="001E5FAC">
              <w:rPr>
                <w:rFonts w:eastAsia="Times New Roman" w:cs="Arial"/>
                <w:color w:val="000000"/>
                <w:szCs w:val="24"/>
                <w:lang w:eastAsia="en-AU"/>
              </w:rPr>
              <w:t>population</w:t>
            </w:r>
            <w:r w:rsidRPr="001E5FAC">
              <w:rPr>
                <w:rFonts w:eastAsia="Times New Roman" w:cs="Arial"/>
                <w:noProof/>
                <w:color w:val="000000"/>
                <w:szCs w:val="24"/>
                <w:lang w:eastAsia="en-AU"/>
              </w:rPr>
              <w:t xml:space="preserve"> (see Section 4) appropriate for the analysis?</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8: Are the cost estimates applied in this analysis appropriate and reasonable?</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 xml:space="preserve">9: Are </w:t>
            </w:r>
            <w:r w:rsidRPr="001E5FAC">
              <w:rPr>
                <w:rFonts w:eastAsia="Times New Roman" w:cs="Arial"/>
                <w:color w:val="000000"/>
                <w:szCs w:val="24"/>
                <w:lang w:eastAsia="en-AU"/>
              </w:rPr>
              <w:t>there</w:t>
            </w:r>
            <w:r w:rsidRPr="001E5FAC">
              <w:rPr>
                <w:rFonts w:eastAsia="Times New Roman" w:cs="Arial"/>
                <w:noProof/>
                <w:color w:val="000000"/>
                <w:szCs w:val="24"/>
                <w:lang w:eastAsia="en-AU"/>
              </w:rPr>
              <w:t xml:space="preserve"> any additional establishment and maintenance costs that should be considered?</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 xml:space="preserve">10: As a person with a disability or carer, how do you think you will benefit from the </w:t>
            </w:r>
            <w:r w:rsidRPr="001E5FAC">
              <w:rPr>
                <w:rFonts w:eastAsia="Times New Roman" w:cs="Arial"/>
                <w:color w:val="000000"/>
                <w:szCs w:val="24"/>
                <w:lang w:eastAsia="en-AU"/>
              </w:rPr>
              <w:t>introduction</w:t>
            </w:r>
            <w:r w:rsidRPr="001E5FAC">
              <w:rPr>
                <w:rFonts w:eastAsia="Times New Roman" w:cs="Arial"/>
                <w:noProof/>
                <w:color w:val="000000"/>
                <w:szCs w:val="24"/>
                <w:lang w:eastAsia="en-AU"/>
              </w:rPr>
              <w:t xml:space="preserve"> of AACFs?</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11: How will the introduction of AACFs in Class 6 shopping centres and Class 9b assembly buildings impact on your level of community engagement and sense of inclusion in daily life and community activities?</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Default="006E4649" w:rsidP="00F1216C">
            <w:pPr>
              <w:spacing w:after="0" w:line="240" w:lineRule="auto"/>
              <w:ind w:left="-108"/>
              <w:jc w:val="left"/>
              <w:rPr>
                <w:rFonts w:eastAsia="Times New Roman" w:cs="Arial"/>
                <w:noProof/>
                <w:color w:val="000000"/>
                <w:szCs w:val="24"/>
                <w:lang w:eastAsia="en-AU"/>
              </w:rPr>
            </w:pPr>
            <w:r w:rsidRPr="001E5FAC">
              <w:rPr>
                <w:rFonts w:eastAsia="Times New Roman" w:cs="Arial"/>
                <w:noProof/>
                <w:color w:val="000000"/>
                <w:szCs w:val="24"/>
                <w:lang w:eastAsia="en-AU"/>
              </w:rPr>
              <w:t>12: How will the introduction of AACFs in Class 6 shopping centres and Class 9b assembly buildings impact on your overall quality of life? Please indicate if this would differ under:</w:t>
            </w:r>
          </w:p>
          <w:p w:rsidR="00F1216C" w:rsidRDefault="00F1216C" w:rsidP="00A15416">
            <w:pPr>
              <w:pStyle w:val="ListParagraph"/>
              <w:numPr>
                <w:ilvl w:val="0"/>
                <w:numId w:val="46"/>
              </w:numPr>
              <w:spacing w:after="0" w:line="240" w:lineRule="auto"/>
              <w:ind w:left="360" w:hanging="468"/>
              <w:jc w:val="left"/>
              <w:rPr>
                <w:rFonts w:eastAsia="Times New Roman" w:cs="Arial"/>
                <w:color w:val="000000"/>
                <w:szCs w:val="24"/>
                <w:lang w:eastAsia="en-AU"/>
              </w:rPr>
            </w:pPr>
            <w:r>
              <w:rPr>
                <w:rFonts w:eastAsia="Times New Roman" w:cs="Arial"/>
                <w:color w:val="000000"/>
                <w:szCs w:val="24"/>
                <w:lang w:eastAsia="en-AU"/>
              </w:rPr>
              <w:t>Option A</w:t>
            </w:r>
          </w:p>
          <w:p w:rsidR="00F1216C" w:rsidRDefault="00F1216C" w:rsidP="00A15416">
            <w:pPr>
              <w:pStyle w:val="ListParagraph"/>
              <w:numPr>
                <w:ilvl w:val="0"/>
                <w:numId w:val="46"/>
              </w:numPr>
              <w:spacing w:after="0" w:line="240" w:lineRule="auto"/>
              <w:ind w:left="360" w:hanging="468"/>
              <w:jc w:val="left"/>
              <w:rPr>
                <w:rFonts w:eastAsia="Times New Roman" w:cs="Arial"/>
                <w:color w:val="000000"/>
                <w:szCs w:val="24"/>
                <w:lang w:eastAsia="en-AU"/>
              </w:rPr>
            </w:pPr>
            <w:r>
              <w:rPr>
                <w:rFonts w:eastAsia="Times New Roman" w:cs="Arial"/>
                <w:color w:val="000000"/>
                <w:szCs w:val="24"/>
                <w:lang w:eastAsia="en-AU"/>
              </w:rPr>
              <w:lastRenderedPageBreak/>
              <w:t>Option B</w:t>
            </w:r>
          </w:p>
          <w:p w:rsidR="00F1216C" w:rsidRDefault="00F1216C" w:rsidP="00A15416">
            <w:pPr>
              <w:pStyle w:val="ListParagraph"/>
              <w:numPr>
                <w:ilvl w:val="0"/>
                <w:numId w:val="46"/>
              </w:numPr>
              <w:spacing w:after="0" w:line="240" w:lineRule="auto"/>
              <w:ind w:left="360" w:hanging="468"/>
              <w:jc w:val="left"/>
              <w:rPr>
                <w:rFonts w:eastAsia="Times New Roman" w:cs="Arial"/>
                <w:color w:val="000000"/>
                <w:szCs w:val="24"/>
                <w:lang w:eastAsia="en-AU"/>
              </w:rPr>
            </w:pPr>
            <w:r>
              <w:rPr>
                <w:rFonts w:eastAsia="Times New Roman" w:cs="Arial"/>
                <w:color w:val="000000"/>
                <w:szCs w:val="24"/>
                <w:lang w:eastAsia="en-AU"/>
              </w:rPr>
              <w:t xml:space="preserve">Non-regulatory </w:t>
            </w:r>
            <w:r w:rsidR="001E30F2">
              <w:rPr>
                <w:rFonts w:eastAsia="Times New Roman" w:cs="Arial"/>
                <w:color w:val="000000"/>
                <w:szCs w:val="24"/>
                <w:lang w:eastAsia="en-AU"/>
              </w:rPr>
              <w:t>option</w:t>
            </w:r>
          </w:p>
          <w:p w:rsidR="00F1216C" w:rsidRPr="00F1216C" w:rsidRDefault="00F1216C" w:rsidP="00A15416">
            <w:pPr>
              <w:pStyle w:val="ListParagraph"/>
              <w:numPr>
                <w:ilvl w:val="0"/>
                <w:numId w:val="46"/>
              </w:numPr>
              <w:spacing w:after="0" w:line="240" w:lineRule="auto"/>
              <w:ind w:left="360" w:hanging="468"/>
              <w:jc w:val="left"/>
              <w:rPr>
                <w:rFonts w:eastAsia="Times New Roman" w:cs="Arial"/>
                <w:color w:val="000000"/>
                <w:szCs w:val="24"/>
                <w:lang w:eastAsia="en-AU"/>
              </w:rPr>
            </w:pPr>
            <w:r>
              <w:rPr>
                <w:rFonts w:eastAsia="Times New Roman" w:cs="Arial"/>
                <w:color w:val="000000"/>
                <w:szCs w:val="24"/>
                <w:lang w:eastAsia="en-AU"/>
              </w:rPr>
              <w:t>Co-location</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13: Are there other types of qualitative benefit that should be considered?</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1009AA">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 xml:space="preserve">14: Do you agree </w:t>
            </w:r>
            <w:r w:rsidRPr="001E5FAC">
              <w:rPr>
                <w:rFonts w:eastAsia="Times New Roman" w:cs="Arial"/>
                <w:color w:val="000000"/>
                <w:szCs w:val="24"/>
                <w:lang w:eastAsia="en-AU"/>
              </w:rPr>
              <w:t>with</w:t>
            </w:r>
            <w:r w:rsidRPr="001E5FAC">
              <w:rPr>
                <w:rFonts w:eastAsia="Times New Roman" w:cs="Arial"/>
                <w:noProof/>
                <w:color w:val="000000"/>
                <w:szCs w:val="24"/>
                <w:lang w:eastAsia="en-AU"/>
              </w:rPr>
              <w:t xml:space="preserve"> the preliminary finding that </w:t>
            </w:r>
            <w:r>
              <w:rPr>
                <w:rFonts w:eastAsia="Times New Roman" w:cs="Arial"/>
                <w:noProof/>
                <w:color w:val="000000"/>
                <w:szCs w:val="24"/>
                <w:lang w:eastAsia="en-AU"/>
              </w:rPr>
              <w:t xml:space="preserve">an </w:t>
            </w:r>
            <w:r w:rsidRPr="001E5FAC">
              <w:rPr>
                <w:rFonts w:eastAsia="Times New Roman" w:cs="Arial"/>
                <w:noProof/>
                <w:color w:val="000000"/>
                <w:szCs w:val="24"/>
                <w:lang w:eastAsia="en-AU"/>
              </w:rPr>
              <w:t>AACF be provided in Class 6 shopping centres larger than 10,000m</w:t>
            </w:r>
            <w:r w:rsidR="001009AA" w:rsidRPr="00145CFE">
              <w:rPr>
                <w:rFonts w:eastAsia="Times New Roman" w:cs="Arial"/>
                <w:noProof/>
                <w:color w:val="000000"/>
                <w:szCs w:val="24"/>
                <w:vertAlign w:val="superscript"/>
                <w:lang w:eastAsia="en-AU"/>
              </w:rPr>
              <w:t>2</w:t>
            </w:r>
            <w:r w:rsidRPr="001E5FAC">
              <w:rPr>
                <w:rFonts w:eastAsia="Times New Roman" w:cs="Arial"/>
                <w:noProof/>
                <w:color w:val="000000"/>
                <w:szCs w:val="24"/>
                <w:lang w:eastAsia="en-AU"/>
              </w:rPr>
              <w:t xml:space="preserve"> and Class 9b assembly buildings?</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 xml:space="preserve">15: </w:t>
            </w:r>
            <w:r w:rsidRPr="001E5FAC">
              <w:rPr>
                <w:rFonts w:eastAsia="Times New Roman" w:cs="Arial"/>
                <w:color w:val="000000"/>
                <w:szCs w:val="24"/>
                <w:lang w:eastAsia="en-AU"/>
              </w:rPr>
              <w:t>Should</w:t>
            </w:r>
            <w:r w:rsidRPr="001E5FAC">
              <w:rPr>
                <w:rFonts w:eastAsia="Times New Roman" w:cs="Arial"/>
                <w:noProof/>
                <w:color w:val="000000"/>
                <w:szCs w:val="24"/>
                <w:lang w:eastAsia="en-AU"/>
              </w:rPr>
              <w:t xml:space="preserve"> an AACF be allowed to be counted as an SASF?</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16: Should an AACF be allowed to be counted as an SASF only where there is at least one other SASF provided in its own right?</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17: What do you consider to be the policy implications of these findings?</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18: Do you agree that AACFs should be mandated for shopping centres with a design occupancy in excess of 2000 people?</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 xml:space="preserve">19: </w:t>
            </w:r>
            <w:r w:rsidRPr="001E5FAC">
              <w:rPr>
                <w:rFonts w:eastAsia="Times New Roman" w:cs="Arial"/>
                <w:color w:val="000000"/>
                <w:szCs w:val="24"/>
                <w:lang w:eastAsia="en-AU"/>
              </w:rPr>
              <w:t>Should</w:t>
            </w:r>
            <w:r w:rsidRPr="001E5FAC">
              <w:rPr>
                <w:rFonts w:eastAsia="Times New Roman" w:cs="Arial"/>
                <w:noProof/>
                <w:color w:val="000000"/>
                <w:szCs w:val="24"/>
                <w:lang w:eastAsia="en-AU"/>
              </w:rPr>
              <w:t xml:space="preserve"> AACFs be mandated for museums and stadiums? If so, what should the ‘cut-off’ thresholds be for incorporation into the NCC?</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 xml:space="preserve">20: Are </w:t>
            </w:r>
            <w:r w:rsidRPr="001E5FAC">
              <w:rPr>
                <w:rFonts w:eastAsia="Times New Roman" w:cs="Arial"/>
                <w:color w:val="000000"/>
                <w:szCs w:val="24"/>
                <w:lang w:eastAsia="en-AU"/>
              </w:rPr>
              <w:t>there</w:t>
            </w:r>
            <w:r w:rsidRPr="001E5FAC">
              <w:rPr>
                <w:rFonts w:eastAsia="Times New Roman" w:cs="Arial"/>
                <w:noProof/>
                <w:color w:val="000000"/>
                <w:szCs w:val="24"/>
                <w:lang w:eastAsia="en-AU"/>
              </w:rPr>
              <w:t xml:space="preserve"> any other thresholds apart from design occupancy/seating capacity that could be used to trigger the requirement for an AACF?</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21: Is the assumption that every visitor makes a 15</w:t>
            </w:r>
            <w:r w:rsidR="001D43E9">
              <w:rPr>
                <w:rFonts w:eastAsia="Times New Roman" w:cs="Arial"/>
                <w:noProof/>
                <w:color w:val="000000"/>
                <w:szCs w:val="24"/>
                <w:lang w:eastAsia="en-AU"/>
              </w:rPr>
              <w:t xml:space="preserve"> </w:t>
            </w:r>
            <w:r w:rsidRPr="001E5FAC">
              <w:rPr>
                <w:rFonts w:eastAsia="Times New Roman" w:cs="Arial"/>
                <w:noProof/>
                <w:color w:val="000000"/>
                <w:szCs w:val="24"/>
                <w:lang w:eastAsia="en-AU"/>
              </w:rPr>
              <w:t xml:space="preserve">km round trip, and that this trip takes 20 </w:t>
            </w:r>
            <w:r w:rsidRPr="001E5FAC">
              <w:rPr>
                <w:rFonts w:eastAsia="Times New Roman" w:cs="Arial"/>
                <w:color w:val="000000"/>
                <w:szCs w:val="24"/>
                <w:lang w:eastAsia="en-AU"/>
              </w:rPr>
              <w:t>minutes</w:t>
            </w:r>
            <w:r w:rsidRPr="001E5FAC">
              <w:rPr>
                <w:rFonts w:eastAsia="Times New Roman" w:cs="Arial"/>
                <w:noProof/>
                <w:color w:val="000000"/>
                <w:szCs w:val="24"/>
                <w:lang w:eastAsia="en-AU"/>
              </w:rPr>
              <w:t>, a reasonable assumption? Are you able to suggest an alternative assumption?</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1E5FAC" w:rsidTr="002A7DD8">
        <w:trPr>
          <w:trHeight w:val="310"/>
        </w:trPr>
        <w:tc>
          <w:tcPr>
            <w:tcW w:w="8931" w:type="dxa"/>
            <w:tcBorders>
              <w:top w:val="nil"/>
              <w:left w:val="nil"/>
              <w:bottom w:val="nil"/>
              <w:right w:val="nil"/>
            </w:tcBorders>
            <w:shd w:val="clear" w:color="auto" w:fill="auto"/>
            <w:noWrap/>
            <w:vAlign w:val="center"/>
            <w:hideMark/>
          </w:tcPr>
          <w:p w:rsidR="006E4649" w:rsidRPr="001E5FAC"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 xml:space="preserve">22: Do you agree with the assumptions regarding the number of ‘additional’ trips to shopping </w:t>
            </w:r>
            <w:r w:rsidRPr="001E5FAC">
              <w:rPr>
                <w:rFonts w:eastAsia="Times New Roman" w:cs="Arial"/>
                <w:color w:val="000000"/>
                <w:szCs w:val="24"/>
                <w:lang w:eastAsia="en-AU"/>
              </w:rPr>
              <w:t>centres</w:t>
            </w:r>
            <w:r w:rsidRPr="001E5FAC">
              <w:rPr>
                <w:rFonts w:eastAsia="Times New Roman" w:cs="Arial"/>
                <w:noProof/>
                <w:color w:val="000000"/>
                <w:szCs w:val="24"/>
                <w:lang w:eastAsia="en-AU"/>
              </w:rPr>
              <w:t>, museums and stadiums as a result of AACFs being introduced (1 for shopping centres, 0.5 for museums, and 4 for stadiums)? Are you able to suggest an alternative assumption?</w:t>
            </w:r>
          </w:p>
        </w:tc>
      </w:tr>
      <w:tr w:rsidR="006E4649" w:rsidRPr="001E5FAC" w:rsidTr="002A7DD8">
        <w:trPr>
          <w:trHeight w:val="310"/>
        </w:trPr>
        <w:tc>
          <w:tcPr>
            <w:tcW w:w="8931" w:type="dxa"/>
            <w:tcBorders>
              <w:top w:val="nil"/>
              <w:left w:val="nil"/>
              <w:bottom w:val="nil"/>
              <w:right w:val="nil"/>
            </w:tcBorders>
            <w:shd w:val="clear" w:color="auto" w:fill="auto"/>
            <w:noWrap/>
            <w:vAlign w:val="center"/>
          </w:tcPr>
          <w:p w:rsidR="006E4649" w:rsidRPr="001E5FAC" w:rsidRDefault="006E4649" w:rsidP="002A7DD8">
            <w:pPr>
              <w:spacing w:after="0" w:line="240" w:lineRule="auto"/>
              <w:jc w:val="left"/>
              <w:rPr>
                <w:rFonts w:eastAsia="Times New Roman" w:cs="Arial"/>
                <w:noProof/>
                <w:color w:val="000000"/>
                <w:szCs w:val="24"/>
                <w:lang w:eastAsia="en-AU"/>
              </w:rPr>
            </w:pPr>
          </w:p>
        </w:tc>
      </w:tr>
      <w:tr w:rsidR="006E4649" w:rsidRPr="00C75C7D" w:rsidTr="002A7DD8">
        <w:trPr>
          <w:trHeight w:val="310"/>
        </w:trPr>
        <w:tc>
          <w:tcPr>
            <w:tcW w:w="8931" w:type="dxa"/>
            <w:tcBorders>
              <w:top w:val="nil"/>
              <w:left w:val="nil"/>
              <w:bottom w:val="nil"/>
              <w:right w:val="nil"/>
            </w:tcBorders>
            <w:shd w:val="clear" w:color="auto" w:fill="auto"/>
            <w:noWrap/>
            <w:vAlign w:val="bottom"/>
            <w:hideMark/>
          </w:tcPr>
          <w:p w:rsidR="006E4649" w:rsidRPr="00C75C7D" w:rsidRDefault="006E4649" w:rsidP="00F1216C">
            <w:pPr>
              <w:spacing w:after="0" w:line="240" w:lineRule="auto"/>
              <w:ind w:left="-108"/>
              <w:jc w:val="left"/>
              <w:rPr>
                <w:rFonts w:eastAsia="Times New Roman" w:cs="Arial"/>
                <w:color w:val="000000"/>
                <w:szCs w:val="24"/>
                <w:lang w:eastAsia="en-AU"/>
              </w:rPr>
            </w:pPr>
            <w:r w:rsidRPr="001E5FAC">
              <w:rPr>
                <w:rFonts w:eastAsia="Times New Roman" w:cs="Arial"/>
                <w:noProof/>
                <w:color w:val="000000"/>
                <w:szCs w:val="24"/>
                <w:lang w:eastAsia="en-AU"/>
              </w:rPr>
              <w:t xml:space="preserve">23: Do you agree with the assumptions regarding the estimated entry fee and additional </w:t>
            </w:r>
            <w:r w:rsidRPr="001E5FAC">
              <w:rPr>
                <w:rFonts w:eastAsia="Times New Roman" w:cs="Arial"/>
                <w:color w:val="000000"/>
                <w:szCs w:val="24"/>
                <w:lang w:eastAsia="en-AU"/>
              </w:rPr>
              <w:t>spending</w:t>
            </w:r>
            <w:r w:rsidRPr="001E5FAC">
              <w:rPr>
                <w:rFonts w:eastAsia="Times New Roman" w:cs="Arial"/>
                <w:noProof/>
                <w:color w:val="000000"/>
                <w:szCs w:val="24"/>
                <w:lang w:eastAsia="en-AU"/>
              </w:rPr>
              <w:t xml:space="preserve"> for museums and stadiums? Are you able to suggest an alternative assumption?</w:t>
            </w:r>
          </w:p>
        </w:tc>
      </w:tr>
    </w:tbl>
    <w:p w:rsidR="00842982" w:rsidRDefault="00842982" w:rsidP="00237305">
      <w:pPr>
        <w:pStyle w:val="EYBodytextwithparaspace"/>
      </w:pPr>
    </w:p>
    <w:p w:rsidR="00842982" w:rsidRDefault="00842982" w:rsidP="00842982">
      <w:pPr>
        <w:pStyle w:val="EYAppendix"/>
        <w:numPr>
          <w:ilvl w:val="0"/>
          <w:numId w:val="0"/>
        </w:numPr>
        <w:rPr>
          <w:highlight w:val="lightGray"/>
        </w:rPr>
      </w:pPr>
      <w:bookmarkStart w:id="619" w:name="_Toc504063193"/>
      <w:bookmarkStart w:id="620" w:name="_Toc504388883"/>
      <w:bookmarkStart w:id="621" w:name="_Toc504401734"/>
      <w:bookmarkStart w:id="622" w:name="_Ref505349576"/>
      <w:bookmarkStart w:id="623" w:name="_Ref505353067"/>
      <w:bookmarkStart w:id="624" w:name="_Ref505353081"/>
      <w:bookmarkStart w:id="625" w:name="_Ref506213485"/>
      <w:bookmarkStart w:id="626" w:name="_Ref517870801"/>
      <w:bookmarkStart w:id="627" w:name="_Ref518576364"/>
      <w:r>
        <w:rPr>
          <w:highlight w:val="lightGray"/>
        </w:rPr>
        <w:br w:type="page"/>
      </w:r>
    </w:p>
    <w:bookmarkEnd w:id="619"/>
    <w:bookmarkEnd w:id="620"/>
    <w:bookmarkEnd w:id="621"/>
    <w:bookmarkEnd w:id="622"/>
    <w:bookmarkEnd w:id="623"/>
    <w:bookmarkEnd w:id="624"/>
    <w:bookmarkEnd w:id="625"/>
    <w:bookmarkEnd w:id="626"/>
    <w:bookmarkEnd w:id="627"/>
    <w:p w:rsidR="006B634F" w:rsidRPr="006B634F" w:rsidRDefault="00E375DA" w:rsidP="006B634F">
      <w:r>
        <w:rPr>
          <w:noProof/>
          <w:lang w:eastAsia="en-AU"/>
        </w:rPr>
        <w:lastRenderedPageBreak/>
        <mc:AlternateContent>
          <mc:Choice Requires="wps">
            <w:drawing>
              <wp:anchor distT="0" distB="0" distL="114300" distR="114300" simplePos="0" relativeHeight="251658249" behindDoc="0" locked="0" layoutInCell="1" allowOverlap="1" wp14:anchorId="0F677E71" wp14:editId="106A6D7A">
                <wp:simplePos x="0" y="0"/>
                <wp:positionH relativeFrom="column">
                  <wp:posOffset>-862330</wp:posOffset>
                </wp:positionH>
                <wp:positionV relativeFrom="paragraph">
                  <wp:posOffset>-1373505</wp:posOffset>
                </wp:positionV>
                <wp:extent cx="5953125" cy="6779172"/>
                <wp:effectExtent l="0" t="0" r="0"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779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CFE" w:rsidRPr="00245A3B" w:rsidRDefault="00145CFE" w:rsidP="00E375DA">
                            <w:pPr>
                              <w:jc w:val="left"/>
                              <w:rPr>
                                <w:sz w:val="18"/>
                              </w:rPr>
                            </w:pPr>
                            <w:r w:rsidRPr="00245A3B">
                              <w:rPr>
                                <w:b/>
                                <w:sz w:val="18"/>
                              </w:rPr>
                              <w:t>EY</w:t>
                            </w:r>
                            <w:r w:rsidRPr="00245A3B">
                              <w:rPr>
                                <w:sz w:val="18"/>
                              </w:rPr>
                              <w:t xml:space="preserve"> | Assurance | Tax | Transactions | Advisory</w:t>
                            </w:r>
                          </w:p>
                          <w:p w:rsidR="00145CFE" w:rsidRPr="00245A3B" w:rsidRDefault="00145CFE" w:rsidP="00E375DA">
                            <w:pPr>
                              <w:jc w:val="left"/>
                              <w:rPr>
                                <w:sz w:val="18"/>
                              </w:rPr>
                            </w:pPr>
                          </w:p>
                          <w:p w:rsidR="00145CFE" w:rsidRPr="00245A3B" w:rsidRDefault="00145CFE" w:rsidP="00E375DA">
                            <w:pPr>
                              <w:jc w:val="left"/>
                              <w:rPr>
                                <w:sz w:val="18"/>
                              </w:rPr>
                            </w:pPr>
                            <w:r w:rsidRPr="00245A3B">
                              <w:rPr>
                                <w:sz w:val="18"/>
                              </w:rPr>
                              <w:t>About EY</w:t>
                            </w:r>
                          </w:p>
                          <w:p w:rsidR="00145CFE" w:rsidRPr="00245A3B" w:rsidRDefault="00145CFE" w:rsidP="00E375DA">
                            <w:pPr>
                              <w:spacing w:after="105"/>
                              <w:jc w:val="left"/>
                              <w:rPr>
                                <w:rFonts w:cs="Arial"/>
                                <w:sz w:val="18"/>
                              </w:rPr>
                            </w:pPr>
                            <w:r w:rsidRPr="00245A3B">
                              <w:rPr>
                                <w:rFonts w:cs="Arial"/>
                                <w:sz w:val="18"/>
                              </w:rPr>
                              <w:t>EY is a global leader in assurance, tax, transaction and advisory services. The insights and quality services we deliver help build trust and confidence in the capital markets and in economies the world over. We develop outstanding leaders who team to deliver on our promises to all of our stakeholders. In so doing, we play a critical role in building a better working world for our people, for our clients and for our communities.</w:t>
                            </w:r>
                          </w:p>
                          <w:p w:rsidR="00145CFE" w:rsidRPr="00245A3B" w:rsidRDefault="00145CFE" w:rsidP="00E375DA">
                            <w:pPr>
                              <w:spacing w:after="105"/>
                              <w:jc w:val="left"/>
                              <w:rPr>
                                <w:rFonts w:cs="Arial"/>
                                <w:sz w:val="18"/>
                              </w:rPr>
                            </w:pPr>
                            <w:r w:rsidRPr="00245A3B">
                              <w:rPr>
                                <w:rFonts w:cs="Arial"/>
                                <w:sz w:val="18"/>
                              </w:rPr>
                              <w:t>EY refers to the global organisation and may refer to one or more of the member firms of Ernst &amp; Young Global Limited, each of which is a separate legal entity. Ernst &amp; Young Global Limited, a UK company limited by guarantee, does not provide services to clients. For more information about our organisation, please visit ey.com.</w:t>
                            </w:r>
                          </w:p>
                          <w:p w:rsidR="00145CFE" w:rsidRPr="00245A3B" w:rsidRDefault="00145CFE" w:rsidP="00E375DA">
                            <w:pPr>
                              <w:spacing w:after="105"/>
                              <w:jc w:val="left"/>
                              <w:rPr>
                                <w:rFonts w:cs="Arial"/>
                                <w:sz w:val="18"/>
                              </w:rPr>
                            </w:pPr>
                            <w:r w:rsidRPr="00245A3B">
                              <w:rPr>
                                <w:rFonts w:cs="Arial"/>
                                <w:sz w:val="18"/>
                              </w:rPr>
                              <w:t>© 2018 Ernst &amp; Young, Australia</w:t>
                            </w:r>
                            <w:r w:rsidRPr="00245A3B">
                              <w:rPr>
                                <w:rFonts w:cs="Arial"/>
                                <w:sz w:val="18"/>
                              </w:rPr>
                              <w:br/>
                              <w:t>All Rights Reserved.</w:t>
                            </w:r>
                          </w:p>
                          <w:p w:rsidR="00145CFE" w:rsidRPr="00245A3B" w:rsidRDefault="00145CFE" w:rsidP="00E375DA">
                            <w:pPr>
                              <w:spacing w:after="105"/>
                              <w:jc w:val="left"/>
                              <w:rPr>
                                <w:rFonts w:cs="Arial"/>
                                <w:sz w:val="18"/>
                              </w:rPr>
                            </w:pPr>
                            <w:r w:rsidRPr="00245A3B">
                              <w:rPr>
                                <w:rFonts w:cs="Arial"/>
                                <w:sz w:val="18"/>
                              </w:rPr>
                              <w:t xml:space="preserve">Ernst &amp; Young is a registered trademark. </w:t>
                            </w:r>
                            <w:r w:rsidRPr="009F494B">
                              <w:rPr>
                                <w:rFonts w:cs="Arial"/>
                                <w:sz w:val="18"/>
                              </w:rPr>
                              <w:t>Our report may be relied upon by the ABCB for the purpose of this Final RIS in relation to accessible adult change facilities only pursuant to the terms of our engagement letter dated 26 October 2017</w:t>
                            </w:r>
                            <w:r>
                              <w:rPr>
                                <w:rFonts w:cs="Arial"/>
                                <w:sz w:val="18"/>
                              </w:rPr>
                              <w:t xml:space="preserve"> </w:t>
                            </w:r>
                            <w:r w:rsidRPr="009F494B">
                              <w:rPr>
                                <w:rFonts w:cs="Arial"/>
                                <w:sz w:val="18"/>
                              </w:rPr>
                              <w:t xml:space="preserve">and the </w:t>
                            </w:r>
                            <w:r>
                              <w:rPr>
                                <w:rFonts w:cs="Arial"/>
                                <w:sz w:val="18"/>
                              </w:rPr>
                              <w:t xml:space="preserve">annexures and schedules of the </w:t>
                            </w:r>
                            <w:r w:rsidRPr="009F494B">
                              <w:rPr>
                                <w:rFonts w:cs="Arial"/>
                                <w:sz w:val="18"/>
                              </w:rPr>
                              <w:t>Deed of Variation dated 23 May 2018.</w:t>
                            </w:r>
                            <w:r w:rsidRPr="00245A3B">
                              <w:rPr>
                                <w:rFonts w:cs="Arial"/>
                                <w:sz w:val="18"/>
                              </w:rPr>
                              <w:t xml:space="preserve"> We disclaim all responsibility to any other party for any loss or liability that the other party may suffer or incur arising from or relating to or in any way connected with the contents of our report, the provision of our report to the other party or the reliance upon our report by the other party.</w:t>
                            </w:r>
                          </w:p>
                          <w:p w:rsidR="00145CFE" w:rsidRPr="00245A3B" w:rsidRDefault="00145CFE" w:rsidP="00E375DA">
                            <w:pPr>
                              <w:spacing w:after="105"/>
                              <w:jc w:val="left"/>
                              <w:rPr>
                                <w:sz w:val="18"/>
                              </w:rPr>
                            </w:pPr>
                            <w:r w:rsidRPr="00245A3B">
                              <w:rPr>
                                <w:rFonts w:cs="Arial"/>
                                <w:sz w:val="18"/>
                              </w:rPr>
                              <w:t>Liability limited by a scheme approved under Professional Standards Legislation.</w:t>
                            </w:r>
                          </w:p>
                          <w:p w:rsidR="00145CFE" w:rsidRPr="00245A3B" w:rsidRDefault="00145CFE" w:rsidP="00E375DA">
                            <w:pPr>
                              <w:jc w:val="left"/>
                              <w:rPr>
                                <w:sz w:val="18"/>
                              </w:rPr>
                            </w:pPr>
                            <w:r w:rsidRPr="00245A3B">
                              <w:rPr>
                                <w:sz w:val="18"/>
                              </w:rPr>
                              <w:t>ey.com</w:t>
                            </w:r>
                          </w:p>
                        </w:txbxContent>
                      </wps:txbx>
                      <wps:bodyPr rot="0" vert="horz" wrap="square" lIns="685800" tIns="685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7E71" id="Text Box 5" o:spid="_x0000_s1028" type="#_x0000_t202" style="position:absolute;left:0;text-align:left;margin-left:-67.9pt;margin-top:-108.15pt;width:468.75pt;height:533.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" filled="f" stroked="f">
                <v:textbox inset="54pt,54pt">
                  <w:txbxContent>
                    <w:p w:rsidR="00145CFE" w:rsidRPr="00245A3B" w:rsidRDefault="00145CFE" w:rsidP="00E375DA">
                      <w:pPr>
                        <w:jc w:val="left"/>
                        <w:rPr>
                          <w:sz w:val="18"/>
                        </w:rPr>
                      </w:pPr>
                      <w:r w:rsidRPr="00245A3B">
                        <w:rPr>
                          <w:b/>
                          <w:sz w:val="18"/>
                        </w:rPr>
                        <w:t>EY</w:t>
                      </w:r>
                      <w:r w:rsidRPr="00245A3B">
                        <w:rPr>
                          <w:sz w:val="18"/>
                        </w:rPr>
                        <w:t xml:space="preserve"> | Assurance | Tax | Transactions | Advisory</w:t>
                      </w:r>
                    </w:p>
                    <w:p w:rsidR="00145CFE" w:rsidRPr="00245A3B" w:rsidRDefault="00145CFE" w:rsidP="00E375DA">
                      <w:pPr>
                        <w:jc w:val="left"/>
                        <w:rPr>
                          <w:sz w:val="18"/>
                        </w:rPr>
                      </w:pPr>
                    </w:p>
                    <w:p w:rsidR="00145CFE" w:rsidRPr="00245A3B" w:rsidRDefault="00145CFE" w:rsidP="00E375DA">
                      <w:pPr>
                        <w:jc w:val="left"/>
                        <w:rPr>
                          <w:sz w:val="18"/>
                        </w:rPr>
                      </w:pPr>
                      <w:r w:rsidRPr="00245A3B">
                        <w:rPr>
                          <w:sz w:val="18"/>
                        </w:rPr>
                        <w:t>About EY</w:t>
                      </w:r>
                    </w:p>
                    <w:p w:rsidR="00145CFE" w:rsidRPr="00245A3B" w:rsidRDefault="00145CFE" w:rsidP="00E375DA">
                      <w:pPr>
                        <w:spacing w:after="105"/>
                        <w:jc w:val="left"/>
                        <w:rPr>
                          <w:rFonts w:cs="Arial"/>
                          <w:sz w:val="18"/>
                        </w:rPr>
                      </w:pPr>
                      <w:r w:rsidRPr="00245A3B">
                        <w:rPr>
                          <w:rFonts w:cs="Arial"/>
                          <w:sz w:val="18"/>
                        </w:rPr>
                        <w:t>EY is a global leader in assurance, tax, transaction and advisory services. The insights and quality services we deliver help build trust and confidence in the capital markets and in economies the world over. We develop outstanding leaders who team to deliver on our promises to all of our stakeholders. In so doing, we play a critical role in building a better working world for our people, for our clients and for our communities.</w:t>
                      </w:r>
                    </w:p>
                    <w:p w:rsidR="00145CFE" w:rsidRPr="00245A3B" w:rsidRDefault="00145CFE" w:rsidP="00E375DA">
                      <w:pPr>
                        <w:spacing w:after="105"/>
                        <w:jc w:val="left"/>
                        <w:rPr>
                          <w:rFonts w:cs="Arial"/>
                          <w:sz w:val="18"/>
                        </w:rPr>
                      </w:pPr>
                      <w:r w:rsidRPr="00245A3B">
                        <w:rPr>
                          <w:rFonts w:cs="Arial"/>
                          <w:sz w:val="18"/>
                        </w:rPr>
                        <w:t>EY refers to the global organisation and may refer to one or more of the member firms of Ernst &amp; Young Global Limited, each of which is a separate legal entity. Ernst &amp; Young Global Limited, a UK company limited by guarantee, does not provide services to clients. For more information about our organisation, please visit ey.com.</w:t>
                      </w:r>
                    </w:p>
                    <w:p w:rsidR="00145CFE" w:rsidRPr="00245A3B" w:rsidRDefault="00145CFE" w:rsidP="00E375DA">
                      <w:pPr>
                        <w:spacing w:after="105"/>
                        <w:jc w:val="left"/>
                        <w:rPr>
                          <w:rFonts w:cs="Arial"/>
                          <w:sz w:val="18"/>
                        </w:rPr>
                      </w:pPr>
                      <w:r w:rsidRPr="00245A3B">
                        <w:rPr>
                          <w:rFonts w:cs="Arial"/>
                          <w:sz w:val="18"/>
                        </w:rPr>
                        <w:t>© 2018 Ernst &amp; Young, Australia</w:t>
                      </w:r>
                      <w:r w:rsidRPr="00245A3B">
                        <w:rPr>
                          <w:rFonts w:cs="Arial"/>
                          <w:sz w:val="18"/>
                        </w:rPr>
                        <w:br/>
                        <w:t>All Rights Reserved.</w:t>
                      </w:r>
                    </w:p>
                    <w:p w:rsidR="00145CFE" w:rsidRPr="00245A3B" w:rsidRDefault="00145CFE" w:rsidP="00E375DA">
                      <w:pPr>
                        <w:spacing w:after="105"/>
                        <w:jc w:val="left"/>
                        <w:rPr>
                          <w:rFonts w:cs="Arial"/>
                          <w:sz w:val="18"/>
                        </w:rPr>
                      </w:pPr>
                      <w:r w:rsidRPr="00245A3B">
                        <w:rPr>
                          <w:rFonts w:cs="Arial"/>
                          <w:sz w:val="18"/>
                        </w:rPr>
                        <w:t xml:space="preserve">Ernst &amp; Young is a registered trademark. </w:t>
                      </w:r>
                      <w:r w:rsidRPr="009F494B">
                        <w:rPr>
                          <w:rFonts w:cs="Arial"/>
                          <w:sz w:val="18"/>
                        </w:rPr>
                        <w:t>Our report may be relied upon by the ABCB for the purpose of this Final RIS in relation to accessible adult change facilities only pursuant to the terms of our engagement letter dated 26 October 2017</w:t>
                      </w:r>
                      <w:r>
                        <w:rPr>
                          <w:rFonts w:cs="Arial"/>
                          <w:sz w:val="18"/>
                        </w:rPr>
                        <w:t xml:space="preserve"> </w:t>
                      </w:r>
                      <w:r w:rsidRPr="009F494B">
                        <w:rPr>
                          <w:rFonts w:cs="Arial"/>
                          <w:sz w:val="18"/>
                        </w:rPr>
                        <w:t xml:space="preserve">and the </w:t>
                      </w:r>
                      <w:r>
                        <w:rPr>
                          <w:rFonts w:cs="Arial"/>
                          <w:sz w:val="18"/>
                        </w:rPr>
                        <w:t xml:space="preserve">annexures and schedules of the </w:t>
                      </w:r>
                      <w:r w:rsidRPr="009F494B">
                        <w:rPr>
                          <w:rFonts w:cs="Arial"/>
                          <w:sz w:val="18"/>
                        </w:rPr>
                        <w:t>Deed of Variation dated 23 May 2018.</w:t>
                      </w:r>
                      <w:r w:rsidRPr="00245A3B">
                        <w:rPr>
                          <w:rFonts w:cs="Arial"/>
                          <w:sz w:val="18"/>
                        </w:rPr>
                        <w:t xml:space="preserve"> We disclaim all responsibility to any other party for any loss or liability that the other party may suffer or incur arising from or relating to or in any way connected with the contents of our report, the provision of our report to the other party or the reliance upon our report by the other party.</w:t>
                      </w:r>
                    </w:p>
                    <w:p w:rsidR="00145CFE" w:rsidRPr="00245A3B" w:rsidRDefault="00145CFE" w:rsidP="00E375DA">
                      <w:pPr>
                        <w:spacing w:after="105"/>
                        <w:jc w:val="left"/>
                        <w:rPr>
                          <w:sz w:val="18"/>
                        </w:rPr>
                      </w:pPr>
                      <w:r w:rsidRPr="00245A3B">
                        <w:rPr>
                          <w:rFonts w:cs="Arial"/>
                          <w:sz w:val="18"/>
                        </w:rPr>
                        <w:t>Liability limited by a scheme approved under Professional Standards Legislation.</w:t>
                      </w:r>
                    </w:p>
                    <w:p w:rsidR="00145CFE" w:rsidRPr="00245A3B" w:rsidRDefault="00145CFE" w:rsidP="00E375DA">
                      <w:pPr>
                        <w:jc w:val="left"/>
                        <w:rPr>
                          <w:sz w:val="18"/>
                        </w:rPr>
                      </w:pPr>
                      <w:r w:rsidRPr="00245A3B">
                        <w:rPr>
                          <w:sz w:val="18"/>
                        </w:rPr>
                        <w:t>ey.com</w:t>
                      </w:r>
                    </w:p>
                  </w:txbxContent>
                </v:textbox>
              </v:shape>
            </w:pict>
          </mc:Fallback>
        </mc:AlternateContent>
      </w:r>
    </w:p>
    <w:sectPr w:rsidR="006B634F" w:rsidRPr="006B634F" w:rsidSect="00245A3B">
      <w:footerReference w:type="default" r:id="rId20"/>
      <w:pgSz w:w="11906" w:h="16838" w:code="9"/>
      <w:pgMar w:top="2268" w:right="851"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36A" w:rsidRDefault="0004036A" w:rsidP="00286852">
      <w:pPr>
        <w:spacing w:after="0" w:line="240" w:lineRule="auto"/>
      </w:pPr>
      <w:r>
        <w:separator/>
      </w:r>
    </w:p>
  </w:endnote>
  <w:endnote w:type="continuationSeparator" w:id="0">
    <w:p w:rsidR="0004036A" w:rsidRDefault="0004036A" w:rsidP="00286852">
      <w:pPr>
        <w:spacing w:after="0" w:line="240" w:lineRule="auto"/>
      </w:pPr>
      <w:r>
        <w:continuationSeparator/>
      </w:r>
    </w:p>
  </w:endnote>
  <w:endnote w:type="continuationNotice" w:id="1">
    <w:p w:rsidR="0004036A" w:rsidRDefault="00040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Interstate">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CFE" w:rsidRPr="00EF3069" w:rsidRDefault="00145CFE" w:rsidP="00EF3069">
    <w:pPr>
      <w:spacing w:after="0"/>
      <w:rPr>
        <w:sz w:val="2"/>
        <w:szCs w:val="2"/>
      </w:rPr>
    </w:pPr>
  </w:p>
  <w:tbl>
    <w:tblPr>
      <w:tblW w:w="5000" w:type="pct"/>
      <w:jc w:val="right"/>
      <w:tblLook w:val="0000" w:firstRow="0" w:lastRow="0" w:firstColumn="0" w:lastColumn="0" w:noHBand="0" w:noVBand="0"/>
    </w:tblPr>
    <w:tblGrid>
      <w:gridCol w:w="7868"/>
      <w:gridCol w:w="1769"/>
    </w:tblGrid>
    <w:tr w:rsidR="00145CFE" w:rsidTr="0013082F">
      <w:trPr>
        <w:trHeight w:val="187"/>
        <w:jc w:val="right"/>
      </w:trPr>
      <w:tc>
        <w:tcPr>
          <w:tcW w:w="7460" w:type="dxa"/>
        </w:tcPr>
        <w:p w:rsidR="00145CFE" w:rsidRPr="00063078" w:rsidRDefault="00145CFE" w:rsidP="00AB4D6F">
          <w:pPr>
            <w:pStyle w:val="Footer"/>
            <w:ind w:left="-108"/>
            <w:rPr>
              <w:szCs w:val="16"/>
            </w:rPr>
          </w:pPr>
          <w:r w:rsidRPr="007876FC">
            <w:rPr>
              <w:szCs w:val="24"/>
            </w:rPr>
            <w:t>Department of Industry, Innovation and Science</w:t>
          </w:r>
        </w:p>
      </w:tc>
      <w:tc>
        <w:tcPr>
          <w:tcW w:w="1677" w:type="dxa"/>
        </w:tcPr>
        <w:p w:rsidR="00145CFE" w:rsidRPr="00625D2E" w:rsidRDefault="00145CFE" w:rsidP="0013082F">
          <w:pPr>
            <w:pStyle w:val="Footer"/>
            <w:rPr>
              <w:szCs w:val="16"/>
            </w:rPr>
          </w:pPr>
        </w:p>
      </w:tc>
    </w:tr>
    <w:tr w:rsidR="00145CFE" w:rsidTr="0013082F">
      <w:trPr>
        <w:trHeight w:val="187"/>
        <w:jc w:val="right"/>
      </w:trPr>
      <w:tc>
        <w:tcPr>
          <w:tcW w:w="7460" w:type="dxa"/>
        </w:tcPr>
        <w:p w:rsidR="00145CFE" w:rsidRPr="002F5410" w:rsidRDefault="00145CFE" w:rsidP="00AB4D6F">
          <w:pPr>
            <w:pStyle w:val="EYCoverDate"/>
            <w:spacing w:line="240" w:lineRule="auto"/>
            <w:ind w:left="-108"/>
            <w:rPr>
              <w:b w:val="0"/>
              <w:color w:val="auto"/>
              <w:sz w:val="16"/>
            </w:rPr>
          </w:pPr>
          <w:r>
            <w:rPr>
              <w:b w:val="0"/>
              <w:color w:val="auto"/>
              <w:sz w:val="16"/>
            </w:rPr>
            <w:t>Accessible</w:t>
          </w:r>
          <w:r w:rsidRPr="002F5410">
            <w:rPr>
              <w:b w:val="0"/>
              <w:color w:val="auto"/>
              <w:sz w:val="16"/>
            </w:rPr>
            <w:t xml:space="preserve"> adult change facilities in public buildings</w:t>
          </w:r>
        </w:p>
        <w:p w:rsidR="00145CFE" w:rsidRPr="00063078" w:rsidRDefault="00145CFE" w:rsidP="0013082F">
          <w:pPr>
            <w:pStyle w:val="Footer"/>
            <w:rPr>
              <w:szCs w:val="16"/>
            </w:rPr>
          </w:pPr>
        </w:p>
      </w:tc>
      <w:tc>
        <w:tcPr>
          <w:tcW w:w="1677" w:type="dxa"/>
        </w:tcPr>
        <w:p w:rsidR="00145CFE" w:rsidRDefault="00145CFE" w:rsidP="0013082F">
          <w:pPr>
            <w:pStyle w:val="Footer"/>
            <w:jc w:val="right"/>
            <w:rPr>
              <w:szCs w:val="16"/>
            </w:rPr>
          </w:pPr>
          <w:r>
            <w:rPr>
              <w:szCs w:val="16"/>
            </w:rPr>
            <w:t>EY</w:t>
          </w:r>
          <w:r w:rsidRPr="00625D2E">
            <w:rPr>
              <w:szCs w:val="16"/>
            </w:rPr>
            <w:t xml:space="preserve"> </w:t>
          </w:r>
          <w:r w:rsidRPr="00625D2E">
            <w:rPr>
              <w:szCs w:val="16"/>
            </w:rPr>
            <w:sym w:font="Symbol" w:char="F0F7"/>
          </w:r>
          <w:r w:rsidRPr="00625D2E">
            <w:rPr>
              <w:szCs w:val="16"/>
            </w:rPr>
            <w:t xml:space="preserve"> </w:t>
          </w:r>
          <w:r>
            <w:rPr>
              <w:szCs w:val="16"/>
            </w:rPr>
            <w:t xml:space="preserve"> </w:t>
          </w:r>
          <w:r w:rsidRPr="00D3139D">
            <w:rPr>
              <w:szCs w:val="16"/>
            </w:rPr>
            <w:fldChar w:fldCharType="begin"/>
          </w:r>
          <w:r w:rsidRPr="00D3139D">
            <w:rPr>
              <w:szCs w:val="16"/>
            </w:rPr>
            <w:instrText xml:space="preserve"> PAGE </w:instrText>
          </w:r>
          <w:r w:rsidRPr="00D3139D">
            <w:rPr>
              <w:szCs w:val="16"/>
            </w:rPr>
            <w:fldChar w:fldCharType="separate"/>
          </w:r>
          <w:r w:rsidR="00C20CA7">
            <w:rPr>
              <w:noProof/>
              <w:szCs w:val="16"/>
            </w:rPr>
            <w:t>i</w:t>
          </w:r>
          <w:r w:rsidRPr="00D3139D">
            <w:rPr>
              <w:szCs w:val="16"/>
            </w:rPr>
            <w:fldChar w:fldCharType="end"/>
          </w:r>
        </w:p>
      </w:tc>
    </w:tr>
  </w:tbl>
  <w:p w:rsidR="00145CFE" w:rsidRPr="00EF3069" w:rsidRDefault="00145CFE" w:rsidP="00220789">
    <w:pPr>
      <w:pStyle w:val="Footer"/>
      <w:rPr>
        <w:b/>
        <w:bCs/>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CFE" w:rsidRPr="00EF3069" w:rsidRDefault="00145CFE" w:rsidP="00EF3069">
    <w:pPr>
      <w:spacing w:after="0"/>
      <w:rPr>
        <w:sz w:val="2"/>
        <w:szCs w:val="2"/>
      </w:rPr>
    </w:pPr>
  </w:p>
  <w:tbl>
    <w:tblPr>
      <w:tblW w:w="5000" w:type="pct"/>
      <w:jc w:val="right"/>
      <w:tblLook w:val="0000" w:firstRow="0" w:lastRow="0" w:firstColumn="0" w:lastColumn="0" w:noHBand="0" w:noVBand="0"/>
    </w:tblPr>
    <w:tblGrid>
      <w:gridCol w:w="7868"/>
      <w:gridCol w:w="1769"/>
    </w:tblGrid>
    <w:tr w:rsidR="00145CFE" w:rsidTr="00245A3B">
      <w:trPr>
        <w:trHeight w:val="187"/>
        <w:jc w:val="right"/>
      </w:trPr>
      <w:tc>
        <w:tcPr>
          <w:tcW w:w="7460" w:type="dxa"/>
        </w:tcPr>
        <w:p w:rsidR="00145CFE" w:rsidRPr="00063078" w:rsidRDefault="00145CFE" w:rsidP="00245A3B">
          <w:pPr>
            <w:pStyle w:val="Footer"/>
            <w:ind w:left="-108"/>
            <w:rPr>
              <w:szCs w:val="16"/>
            </w:rPr>
          </w:pPr>
          <w:r w:rsidRPr="007876FC">
            <w:rPr>
              <w:szCs w:val="24"/>
            </w:rPr>
            <w:t>Department of Industry, Innovation and Science</w:t>
          </w:r>
        </w:p>
      </w:tc>
      <w:tc>
        <w:tcPr>
          <w:tcW w:w="1677" w:type="dxa"/>
        </w:tcPr>
        <w:p w:rsidR="00145CFE" w:rsidRPr="00625D2E" w:rsidRDefault="00145CFE" w:rsidP="00245A3B">
          <w:pPr>
            <w:pStyle w:val="Footer"/>
            <w:rPr>
              <w:szCs w:val="16"/>
            </w:rPr>
          </w:pPr>
        </w:p>
      </w:tc>
    </w:tr>
    <w:tr w:rsidR="00145CFE" w:rsidTr="00245A3B">
      <w:trPr>
        <w:trHeight w:val="187"/>
        <w:jc w:val="right"/>
      </w:trPr>
      <w:tc>
        <w:tcPr>
          <w:tcW w:w="7460" w:type="dxa"/>
        </w:tcPr>
        <w:p w:rsidR="00145CFE" w:rsidRPr="002F5410" w:rsidRDefault="00145CFE" w:rsidP="00245A3B">
          <w:pPr>
            <w:pStyle w:val="EYCoverDate"/>
            <w:spacing w:line="240" w:lineRule="auto"/>
            <w:ind w:left="-108"/>
            <w:rPr>
              <w:b w:val="0"/>
              <w:color w:val="auto"/>
              <w:sz w:val="16"/>
            </w:rPr>
          </w:pPr>
          <w:r>
            <w:rPr>
              <w:b w:val="0"/>
              <w:color w:val="auto"/>
              <w:sz w:val="16"/>
            </w:rPr>
            <w:t>Accessible</w:t>
          </w:r>
          <w:r w:rsidRPr="002F5410">
            <w:rPr>
              <w:b w:val="0"/>
              <w:color w:val="auto"/>
              <w:sz w:val="16"/>
            </w:rPr>
            <w:t xml:space="preserve"> adult change facilities in public buildings</w:t>
          </w:r>
        </w:p>
        <w:p w:rsidR="00145CFE" w:rsidRPr="00063078" w:rsidRDefault="00145CFE" w:rsidP="00245A3B">
          <w:pPr>
            <w:pStyle w:val="Footer"/>
            <w:rPr>
              <w:szCs w:val="16"/>
            </w:rPr>
          </w:pPr>
        </w:p>
      </w:tc>
      <w:tc>
        <w:tcPr>
          <w:tcW w:w="1677" w:type="dxa"/>
        </w:tcPr>
        <w:p w:rsidR="00145CFE" w:rsidRDefault="00145CFE" w:rsidP="00245A3B">
          <w:pPr>
            <w:pStyle w:val="Footer"/>
            <w:jc w:val="right"/>
            <w:rPr>
              <w:szCs w:val="16"/>
            </w:rPr>
          </w:pPr>
          <w:r>
            <w:rPr>
              <w:szCs w:val="16"/>
            </w:rPr>
            <w:t>EY</w:t>
          </w:r>
          <w:r w:rsidRPr="00625D2E">
            <w:rPr>
              <w:szCs w:val="16"/>
            </w:rPr>
            <w:t xml:space="preserve"> </w:t>
          </w:r>
          <w:r w:rsidRPr="00625D2E">
            <w:rPr>
              <w:szCs w:val="16"/>
            </w:rPr>
            <w:sym w:font="Symbol" w:char="F0F7"/>
          </w:r>
          <w:r w:rsidRPr="00625D2E">
            <w:rPr>
              <w:szCs w:val="16"/>
            </w:rPr>
            <w:t xml:space="preserve"> </w:t>
          </w:r>
          <w:r>
            <w:rPr>
              <w:szCs w:val="16"/>
            </w:rPr>
            <w:t xml:space="preserve"> </w:t>
          </w:r>
          <w:r w:rsidRPr="00D3139D">
            <w:rPr>
              <w:szCs w:val="16"/>
            </w:rPr>
            <w:fldChar w:fldCharType="begin"/>
          </w:r>
          <w:r w:rsidRPr="00D3139D">
            <w:rPr>
              <w:szCs w:val="16"/>
            </w:rPr>
            <w:instrText xml:space="preserve"> PAGE </w:instrText>
          </w:r>
          <w:r w:rsidRPr="00D3139D">
            <w:rPr>
              <w:szCs w:val="16"/>
            </w:rPr>
            <w:fldChar w:fldCharType="separate"/>
          </w:r>
          <w:r w:rsidR="00C20CA7">
            <w:rPr>
              <w:noProof/>
              <w:szCs w:val="16"/>
            </w:rPr>
            <w:t>97</w:t>
          </w:r>
          <w:r w:rsidRPr="00D3139D">
            <w:rPr>
              <w:szCs w:val="16"/>
            </w:rPr>
            <w:fldChar w:fldCharType="end"/>
          </w:r>
        </w:p>
      </w:tc>
    </w:tr>
  </w:tbl>
  <w:p w:rsidR="00145CFE" w:rsidRPr="00EF3069" w:rsidRDefault="00145CFE" w:rsidP="00220789">
    <w:pPr>
      <w:pStyle w:val="Footer"/>
      <w:rPr>
        <w:b/>
        <w:bC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36A" w:rsidRDefault="0004036A" w:rsidP="00286852">
      <w:pPr>
        <w:spacing w:after="0" w:line="240" w:lineRule="auto"/>
      </w:pPr>
      <w:r>
        <w:separator/>
      </w:r>
    </w:p>
  </w:footnote>
  <w:footnote w:type="continuationSeparator" w:id="0">
    <w:p w:rsidR="0004036A" w:rsidRDefault="0004036A" w:rsidP="00286852">
      <w:pPr>
        <w:spacing w:after="0" w:line="240" w:lineRule="auto"/>
      </w:pPr>
      <w:r>
        <w:continuationSeparator/>
      </w:r>
    </w:p>
  </w:footnote>
  <w:footnote w:type="continuationNotice" w:id="1">
    <w:p w:rsidR="0004036A" w:rsidRDefault="0004036A">
      <w:pPr>
        <w:spacing w:after="0" w:line="240" w:lineRule="auto"/>
      </w:pPr>
    </w:p>
  </w:footnote>
  <w:footnote w:id="2">
    <w:p w:rsidR="00145CFE" w:rsidRDefault="00145CFE">
      <w:pPr>
        <w:pStyle w:val="FootnoteText"/>
      </w:pPr>
      <w:r w:rsidRPr="001B1279">
        <w:rPr>
          <w:rStyle w:val="FootnoteReference"/>
          <w:sz w:val="16"/>
          <w:szCs w:val="16"/>
        </w:rPr>
        <w:footnoteRef/>
      </w:r>
      <w:r>
        <w:t xml:space="preserve"> </w:t>
      </w:r>
      <w:r w:rsidRPr="007A2FAF">
        <w:rPr>
          <w:color w:val="000000" w:themeColor="text1"/>
        </w:rPr>
        <w:t>Department of Industry, Innovation and Science (2016), Review of the Disability (Access to Premises—Buildings) Standards 2010. Canberra: Commonwealth of Australia</w:t>
      </w:r>
      <w:r>
        <w:rPr>
          <w:color w:val="000000" w:themeColor="text1"/>
        </w:rPr>
        <w:t xml:space="preserve">, </w:t>
      </w:r>
      <w:r w:rsidRPr="00FA04C5">
        <w:rPr>
          <w:color w:val="000000" w:themeColor="text1"/>
        </w:rPr>
        <w:t>https://www.industry.gov.au/sites/g/files/net3906/f/July%202018/document/pdf/review_of_the_disability_access_to_premises-buildings_standards_2010_report.pdf</w:t>
      </w:r>
    </w:p>
  </w:footnote>
  <w:footnote w:id="3">
    <w:p w:rsidR="00145CFE" w:rsidRPr="007A2FAF" w:rsidRDefault="00145CFE" w:rsidP="001F0962">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w:t>
      </w:r>
      <w:r>
        <w:rPr>
          <w:color w:val="000000" w:themeColor="text1"/>
        </w:rPr>
        <w:t>ibid</w:t>
      </w:r>
      <w:r w:rsidRPr="007A2FAF">
        <w:rPr>
          <w:color w:val="000000" w:themeColor="text1"/>
        </w:rPr>
        <w:t>.</w:t>
      </w:r>
    </w:p>
  </w:footnote>
  <w:footnote w:id="4">
    <w:p w:rsidR="00145CFE" w:rsidRPr="007A2FA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Department of Prime Minister and Cabinet (2007) Best Practice Regulation: A guide for Ministerial Councils and National Standard Setting Bodies, https://www.pmc.gov.au/resource-centre/regulation/best-practice-regulation-guide-ministerial-councils-and-national-standard-setting-bodies</w:t>
      </w:r>
    </w:p>
  </w:footnote>
  <w:footnote w:id="5">
    <w:p w:rsidR="00145CFE" w:rsidRPr="00AB4D6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Department of Prime Minister and Cabinet, The Australian Government Guide to Regulation, </w:t>
      </w:r>
      <w:hyperlink r:id="rId1" w:history="1">
        <w:r w:rsidRPr="00AB4D6F">
          <w:rPr>
            <w:rStyle w:val="Hyperlink"/>
            <w:color w:val="000000" w:themeColor="text1"/>
            <w:szCs w:val="16"/>
            <w:u w:val="none"/>
          </w:rPr>
          <w:t>https://www.pmc.gov.au/resource-centre/regulation/australian-government-guide-regulation</w:t>
        </w:r>
      </w:hyperlink>
    </w:p>
  </w:footnote>
  <w:footnote w:id="6">
    <w:p w:rsidR="00145CFE" w:rsidRPr="007A2FA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https://www.pmc.gov.au/resource-centre/regulation/cost-benefit-analysis-guidance-note</w:t>
      </w:r>
    </w:p>
  </w:footnote>
  <w:footnote w:id="7">
    <w:p w:rsidR="00145CFE" w:rsidRPr="007A2FA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Department of Industry, Innovation and Science (2016) Review of the Disability (Access to Premises – Buildings) Standards 2010, April 2016, </w:t>
      </w:r>
      <w:r w:rsidRPr="0022711B">
        <w:rPr>
          <w:color w:val="000000" w:themeColor="text1"/>
        </w:rPr>
        <w:t>https://www.industry.gov.au/sites/g/files/net3906/f/July%202018/document/pdf/review_of_the_disability_access_to_premises-buildings_standards_2010_report.pdf</w:t>
      </w:r>
    </w:p>
  </w:footnote>
  <w:footnote w:id="8">
    <w:p w:rsidR="00145CFE" w:rsidRDefault="00145CFE">
      <w:pPr>
        <w:pStyle w:val="FootnoteText"/>
      </w:pPr>
      <w:r w:rsidRPr="0007283E">
        <w:rPr>
          <w:rStyle w:val="FootnoteReference"/>
          <w:sz w:val="16"/>
          <w:szCs w:val="16"/>
        </w:rPr>
        <w:footnoteRef/>
      </w:r>
      <w:r w:rsidRPr="0007283E">
        <w:rPr>
          <w:szCs w:val="16"/>
        </w:rPr>
        <w:t xml:space="preserve"> </w:t>
      </w:r>
      <w:r>
        <w:t>Throughout this final RIS the term complex disability is used to define the range of people who have disabilities with complex support needs.</w:t>
      </w:r>
    </w:p>
  </w:footnote>
  <w:footnote w:id="9">
    <w:p w:rsidR="00145CFE" w:rsidRDefault="00145CFE">
      <w:pPr>
        <w:pStyle w:val="FootnoteText"/>
      </w:pPr>
    </w:p>
  </w:footnote>
  <w:footnote w:id="10">
    <w:p w:rsidR="00145CFE" w:rsidRDefault="00145CFE" w:rsidP="00D3560A">
      <w:pPr>
        <w:pStyle w:val="FootnoteText"/>
      </w:pPr>
      <w:r w:rsidRPr="0007283E">
        <w:rPr>
          <w:rStyle w:val="FootnoteReference"/>
          <w:sz w:val="16"/>
          <w:szCs w:val="16"/>
        </w:rPr>
        <w:footnoteRef/>
      </w:r>
      <w:r w:rsidRPr="0007283E">
        <w:rPr>
          <w:szCs w:val="16"/>
        </w:rPr>
        <w:t xml:space="preserve"> </w:t>
      </w:r>
      <w:r>
        <w:t xml:space="preserve">Bureau of Infrastructure, Transport and Regional Economics, </w:t>
      </w:r>
      <w:r w:rsidRPr="00892AAE">
        <w:t>https://bitre.gov.au/statistics/aviation/</w:t>
      </w:r>
    </w:p>
  </w:footnote>
  <w:footnote w:id="11">
    <w:p w:rsidR="00145CFE" w:rsidRDefault="00145CFE" w:rsidP="00D3560A">
      <w:pPr>
        <w:pStyle w:val="FootnoteText"/>
      </w:pPr>
      <w:r w:rsidRPr="0007283E">
        <w:rPr>
          <w:rStyle w:val="FootnoteReference"/>
          <w:sz w:val="16"/>
          <w:szCs w:val="16"/>
        </w:rPr>
        <w:footnoteRef/>
      </w:r>
      <w:r>
        <w:t xml:space="preserve"> Dwyer, L. Darcy S. (2008) The Economic Contribution of Accessible Tourism to the Australian Economy (p.27)</w:t>
      </w:r>
    </w:p>
  </w:footnote>
  <w:footnote w:id="12">
    <w:p w:rsidR="00145CFE" w:rsidRDefault="00145CFE">
      <w:pPr>
        <w:pStyle w:val="FootnoteText"/>
      </w:pPr>
      <w:r w:rsidRPr="0007283E">
        <w:rPr>
          <w:rStyle w:val="FootnoteReference"/>
          <w:sz w:val="16"/>
          <w:szCs w:val="16"/>
        </w:rPr>
        <w:footnoteRef/>
      </w:r>
      <w:r>
        <w:t xml:space="preserve"> OBPR (2016) Cost Benefit Analysis Guidance Note</w:t>
      </w:r>
    </w:p>
  </w:footnote>
  <w:footnote w:id="13">
    <w:p w:rsidR="00145CFE" w:rsidRPr="007A2FAF" w:rsidRDefault="00145CFE" w:rsidP="00677A08">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w:t>
      </w:r>
      <w:r w:rsidRPr="007A2FAF">
        <w:rPr>
          <w:rStyle w:val="FootnoteReference"/>
          <w:color w:val="000000" w:themeColor="text1"/>
          <w:sz w:val="16"/>
          <w:szCs w:val="16"/>
          <w:vertAlign w:val="baseline"/>
        </w:rPr>
        <w:t xml:space="preserve">See: </w:t>
      </w:r>
      <w:r w:rsidRPr="007D3280">
        <w:rPr>
          <w:rStyle w:val="Hyperlink"/>
          <w:color w:val="000000" w:themeColor="text1"/>
          <w:szCs w:val="16"/>
        </w:rPr>
        <w:t>https://www.industry.gov.au/data-and-publications/review-of-the-disability-access-to-premises-buildings-standards-2010-premises</w:t>
      </w:r>
    </w:p>
  </w:footnote>
  <w:footnote w:id="14">
    <w:p w:rsidR="00145CFE" w:rsidRPr="007A2FAF" w:rsidRDefault="00145CFE" w:rsidP="009260BA">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w:t>
      </w:r>
      <w:r w:rsidRPr="007A2FAF">
        <w:rPr>
          <w:rStyle w:val="FootnoteReference"/>
          <w:color w:val="000000" w:themeColor="text1"/>
          <w:sz w:val="16"/>
          <w:szCs w:val="16"/>
          <w:vertAlign w:val="baseline"/>
        </w:rPr>
        <w:t>Department of Industry, Innovation and Science (2016), Review of the Disability (Access to Premises—Buildings) Standards 2010. Canberra: Commonwealth of Australia. p 22.</w:t>
      </w:r>
    </w:p>
  </w:footnote>
  <w:footnote w:id="15">
    <w:p w:rsidR="00145CFE" w:rsidRPr="007A2FAF" w:rsidRDefault="00145CFE" w:rsidP="00677A08">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w:t>
      </w:r>
      <w:r w:rsidRPr="007A2FAF">
        <w:rPr>
          <w:rStyle w:val="FootnoteReference"/>
          <w:color w:val="000000" w:themeColor="text1"/>
          <w:sz w:val="16"/>
          <w:szCs w:val="16"/>
          <w:vertAlign w:val="baseline"/>
        </w:rPr>
        <w:t xml:space="preserve">Building Ministers Forum, Communique, 21 April 2017, </w:t>
      </w:r>
      <w:r w:rsidRPr="00FA04C5">
        <w:rPr>
          <w:color w:val="000000" w:themeColor="text1"/>
          <w:szCs w:val="16"/>
        </w:rPr>
        <w:t>https://www.industry.gov.au/sites/g/files/net3906/f/July%202018/document/pdf/building_ministers_forum_communique_-_april-2018.pdf</w:t>
      </w:r>
      <w:r w:rsidRPr="007A2FAF">
        <w:rPr>
          <w:color w:val="000000" w:themeColor="text1"/>
          <w:szCs w:val="16"/>
        </w:rPr>
        <w:t xml:space="preserve"> </w:t>
      </w:r>
    </w:p>
  </w:footnote>
  <w:footnote w:id="16">
    <w:p w:rsidR="00145CFE" w:rsidRPr="007A2FAF" w:rsidRDefault="00145CFE" w:rsidP="00425227">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w:t>
      </w:r>
      <w:r w:rsidRPr="007A2FAF">
        <w:rPr>
          <w:i/>
          <w:color w:val="000000" w:themeColor="text1"/>
          <w:szCs w:val="16"/>
        </w:rPr>
        <w:t>Disability (Access to Premises—Buildings) Standards 2010</w:t>
      </w:r>
      <w:r w:rsidRPr="007A2FAF">
        <w:rPr>
          <w:color w:val="000000" w:themeColor="text1"/>
          <w:szCs w:val="16"/>
        </w:rPr>
        <w:t>, sch 1, cl FP2.1.</w:t>
      </w:r>
    </w:p>
  </w:footnote>
  <w:footnote w:id="17">
    <w:p w:rsidR="00145CFE" w:rsidRPr="007A2FAF" w:rsidRDefault="00145CFE" w:rsidP="00425227">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w:t>
      </w:r>
      <w:r w:rsidRPr="007D3280">
        <w:rPr>
          <w:rStyle w:val="Hyperlink"/>
          <w:color w:val="000000" w:themeColor="text1"/>
          <w:szCs w:val="16"/>
        </w:rPr>
        <w:t>https://www.industry.gov.au/sites/g/files/net3906/f/July%202018/document/pdf/review_of_the_disability_access_to_premises-buildings_standards_2010_report.pdf</w:t>
      </w:r>
      <w:r w:rsidRPr="00566C92" w:rsidDel="00FA04C5">
        <w:rPr>
          <w:rStyle w:val="Hyperlink"/>
          <w:color w:val="000000" w:themeColor="text1"/>
          <w:szCs w:val="16"/>
        </w:rPr>
        <w:t xml:space="preserve"> </w:t>
      </w:r>
      <w:r w:rsidRPr="007A2FAF">
        <w:rPr>
          <w:color w:val="000000" w:themeColor="text1"/>
          <w:szCs w:val="16"/>
        </w:rPr>
        <w:t>, p22.</w:t>
      </w:r>
    </w:p>
  </w:footnote>
  <w:footnote w:id="18">
    <w:p w:rsidR="00145CFE" w:rsidRPr="007A2FAF" w:rsidRDefault="00145CFE" w:rsidP="00425227">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Ibid.</w:t>
      </w:r>
    </w:p>
  </w:footnote>
  <w:footnote w:id="19">
    <w:p w:rsidR="00145CFE" w:rsidRPr="007A2FAF" w:rsidRDefault="00145CFE" w:rsidP="00425227">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Department of Industry, Innovation and Science (2016) Review of the Premises Standards – Published Responses, </w:t>
      </w:r>
      <w:r w:rsidRPr="007D3280">
        <w:rPr>
          <w:rStyle w:val="Hyperlink"/>
          <w:color w:val="000000" w:themeColor="text1"/>
          <w:szCs w:val="16"/>
        </w:rPr>
        <w:t>https://www.industry.gov.au/sites/g/files/net3906/f/July%202018/document/extra/review-of_the_disability_access_to_premises_-_builldings_standards_2010_government_response.pdf</w:t>
      </w:r>
    </w:p>
  </w:footnote>
  <w:footnote w:id="20">
    <w:p w:rsidR="00145CFE" w:rsidRPr="007A2FA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A ‘peninsula-type’ toilet is one where there is at least 900 mm clear space either side of the edge of the pan</w:t>
      </w:r>
      <w:r>
        <w:rPr>
          <w:color w:val="000000" w:themeColor="text1"/>
          <w:szCs w:val="16"/>
        </w:rPr>
        <w:t xml:space="preserve"> as required by Changing Places</w:t>
      </w:r>
      <w:r w:rsidRPr="007A2FAF">
        <w:rPr>
          <w:color w:val="000000" w:themeColor="text1"/>
          <w:szCs w:val="16"/>
        </w:rPr>
        <w:t>, with drop-down rather than fixed grab-rails to support the user. This differs from AS 1428.1, which requires one side of the pan to be no more than 460 mm from the wall (measured from the centre-line of the pan).</w:t>
      </w:r>
    </w:p>
  </w:footnote>
  <w:footnote w:id="21">
    <w:p w:rsidR="00145CFE" w:rsidRPr="007A2FAF" w:rsidRDefault="00145CFE" w:rsidP="00BA2BC2">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Association for Children with a Disability (ACD). </w:t>
      </w:r>
      <w:r w:rsidRPr="007A2FAF">
        <w:rPr>
          <w:i/>
          <w:color w:val="000000" w:themeColor="text1"/>
          <w:szCs w:val="16"/>
        </w:rPr>
        <w:t xml:space="preserve">Changing Places Transforming Lives – Information Guide and Technical Standard. </w:t>
      </w:r>
      <w:r w:rsidRPr="007A2FAF">
        <w:rPr>
          <w:color w:val="000000" w:themeColor="text1"/>
          <w:szCs w:val="16"/>
        </w:rPr>
        <w:t>Melbourne, Vic: ACD. June 2017.</w:t>
      </w:r>
    </w:p>
  </w:footnote>
  <w:footnote w:id="22">
    <w:p w:rsidR="00145CFE" w:rsidRPr="007A2FA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Changing Places, What are Changing Places Toilets? </w:t>
      </w:r>
      <w:hyperlink r:id="rId2" w:history="1">
        <w:r w:rsidRPr="007A2FAF">
          <w:rPr>
            <w:rStyle w:val="Hyperlink"/>
            <w:color w:val="000000" w:themeColor="text1"/>
            <w:szCs w:val="16"/>
          </w:rPr>
          <w:t>http://www.changingplaces.org/the_campaign/what_are_changing_places_toilets_.aspx</w:t>
        </w:r>
      </w:hyperlink>
      <w:r w:rsidRPr="007A2FAF">
        <w:rPr>
          <w:color w:val="000000" w:themeColor="text1"/>
          <w:szCs w:val="16"/>
        </w:rPr>
        <w:t xml:space="preserve"> </w:t>
      </w:r>
    </w:p>
  </w:footnote>
  <w:footnote w:id="23">
    <w:p w:rsidR="00145CFE" w:rsidRPr="007A2FA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Changing Places UK, </w:t>
      </w:r>
      <w:hyperlink r:id="rId3" w:history="1">
        <w:r w:rsidRPr="007A2FAF">
          <w:rPr>
            <w:rStyle w:val="Hyperlink"/>
            <w:color w:val="000000" w:themeColor="text1"/>
            <w:szCs w:val="16"/>
          </w:rPr>
          <w:t>http://www.changing-places.org/about_us.aspx</w:t>
        </w:r>
      </w:hyperlink>
      <w:r w:rsidRPr="007A2FAF">
        <w:rPr>
          <w:color w:val="000000" w:themeColor="text1"/>
          <w:szCs w:val="16"/>
        </w:rPr>
        <w:t xml:space="preserve"> </w:t>
      </w:r>
    </w:p>
  </w:footnote>
  <w:footnote w:id="24">
    <w:p w:rsidR="00145CFE" w:rsidRPr="007A2FAF" w:rsidRDefault="00145CFE" w:rsidP="00BA2BC2">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Local Government New South Wales (LGNSW), </w:t>
      </w:r>
      <w:r w:rsidRPr="007A2FAF">
        <w:rPr>
          <w:i/>
          <w:color w:val="000000" w:themeColor="text1"/>
          <w:szCs w:val="16"/>
        </w:rPr>
        <w:t xml:space="preserve">Lift &amp; Change Facilities Master Checklist. </w:t>
      </w:r>
      <w:r w:rsidRPr="007A2FAF">
        <w:rPr>
          <w:color w:val="000000" w:themeColor="text1"/>
          <w:szCs w:val="16"/>
        </w:rPr>
        <w:t>2017. p 5.</w:t>
      </w:r>
    </w:p>
  </w:footnote>
  <w:footnote w:id="25">
    <w:p w:rsidR="00145CFE" w:rsidRPr="007A2FAF" w:rsidRDefault="00145CFE" w:rsidP="004B7BC4">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w:t>
      </w:r>
      <w:r w:rsidRPr="007A2FAF">
        <w:rPr>
          <w:i/>
          <w:color w:val="000000" w:themeColor="text1"/>
          <w:szCs w:val="16"/>
        </w:rPr>
        <w:t>Ibid.</w:t>
      </w:r>
    </w:p>
  </w:footnote>
  <w:footnote w:id="26">
    <w:p w:rsidR="00145CFE" w:rsidRDefault="00145CFE">
      <w:pPr>
        <w:pStyle w:val="FootnoteText"/>
      </w:pPr>
      <w:r w:rsidRPr="0007283E">
        <w:rPr>
          <w:rStyle w:val="FootnoteReference"/>
          <w:sz w:val="16"/>
          <w:szCs w:val="16"/>
        </w:rPr>
        <w:footnoteRef/>
      </w:r>
      <w:r>
        <w:t xml:space="preserve"> Including the national Museum of Australia, the National gallery of Australia, the National Portrait Gallery, the Art Gallery of New South Wales, the Australian Museum, the Museum of Contemporary Art in Sydney, the National Gallery of Victoria, the Western Australian Museum, the Museum and Art Gallery of the Northern Territory, the South Australian Museum, the Tasmanian Museum and Art Gallery, the Queensland Gallery of Modern Art, and the Queensland Museum.</w:t>
      </w:r>
    </w:p>
  </w:footnote>
  <w:footnote w:id="27">
    <w:p w:rsidR="00145CFE" w:rsidRDefault="00145CFE">
      <w:pPr>
        <w:pStyle w:val="FootnoteText"/>
      </w:pPr>
      <w:r w:rsidRPr="0007283E">
        <w:rPr>
          <w:rStyle w:val="FootnoteReference"/>
          <w:sz w:val="16"/>
          <w:szCs w:val="16"/>
        </w:rPr>
        <w:footnoteRef/>
      </w:r>
      <w:r>
        <w:t xml:space="preserve"> Bureau of Infrastructure, Transport and Regional Economics, </w:t>
      </w:r>
      <w:r w:rsidRPr="00892AAE">
        <w:t>https://bitre.gov.au/statistics/aviation/</w:t>
      </w:r>
    </w:p>
  </w:footnote>
  <w:footnote w:id="28">
    <w:p w:rsidR="00145CFE" w:rsidRDefault="00145CFE">
      <w:pPr>
        <w:pStyle w:val="FootnoteText"/>
      </w:pPr>
      <w:r w:rsidRPr="0007283E">
        <w:rPr>
          <w:rStyle w:val="FootnoteReference"/>
          <w:sz w:val="16"/>
          <w:szCs w:val="16"/>
        </w:rPr>
        <w:footnoteRef/>
      </w:r>
      <w:r>
        <w:t xml:space="preserve"> Barnsley, P. Peden, A. Scarr, J. (2017) Economic Benefits of Australia’s Public Aquatic Facilities, Royal Life Saving Society </w:t>
      </w:r>
      <w:r>
        <w:rPr>
          <w:rFonts w:ascii="Verdana" w:hAnsi="Verdana"/>
        </w:rPr>
        <w:t>─</w:t>
      </w:r>
      <w:r>
        <w:t xml:space="preserve"> Australia, Sydney.</w:t>
      </w:r>
    </w:p>
  </w:footnote>
  <w:footnote w:id="29">
    <w:p w:rsidR="00145CFE" w:rsidRPr="007A2FAF" w:rsidRDefault="00145CFE" w:rsidP="00EA7515">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MLAK means 'Master Locksmiths' Access Key. An MLAK is a universal key which opens any MLAK configured lock, but which is only obtainable by persons with a disability (or their carer) on application, which must be signed by a medical practitioner.</w:t>
      </w:r>
    </w:p>
  </w:footnote>
  <w:footnote w:id="30">
    <w:p w:rsidR="00145CFE" w:rsidRPr="007A2FAF" w:rsidRDefault="00145CFE" w:rsidP="008B5F84">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Department of Industry, Innovation and Science (C</w:t>
      </w:r>
      <w:r>
        <w:rPr>
          <w:color w:val="000000" w:themeColor="text1"/>
          <w:szCs w:val="16"/>
        </w:rPr>
        <w:t>’</w:t>
      </w:r>
      <w:r w:rsidRPr="007A2FAF">
        <w:rPr>
          <w:color w:val="000000" w:themeColor="text1"/>
          <w:szCs w:val="16"/>
        </w:rPr>
        <w:t xml:space="preserve">th.), </w:t>
      </w:r>
      <w:r w:rsidRPr="007A2FAF">
        <w:rPr>
          <w:i/>
          <w:color w:val="000000" w:themeColor="text1"/>
          <w:szCs w:val="16"/>
        </w:rPr>
        <w:t xml:space="preserve">Review of the Disability (Access to Premises—Buildings) Standards 2010. </w:t>
      </w:r>
      <w:r w:rsidRPr="007A2FAF">
        <w:rPr>
          <w:color w:val="000000" w:themeColor="text1"/>
          <w:szCs w:val="16"/>
        </w:rPr>
        <w:t>Canberra: Commonwealth of Australia, p24.</w:t>
      </w:r>
    </w:p>
  </w:footnote>
  <w:footnote w:id="31">
    <w:p w:rsidR="00145CFE" w:rsidRPr="007A2FAF" w:rsidRDefault="00145CFE" w:rsidP="008B5F84">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Throughout this report the term ‘complex’ disabilities is used to mean those people expected to be in the ‘core cohort’ of beneficiaries of AACF’s, as defined in </w:t>
      </w:r>
      <w:r>
        <w:rPr>
          <w:color w:val="000000" w:themeColor="text1"/>
          <w:szCs w:val="16"/>
        </w:rPr>
        <w:t>C</w:t>
      </w:r>
      <w:r w:rsidRPr="007A2FAF">
        <w:rPr>
          <w:color w:val="000000" w:themeColor="text1"/>
          <w:szCs w:val="16"/>
        </w:rPr>
        <w:t xml:space="preserve">hapter </w:t>
      </w:r>
      <w:r w:rsidRPr="007A2FAF">
        <w:rPr>
          <w:color w:val="000000" w:themeColor="text1"/>
          <w:szCs w:val="16"/>
        </w:rPr>
        <w:fldChar w:fldCharType="begin"/>
      </w:r>
      <w:r w:rsidRPr="007A2FAF">
        <w:rPr>
          <w:color w:val="000000" w:themeColor="text1"/>
          <w:szCs w:val="16"/>
        </w:rPr>
        <w:instrText xml:space="preserve"> REF _Ref504398197 \r \h  \* MERGEFORMAT </w:instrText>
      </w:r>
      <w:r w:rsidRPr="007A2FAF">
        <w:rPr>
          <w:color w:val="000000" w:themeColor="text1"/>
          <w:szCs w:val="16"/>
        </w:rPr>
      </w:r>
      <w:r w:rsidRPr="007A2FAF">
        <w:rPr>
          <w:color w:val="000000" w:themeColor="text1"/>
          <w:szCs w:val="16"/>
        </w:rPr>
        <w:fldChar w:fldCharType="separate"/>
      </w:r>
      <w:r w:rsidR="00910A73">
        <w:rPr>
          <w:color w:val="000000" w:themeColor="text1"/>
          <w:szCs w:val="16"/>
        </w:rPr>
        <w:t>5</w:t>
      </w:r>
      <w:r w:rsidRPr="007A2FAF">
        <w:rPr>
          <w:color w:val="000000" w:themeColor="text1"/>
          <w:szCs w:val="16"/>
        </w:rPr>
        <w:fldChar w:fldCharType="end"/>
      </w:r>
      <w:r>
        <w:rPr>
          <w:color w:val="000000" w:themeColor="text1"/>
          <w:szCs w:val="16"/>
        </w:rPr>
        <w:t>.</w:t>
      </w:r>
    </w:p>
  </w:footnote>
  <w:footnote w:id="32">
    <w:p w:rsidR="00145CFE" w:rsidRPr="007A2FAF" w:rsidRDefault="00145CFE" w:rsidP="008B5F84">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Changing Places and adult change facilities, updated August 2017, </w:t>
      </w:r>
      <w:hyperlink r:id="rId4" w:history="1">
        <w:r w:rsidRPr="007A2FAF">
          <w:rPr>
            <w:rStyle w:val="Hyperlink"/>
            <w:color w:val="000000" w:themeColor="text1"/>
            <w:szCs w:val="16"/>
          </w:rPr>
          <w:t>https://www.changingplaces.org.au/wp-content/uploads/2014/08/CHANGING-PLACES-FACILITIES-LIST-AUG17.pdf</w:t>
        </w:r>
      </w:hyperlink>
      <w:r>
        <w:rPr>
          <w:rStyle w:val="Hyperlink"/>
          <w:color w:val="000000" w:themeColor="text1"/>
          <w:szCs w:val="16"/>
        </w:rPr>
        <w:t>.</w:t>
      </w:r>
      <w:r w:rsidRPr="007A2FAF">
        <w:rPr>
          <w:color w:val="000000" w:themeColor="text1"/>
          <w:szCs w:val="16"/>
        </w:rPr>
        <w:t xml:space="preserve"> </w:t>
      </w:r>
    </w:p>
  </w:footnote>
  <w:footnote w:id="33">
    <w:p w:rsidR="00145CFE" w:rsidRPr="007A2FAF" w:rsidRDefault="00145CFE" w:rsidP="008B5F84">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Refer </w:t>
      </w:r>
      <w:hyperlink r:id="rId5" w:history="1">
        <w:r w:rsidRPr="007A2FAF">
          <w:rPr>
            <w:rStyle w:val="Hyperlink"/>
            <w:color w:val="000000" w:themeColor="text1"/>
            <w:szCs w:val="16"/>
          </w:rPr>
          <w:t>https://toiletmap.gov.au/Find#</w:t>
        </w:r>
      </w:hyperlink>
      <w:r w:rsidRPr="007A2FAF">
        <w:rPr>
          <w:color w:val="000000" w:themeColor="text1"/>
          <w:szCs w:val="16"/>
        </w:rPr>
        <w:t xml:space="preserve"> </w:t>
      </w:r>
    </w:p>
  </w:footnote>
  <w:footnote w:id="34">
    <w:p w:rsidR="00145CFE" w:rsidRPr="007A2FAF" w:rsidRDefault="00145CFE" w:rsidP="008B5F84">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Section 23, Disability Discrimination Act 1992 (C</w:t>
      </w:r>
      <w:r>
        <w:rPr>
          <w:color w:val="000000" w:themeColor="text1"/>
          <w:szCs w:val="16"/>
        </w:rPr>
        <w:t>’</w:t>
      </w:r>
      <w:r w:rsidRPr="007A2FAF">
        <w:rPr>
          <w:color w:val="000000" w:themeColor="text1"/>
          <w:szCs w:val="16"/>
        </w:rPr>
        <w:t>th). Hereafter ‘Disability Discrimination Act’.</w:t>
      </w:r>
    </w:p>
  </w:footnote>
  <w:footnote w:id="35">
    <w:p w:rsidR="00145CFE" w:rsidRDefault="00145CFE" w:rsidP="008B5F84">
      <w:pPr>
        <w:pStyle w:val="FootnoteText"/>
      </w:pPr>
      <w:r w:rsidRPr="00D310FF">
        <w:rPr>
          <w:rStyle w:val="FootnoteReference"/>
          <w:sz w:val="16"/>
          <w:szCs w:val="16"/>
        </w:rPr>
        <w:footnoteRef/>
      </w:r>
      <w:r>
        <w:t xml:space="preserve"> Refer </w:t>
      </w:r>
      <w:r w:rsidRPr="00E96FDB">
        <w:t>https://www.humanrights.gov.au/complaints/conciliation-register</w:t>
      </w:r>
      <w:r>
        <w:t>.</w:t>
      </w:r>
    </w:p>
  </w:footnote>
  <w:footnote w:id="36">
    <w:p w:rsidR="00145CFE" w:rsidRPr="007A2FAF" w:rsidRDefault="00145CFE" w:rsidP="008B5F84">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Department of Industry, Innovation and Science (2010) Review of the Premises Standards, </w:t>
      </w:r>
      <w:hyperlink r:id="rId6" w:history="1">
        <w:r w:rsidRPr="007A2FAF">
          <w:rPr>
            <w:rStyle w:val="Hyperlink"/>
            <w:color w:val="000000" w:themeColor="text1"/>
            <w:szCs w:val="16"/>
          </w:rPr>
          <w:t>https://consult.industry.gov.au/premises-standards-review-team/review-of-the-premises-standards-2010/consultation/published_select_respondent</w:t>
        </w:r>
      </w:hyperlink>
      <w:r w:rsidRPr="007A2FAF">
        <w:rPr>
          <w:color w:val="000000" w:themeColor="text1"/>
          <w:szCs w:val="16"/>
        </w:rPr>
        <w:t xml:space="preserve"> </w:t>
      </w:r>
    </w:p>
  </w:footnote>
  <w:footnote w:id="37">
    <w:p w:rsidR="00145CFE" w:rsidRPr="007A2FAF" w:rsidRDefault="00145CFE" w:rsidP="008B5F84">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Ekers, D., Webster, L., Van Straten, A., Cuijpers, P., Richards, D., &amp; Gilbody, S. (2014). Behavi</w:t>
      </w:r>
      <w:r>
        <w:rPr>
          <w:color w:val="000000" w:themeColor="text1"/>
          <w:szCs w:val="16"/>
        </w:rPr>
        <w:t>oural Activation for Depression:</w:t>
      </w:r>
      <w:r w:rsidRPr="007A2FAF">
        <w:rPr>
          <w:color w:val="000000" w:themeColor="text1"/>
          <w:szCs w:val="16"/>
        </w:rPr>
        <w:t xml:space="preserve"> An Update of Meta-Analysis of Effectiveness and Sub Group Analysis. PLoS ONE, 9(6), e100100. </w:t>
      </w:r>
      <w:hyperlink r:id="rId7" w:history="1">
        <w:r w:rsidRPr="007A2FAF">
          <w:rPr>
            <w:rStyle w:val="Hyperlink"/>
            <w:color w:val="000000" w:themeColor="text1"/>
            <w:szCs w:val="16"/>
          </w:rPr>
          <w:t>http://doi.org/10.1371/journal.pone.0100100</w:t>
        </w:r>
      </w:hyperlink>
      <w:r w:rsidRPr="007A2FAF">
        <w:rPr>
          <w:color w:val="000000" w:themeColor="text1"/>
          <w:szCs w:val="16"/>
        </w:rPr>
        <w:t xml:space="preserve"> ; </w:t>
      </w:r>
      <w:r w:rsidRPr="007A2FAF">
        <w:rPr>
          <w:rStyle w:val="author"/>
          <w:i/>
          <w:iCs/>
          <w:color w:val="000000" w:themeColor="text1"/>
          <w:szCs w:val="16"/>
          <w:lang w:val="en"/>
        </w:rPr>
        <w:t>Jahoda, A.</w:t>
      </w:r>
      <w:r w:rsidRPr="007A2FAF">
        <w:rPr>
          <w:rStyle w:val="HTMLCite"/>
          <w:color w:val="000000" w:themeColor="text1"/>
          <w:szCs w:val="16"/>
          <w:lang w:val="en"/>
        </w:rPr>
        <w:t xml:space="preserve">, </w:t>
      </w:r>
      <w:r w:rsidRPr="007A2FAF">
        <w:rPr>
          <w:rStyle w:val="author"/>
          <w:i/>
          <w:iCs/>
          <w:color w:val="000000" w:themeColor="text1"/>
          <w:szCs w:val="16"/>
          <w:lang w:val="en"/>
        </w:rPr>
        <w:t>Melville, C. A.</w:t>
      </w:r>
      <w:r w:rsidRPr="007A2FAF">
        <w:rPr>
          <w:rStyle w:val="HTMLCite"/>
          <w:color w:val="000000" w:themeColor="text1"/>
          <w:szCs w:val="16"/>
          <w:lang w:val="en"/>
        </w:rPr>
        <w:t xml:space="preserve">, </w:t>
      </w:r>
      <w:r w:rsidRPr="007A2FAF">
        <w:rPr>
          <w:rStyle w:val="author"/>
          <w:i/>
          <w:iCs/>
          <w:color w:val="000000" w:themeColor="text1"/>
          <w:szCs w:val="16"/>
          <w:lang w:val="en"/>
        </w:rPr>
        <w:t>Pert, C.</w:t>
      </w:r>
      <w:r w:rsidRPr="007A2FAF">
        <w:rPr>
          <w:rStyle w:val="HTMLCite"/>
          <w:color w:val="000000" w:themeColor="text1"/>
          <w:szCs w:val="16"/>
          <w:lang w:val="en"/>
        </w:rPr>
        <w:t xml:space="preserve">, </w:t>
      </w:r>
      <w:r w:rsidRPr="007A2FAF">
        <w:rPr>
          <w:rStyle w:val="author"/>
          <w:i/>
          <w:iCs/>
          <w:color w:val="000000" w:themeColor="text1"/>
          <w:szCs w:val="16"/>
          <w:lang w:val="en"/>
        </w:rPr>
        <w:t>Cooper, S.-A.</w:t>
      </w:r>
      <w:r w:rsidRPr="007A2FAF">
        <w:rPr>
          <w:rStyle w:val="HTMLCite"/>
          <w:color w:val="000000" w:themeColor="text1"/>
          <w:szCs w:val="16"/>
          <w:lang w:val="en"/>
        </w:rPr>
        <w:t xml:space="preserve">, </w:t>
      </w:r>
      <w:r w:rsidRPr="007A2FAF">
        <w:rPr>
          <w:rStyle w:val="author"/>
          <w:i/>
          <w:iCs/>
          <w:color w:val="000000" w:themeColor="text1"/>
          <w:szCs w:val="16"/>
          <w:lang w:val="en"/>
        </w:rPr>
        <w:t>Lynn, H.</w:t>
      </w:r>
      <w:r w:rsidRPr="007A2FAF">
        <w:rPr>
          <w:rStyle w:val="HTMLCite"/>
          <w:color w:val="000000" w:themeColor="text1"/>
          <w:szCs w:val="16"/>
          <w:lang w:val="en"/>
        </w:rPr>
        <w:t xml:space="preserve">, </w:t>
      </w:r>
      <w:r w:rsidRPr="007A2FAF">
        <w:rPr>
          <w:rStyle w:val="author"/>
          <w:i/>
          <w:iCs/>
          <w:color w:val="000000" w:themeColor="text1"/>
          <w:szCs w:val="16"/>
          <w:lang w:val="en"/>
        </w:rPr>
        <w:t>Williams, C.</w:t>
      </w:r>
      <w:r w:rsidRPr="007A2FAF">
        <w:rPr>
          <w:rStyle w:val="HTMLCite"/>
          <w:color w:val="000000" w:themeColor="text1"/>
          <w:szCs w:val="16"/>
          <w:lang w:val="en"/>
        </w:rPr>
        <w:t xml:space="preserve">, and </w:t>
      </w:r>
      <w:r w:rsidRPr="007A2FAF">
        <w:rPr>
          <w:rStyle w:val="author"/>
          <w:i/>
          <w:iCs/>
          <w:color w:val="000000" w:themeColor="text1"/>
          <w:szCs w:val="16"/>
          <w:lang w:val="en"/>
        </w:rPr>
        <w:t>Davidson, C.</w:t>
      </w:r>
      <w:r w:rsidRPr="007A2FAF">
        <w:rPr>
          <w:rStyle w:val="HTMLCite"/>
          <w:color w:val="000000" w:themeColor="text1"/>
          <w:szCs w:val="16"/>
          <w:lang w:val="en"/>
        </w:rPr>
        <w:t xml:space="preserve"> (</w:t>
      </w:r>
      <w:r w:rsidRPr="007A2FAF">
        <w:rPr>
          <w:rStyle w:val="pubyear"/>
          <w:i/>
          <w:iCs/>
          <w:color w:val="000000" w:themeColor="text1"/>
          <w:szCs w:val="16"/>
          <w:lang w:val="en"/>
        </w:rPr>
        <w:t>2015</w:t>
      </w:r>
      <w:r w:rsidRPr="007A2FAF">
        <w:rPr>
          <w:rStyle w:val="HTMLCite"/>
          <w:color w:val="000000" w:themeColor="text1"/>
          <w:szCs w:val="16"/>
          <w:lang w:val="en"/>
        </w:rPr>
        <w:t xml:space="preserve">) </w:t>
      </w:r>
      <w:r w:rsidRPr="007A2FAF">
        <w:rPr>
          <w:rStyle w:val="articletitle"/>
          <w:i/>
          <w:iCs/>
          <w:color w:val="000000" w:themeColor="text1"/>
          <w:szCs w:val="16"/>
          <w:lang w:val="en"/>
        </w:rPr>
        <w:t>A feasibility study of behavioural activation for depressive symptoms in adults with intellectual disabilities</w:t>
      </w:r>
      <w:r w:rsidRPr="007A2FAF">
        <w:rPr>
          <w:rStyle w:val="HTMLCite"/>
          <w:color w:val="000000" w:themeColor="text1"/>
          <w:szCs w:val="16"/>
          <w:lang w:val="en"/>
        </w:rPr>
        <w:t xml:space="preserve">. </w:t>
      </w:r>
      <w:r w:rsidRPr="007A2FAF">
        <w:rPr>
          <w:rStyle w:val="journaltitle"/>
          <w:i/>
          <w:iCs/>
          <w:color w:val="000000" w:themeColor="text1"/>
          <w:szCs w:val="16"/>
          <w:lang w:val="en"/>
        </w:rPr>
        <w:t>J Intellect Disability Res</w:t>
      </w:r>
      <w:r w:rsidRPr="007A2FAF">
        <w:rPr>
          <w:rStyle w:val="HTMLCite"/>
          <w:color w:val="000000" w:themeColor="text1"/>
          <w:szCs w:val="16"/>
          <w:lang w:val="en"/>
        </w:rPr>
        <w:t xml:space="preserve">, </w:t>
      </w:r>
      <w:r w:rsidRPr="007A2FAF">
        <w:rPr>
          <w:rStyle w:val="vol"/>
          <w:i/>
          <w:iCs/>
          <w:color w:val="000000" w:themeColor="text1"/>
          <w:szCs w:val="16"/>
          <w:lang w:val="en"/>
        </w:rPr>
        <w:t>59</w:t>
      </w:r>
      <w:r w:rsidRPr="007A2FAF">
        <w:rPr>
          <w:rStyle w:val="HTMLCite"/>
          <w:color w:val="000000" w:themeColor="text1"/>
          <w:szCs w:val="16"/>
          <w:lang w:val="en"/>
        </w:rPr>
        <w:t xml:space="preserve">: </w:t>
      </w:r>
      <w:r w:rsidRPr="007A2FAF">
        <w:rPr>
          <w:rStyle w:val="pagefirst"/>
          <w:i/>
          <w:iCs/>
          <w:color w:val="000000" w:themeColor="text1"/>
          <w:szCs w:val="16"/>
          <w:lang w:val="en"/>
        </w:rPr>
        <w:t>1010</w:t>
      </w:r>
      <w:r w:rsidRPr="007A2FAF">
        <w:rPr>
          <w:rStyle w:val="HTMLCite"/>
          <w:color w:val="000000" w:themeColor="text1"/>
          <w:szCs w:val="16"/>
          <w:lang w:val="en"/>
        </w:rPr>
        <w:t>–</w:t>
      </w:r>
      <w:r w:rsidRPr="007A2FAF">
        <w:rPr>
          <w:rStyle w:val="pagelast"/>
          <w:i/>
          <w:iCs/>
          <w:color w:val="000000" w:themeColor="text1"/>
          <w:szCs w:val="16"/>
          <w:lang w:val="en"/>
        </w:rPr>
        <w:t>1021</w:t>
      </w:r>
      <w:r w:rsidRPr="007A2FAF">
        <w:rPr>
          <w:rStyle w:val="HTMLCite"/>
          <w:color w:val="000000" w:themeColor="text1"/>
          <w:szCs w:val="16"/>
          <w:lang w:val="en"/>
        </w:rPr>
        <w:t xml:space="preserve">. doi: </w:t>
      </w:r>
      <w:hyperlink r:id="rId8" w:tgtFrame="_blank" w:tooltip="Link to external resource: 10.1111/jir.12175" w:history="1">
        <w:r w:rsidRPr="007A2FAF">
          <w:rPr>
            <w:rStyle w:val="Hyperlink"/>
            <w:i/>
            <w:iCs/>
            <w:color w:val="000000" w:themeColor="text1"/>
            <w:szCs w:val="16"/>
            <w:lang w:val="en"/>
          </w:rPr>
          <w:t>10.1111/jir.12175</w:t>
        </w:r>
      </w:hyperlink>
      <w:r w:rsidRPr="007A2FAF">
        <w:rPr>
          <w:rStyle w:val="HTMLCite"/>
          <w:color w:val="000000" w:themeColor="text1"/>
          <w:szCs w:val="16"/>
          <w:lang w:val="en"/>
        </w:rPr>
        <w:t>.</w:t>
      </w:r>
    </w:p>
  </w:footnote>
  <w:footnote w:id="38">
    <w:p w:rsidR="00145CFE" w:rsidRPr="007A2FAF" w:rsidRDefault="00145CFE" w:rsidP="008B5F84">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w:t>
      </w:r>
      <w:r w:rsidRPr="007A2FAF">
        <w:rPr>
          <w:rStyle w:val="author"/>
          <w:i/>
          <w:iCs/>
          <w:color w:val="000000" w:themeColor="text1"/>
          <w:szCs w:val="16"/>
          <w:lang w:val="en"/>
        </w:rPr>
        <w:t>Jahoda, A.</w:t>
      </w:r>
      <w:r w:rsidRPr="007A2FAF">
        <w:rPr>
          <w:rStyle w:val="HTMLCite"/>
          <w:color w:val="000000" w:themeColor="text1"/>
          <w:szCs w:val="16"/>
          <w:lang w:val="en"/>
        </w:rPr>
        <w:t xml:space="preserve">, </w:t>
      </w:r>
      <w:r w:rsidRPr="007A2FAF">
        <w:rPr>
          <w:rStyle w:val="author"/>
          <w:i/>
          <w:iCs/>
          <w:color w:val="000000" w:themeColor="text1"/>
          <w:szCs w:val="16"/>
          <w:lang w:val="en"/>
        </w:rPr>
        <w:t>Melville, C. A.</w:t>
      </w:r>
      <w:r w:rsidRPr="007A2FAF">
        <w:rPr>
          <w:rStyle w:val="HTMLCite"/>
          <w:color w:val="000000" w:themeColor="text1"/>
          <w:szCs w:val="16"/>
          <w:lang w:val="en"/>
        </w:rPr>
        <w:t xml:space="preserve">, </w:t>
      </w:r>
      <w:r w:rsidRPr="007A2FAF">
        <w:rPr>
          <w:rStyle w:val="author"/>
          <w:i/>
          <w:iCs/>
          <w:color w:val="000000" w:themeColor="text1"/>
          <w:szCs w:val="16"/>
          <w:lang w:val="en"/>
        </w:rPr>
        <w:t>Pert, C.</w:t>
      </w:r>
      <w:r w:rsidRPr="007A2FAF">
        <w:rPr>
          <w:rStyle w:val="HTMLCite"/>
          <w:color w:val="000000" w:themeColor="text1"/>
          <w:szCs w:val="16"/>
          <w:lang w:val="en"/>
        </w:rPr>
        <w:t xml:space="preserve">, </w:t>
      </w:r>
      <w:r w:rsidRPr="007A2FAF">
        <w:rPr>
          <w:rStyle w:val="author"/>
          <w:i/>
          <w:iCs/>
          <w:color w:val="000000" w:themeColor="text1"/>
          <w:szCs w:val="16"/>
          <w:lang w:val="en"/>
        </w:rPr>
        <w:t>Cooper, S.-A.</w:t>
      </w:r>
      <w:r w:rsidRPr="007A2FAF">
        <w:rPr>
          <w:rStyle w:val="HTMLCite"/>
          <w:color w:val="000000" w:themeColor="text1"/>
          <w:szCs w:val="16"/>
          <w:lang w:val="en"/>
        </w:rPr>
        <w:t xml:space="preserve">, </w:t>
      </w:r>
      <w:r w:rsidRPr="007A2FAF">
        <w:rPr>
          <w:rStyle w:val="author"/>
          <w:i/>
          <w:iCs/>
          <w:color w:val="000000" w:themeColor="text1"/>
          <w:szCs w:val="16"/>
          <w:lang w:val="en"/>
        </w:rPr>
        <w:t>Lynn, H.</w:t>
      </w:r>
      <w:r w:rsidRPr="007A2FAF">
        <w:rPr>
          <w:rStyle w:val="HTMLCite"/>
          <w:color w:val="000000" w:themeColor="text1"/>
          <w:szCs w:val="16"/>
          <w:lang w:val="en"/>
        </w:rPr>
        <w:t xml:space="preserve">, </w:t>
      </w:r>
      <w:r w:rsidRPr="007A2FAF">
        <w:rPr>
          <w:rStyle w:val="author"/>
          <w:i/>
          <w:iCs/>
          <w:color w:val="000000" w:themeColor="text1"/>
          <w:szCs w:val="16"/>
          <w:lang w:val="en"/>
        </w:rPr>
        <w:t>Williams, C.</w:t>
      </w:r>
      <w:r w:rsidRPr="007A2FAF">
        <w:rPr>
          <w:rStyle w:val="HTMLCite"/>
          <w:color w:val="000000" w:themeColor="text1"/>
          <w:szCs w:val="16"/>
          <w:lang w:val="en"/>
        </w:rPr>
        <w:t xml:space="preserve">, and </w:t>
      </w:r>
      <w:r w:rsidRPr="007A2FAF">
        <w:rPr>
          <w:rStyle w:val="author"/>
          <w:i/>
          <w:iCs/>
          <w:color w:val="000000" w:themeColor="text1"/>
          <w:szCs w:val="16"/>
          <w:lang w:val="en"/>
        </w:rPr>
        <w:t>Davidson, C.</w:t>
      </w:r>
      <w:r w:rsidRPr="007A2FAF">
        <w:rPr>
          <w:rStyle w:val="HTMLCite"/>
          <w:color w:val="000000" w:themeColor="text1"/>
          <w:szCs w:val="16"/>
          <w:lang w:val="en"/>
        </w:rPr>
        <w:t xml:space="preserve"> (</w:t>
      </w:r>
      <w:r w:rsidRPr="007A2FAF">
        <w:rPr>
          <w:rStyle w:val="pubyear"/>
          <w:i/>
          <w:iCs/>
          <w:color w:val="000000" w:themeColor="text1"/>
          <w:szCs w:val="16"/>
          <w:lang w:val="en"/>
        </w:rPr>
        <w:t>2015</w:t>
      </w:r>
      <w:r w:rsidRPr="007A2FAF">
        <w:rPr>
          <w:rStyle w:val="HTMLCite"/>
          <w:color w:val="000000" w:themeColor="text1"/>
          <w:szCs w:val="16"/>
          <w:lang w:val="en"/>
        </w:rPr>
        <w:t xml:space="preserve">) </w:t>
      </w:r>
      <w:r w:rsidRPr="007A2FAF">
        <w:rPr>
          <w:rStyle w:val="articletitle"/>
          <w:i/>
          <w:iCs/>
          <w:color w:val="000000" w:themeColor="text1"/>
          <w:szCs w:val="16"/>
          <w:lang w:val="en"/>
        </w:rPr>
        <w:t>A feasibility study of behavioural activation for depressive symptoms in adults with intellectual disabilities</w:t>
      </w:r>
      <w:r w:rsidRPr="007A2FAF">
        <w:rPr>
          <w:rStyle w:val="HTMLCite"/>
          <w:color w:val="000000" w:themeColor="text1"/>
          <w:szCs w:val="16"/>
          <w:lang w:val="en"/>
        </w:rPr>
        <w:t xml:space="preserve">. </w:t>
      </w:r>
      <w:r w:rsidRPr="007A2FAF">
        <w:rPr>
          <w:rStyle w:val="journaltitle"/>
          <w:i/>
          <w:iCs/>
          <w:color w:val="000000" w:themeColor="text1"/>
          <w:szCs w:val="16"/>
          <w:lang w:val="en"/>
        </w:rPr>
        <w:t>J Intellect Disability Res</w:t>
      </w:r>
      <w:r w:rsidRPr="007A2FAF">
        <w:rPr>
          <w:rStyle w:val="HTMLCite"/>
          <w:color w:val="000000" w:themeColor="text1"/>
          <w:szCs w:val="16"/>
          <w:lang w:val="en"/>
        </w:rPr>
        <w:t xml:space="preserve">, </w:t>
      </w:r>
      <w:r w:rsidRPr="007A2FAF">
        <w:rPr>
          <w:rStyle w:val="vol"/>
          <w:i/>
          <w:iCs/>
          <w:color w:val="000000" w:themeColor="text1"/>
          <w:szCs w:val="16"/>
          <w:lang w:val="en"/>
        </w:rPr>
        <w:t>59</w:t>
      </w:r>
      <w:r w:rsidRPr="007A2FAF">
        <w:rPr>
          <w:rStyle w:val="HTMLCite"/>
          <w:color w:val="000000" w:themeColor="text1"/>
          <w:szCs w:val="16"/>
          <w:lang w:val="en"/>
        </w:rPr>
        <w:t xml:space="preserve">: </w:t>
      </w:r>
      <w:r w:rsidRPr="007A2FAF">
        <w:rPr>
          <w:rStyle w:val="pagefirst"/>
          <w:i/>
          <w:iCs/>
          <w:color w:val="000000" w:themeColor="text1"/>
          <w:szCs w:val="16"/>
          <w:lang w:val="en"/>
        </w:rPr>
        <w:t>1010</w:t>
      </w:r>
      <w:r w:rsidRPr="007A2FAF">
        <w:rPr>
          <w:rStyle w:val="HTMLCite"/>
          <w:color w:val="000000" w:themeColor="text1"/>
          <w:szCs w:val="16"/>
          <w:lang w:val="en"/>
        </w:rPr>
        <w:t>–</w:t>
      </w:r>
      <w:r w:rsidRPr="007A2FAF">
        <w:rPr>
          <w:rStyle w:val="pagelast"/>
          <w:i/>
          <w:iCs/>
          <w:color w:val="000000" w:themeColor="text1"/>
          <w:szCs w:val="16"/>
          <w:lang w:val="en"/>
        </w:rPr>
        <w:t>1021</w:t>
      </w:r>
      <w:r w:rsidRPr="007A2FAF">
        <w:rPr>
          <w:rStyle w:val="HTMLCite"/>
          <w:color w:val="000000" w:themeColor="text1"/>
          <w:szCs w:val="16"/>
          <w:lang w:val="en"/>
        </w:rPr>
        <w:t xml:space="preserve">. doi: </w:t>
      </w:r>
      <w:hyperlink r:id="rId9" w:tgtFrame="_blank" w:tooltip="Link to external resource: 10.1111/jir.12175" w:history="1">
        <w:r w:rsidRPr="007A2FAF">
          <w:rPr>
            <w:rStyle w:val="Hyperlink"/>
            <w:i/>
            <w:iCs/>
            <w:color w:val="000000" w:themeColor="text1"/>
            <w:szCs w:val="16"/>
            <w:lang w:val="en"/>
          </w:rPr>
          <w:t>10.1111/jir.12175</w:t>
        </w:r>
      </w:hyperlink>
      <w:r w:rsidRPr="007A2FAF">
        <w:rPr>
          <w:rStyle w:val="HTMLCite"/>
          <w:color w:val="000000" w:themeColor="text1"/>
          <w:szCs w:val="16"/>
          <w:lang w:val="en"/>
        </w:rPr>
        <w:t>.</w:t>
      </w:r>
    </w:p>
  </w:footnote>
  <w:footnote w:id="39">
    <w:p w:rsidR="00145CFE" w:rsidRPr="007A2FAF" w:rsidRDefault="00145CFE" w:rsidP="008B5F84">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Tindall, L., Mikocka-Walus, A., McMillan, D., Wright, B., Hewitt, C., Gascoyne, S. (2017) Is behavioural activation effective in the treatment of depression in young people? A systematic review and meta-analysis, http://onlinelibrary.wiley.com/doi/10.1111/papt.12121/full</w:t>
      </w:r>
      <w:r>
        <w:rPr>
          <w:color w:val="000000" w:themeColor="text1"/>
          <w:szCs w:val="16"/>
        </w:rPr>
        <w:t>.</w:t>
      </w:r>
    </w:p>
  </w:footnote>
  <w:footnote w:id="40">
    <w:p w:rsidR="00145CFE" w:rsidRPr="007A2FAF" w:rsidRDefault="00145CFE" w:rsidP="00010D46">
      <w:pPr>
        <w:pStyle w:val="NoSpacing"/>
        <w:rPr>
          <w:rFonts w:ascii="Arial" w:hAnsi="Arial" w:cs="Arial"/>
          <w:color w:val="000000" w:themeColor="text1"/>
          <w:sz w:val="16"/>
          <w:szCs w:val="16"/>
        </w:rPr>
      </w:pPr>
      <w:r w:rsidRPr="007A2FAF">
        <w:rPr>
          <w:rStyle w:val="FootnoteReference"/>
          <w:color w:val="000000" w:themeColor="text1"/>
          <w:sz w:val="16"/>
          <w:szCs w:val="16"/>
        </w:rPr>
        <w:footnoteRef/>
      </w:r>
      <w:r w:rsidRPr="007A2FAF">
        <w:rPr>
          <w:rFonts w:ascii="Arial" w:hAnsi="Arial" w:cs="Arial"/>
          <w:color w:val="000000" w:themeColor="text1"/>
          <w:sz w:val="16"/>
          <w:szCs w:val="16"/>
        </w:rPr>
        <w:t xml:space="preserve"> Victoria State Government, </w:t>
      </w:r>
      <w:hyperlink r:id="rId10" w:history="1">
        <w:r w:rsidRPr="007A2FAF">
          <w:rPr>
            <w:rFonts w:ascii="Arial" w:eastAsia="Times New Roman" w:hAnsi="Arial" w:cs="Arial"/>
            <w:color w:val="000000" w:themeColor="text1"/>
            <w:kern w:val="24"/>
            <w:sz w:val="16"/>
            <w:szCs w:val="16"/>
            <w:u w:val="single"/>
            <w:lang w:eastAsia="en-AU"/>
          </w:rPr>
          <w:t>http://www.dhs.vic.gov.au/about-the-department/plans,-programs-and-projects/projects-and-initiatives/changing-places-funding</w:t>
        </w:r>
      </w:hyperlink>
      <w:r>
        <w:rPr>
          <w:rFonts w:ascii="Arial" w:eastAsia="Times New Roman" w:hAnsi="Arial" w:cs="Arial"/>
          <w:color w:val="000000" w:themeColor="text1"/>
          <w:kern w:val="24"/>
          <w:sz w:val="16"/>
          <w:szCs w:val="16"/>
          <w:u w:val="single"/>
          <w:lang w:eastAsia="en-AU"/>
        </w:rPr>
        <w:t>.</w:t>
      </w:r>
      <w:r w:rsidRPr="007A2FAF">
        <w:rPr>
          <w:rFonts w:ascii="Arial" w:eastAsia="Times New Roman" w:hAnsi="Arial" w:cs="Arial"/>
          <w:color w:val="000000" w:themeColor="text1"/>
          <w:kern w:val="24"/>
          <w:sz w:val="16"/>
          <w:szCs w:val="16"/>
          <w:u w:val="single"/>
          <w:lang w:eastAsia="en-AU"/>
        </w:rPr>
        <w:t xml:space="preserve"> </w:t>
      </w:r>
    </w:p>
  </w:footnote>
  <w:footnote w:id="41">
    <w:p w:rsidR="00145CFE" w:rsidRDefault="00145CFE">
      <w:pPr>
        <w:pStyle w:val="FootnoteText"/>
      </w:pPr>
      <w:r>
        <w:rPr>
          <w:rStyle w:val="FootnoteReference"/>
        </w:rPr>
        <w:footnoteRef/>
      </w:r>
      <w:r>
        <w:t xml:space="preserve"> Victorian State Government, </w:t>
      </w:r>
      <w:r>
        <w:rPr>
          <w:i/>
        </w:rPr>
        <w:t xml:space="preserve">Changing Places Funding Round 2017 - Funding guidelines and application form, </w:t>
      </w:r>
      <w:r w:rsidRPr="00FD6A57">
        <w:t>https://vhhsba.vic.gov.au/sites/default/files/VHHSBA-Changing-Places-Funding-Round-2017-Guidelines.pdf</w:t>
      </w:r>
      <w:r>
        <w:t>.</w:t>
      </w:r>
    </w:p>
  </w:footnote>
  <w:footnote w:id="42">
    <w:p w:rsidR="00145CFE" w:rsidRPr="007A2FAF" w:rsidRDefault="00145CFE" w:rsidP="00010D46">
      <w:pPr>
        <w:pStyle w:val="NoSpacing"/>
        <w:rPr>
          <w:rFonts w:ascii="Arial" w:hAnsi="Arial" w:cs="Arial"/>
          <w:color w:val="000000" w:themeColor="text1"/>
          <w:sz w:val="16"/>
          <w:szCs w:val="16"/>
        </w:rPr>
      </w:pPr>
      <w:r w:rsidRPr="007A2FAF">
        <w:rPr>
          <w:rStyle w:val="FootnoteReference"/>
          <w:color w:val="000000" w:themeColor="text1"/>
          <w:sz w:val="16"/>
          <w:szCs w:val="16"/>
        </w:rPr>
        <w:footnoteRef/>
      </w:r>
      <w:r w:rsidRPr="007A2FAF">
        <w:rPr>
          <w:rFonts w:ascii="Arial" w:hAnsi="Arial" w:cs="Arial"/>
          <w:color w:val="000000" w:themeColor="text1"/>
          <w:sz w:val="16"/>
          <w:szCs w:val="16"/>
        </w:rPr>
        <w:t xml:space="preserve"> Government of Western Australia, Changing Places improving community access, </w:t>
      </w:r>
      <w:hyperlink r:id="rId11" w:history="1">
        <w:r w:rsidRPr="007A2FAF">
          <w:rPr>
            <w:rFonts w:ascii="Arial" w:eastAsia="Times New Roman" w:hAnsi="Arial" w:cs="Arial"/>
            <w:color w:val="000000" w:themeColor="text1"/>
            <w:kern w:val="24"/>
            <w:sz w:val="16"/>
            <w:szCs w:val="16"/>
            <w:u w:val="single"/>
            <w:lang w:eastAsia="en-AU"/>
          </w:rPr>
          <w:t>http://www.disability.wa.gov.au/individuals-families-and-carers/for-individuals-families-and-carers/recreation-and-leisure-/changing-places/</w:t>
        </w:r>
      </w:hyperlink>
      <w:r>
        <w:rPr>
          <w:rFonts w:ascii="Arial" w:eastAsia="Times New Roman" w:hAnsi="Arial" w:cs="Arial"/>
          <w:color w:val="000000" w:themeColor="text1"/>
          <w:kern w:val="24"/>
          <w:sz w:val="16"/>
          <w:szCs w:val="16"/>
          <w:u w:val="single"/>
          <w:lang w:eastAsia="en-AU"/>
        </w:rPr>
        <w:t>.</w:t>
      </w:r>
      <w:r w:rsidRPr="007A2FAF">
        <w:rPr>
          <w:rFonts w:ascii="Arial" w:eastAsia="Times New Roman" w:hAnsi="Arial" w:cs="Arial"/>
          <w:color w:val="000000" w:themeColor="text1"/>
          <w:kern w:val="24"/>
          <w:sz w:val="16"/>
          <w:szCs w:val="16"/>
          <w:u w:val="single"/>
          <w:lang w:eastAsia="en-AU"/>
        </w:rPr>
        <w:t xml:space="preserve"> </w:t>
      </w:r>
    </w:p>
  </w:footnote>
  <w:footnote w:id="43">
    <w:p w:rsidR="00145CFE" w:rsidRDefault="00145CFE">
      <w:pPr>
        <w:pStyle w:val="FootnoteText"/>
      </w:pPr>
      <w:r w:rsidRPr="00593F1E">
        <w:rPr>
          <w:rStyle w:val="FootnoteReference"/>
          <w:sz w:val="16"/>
          <w:szCs w:val="16"/>
        </w:rPr>
        <w:footnoteRef/>
      </w:r>
      <w:r>
        <w:t xml:space="preserve"> South Australian Treasury, </w:t>
      </w:r>
      <w:r w:rsidRPr="00E5700E">
        <w:t>https://service.sa.gov.au/cdn/statebudget/budget201718/pdfs/budget/2017-18_budget_measures_statement.pdf</w:t>
      </w:r>
      <w:r>
        <w:t>.</w:t>
      </w:r>
    </w:p>
  </w:footnote>
  <w:footnote w:id="44">
    <w:p w:rsidR="00145CFE" w:rsidRPr="007A2FAF" w:rsidRDefault="00145CFE" w:rsidP="00010D46">
      <w:pPr>
        <w:pStyle w:val="NoSpacing"/>
        <w:rPr>
          <w:rFonts w:ascii="Arial" w:hAnsi="Arial" w:cs="Arial"/>
          <w:color w:val="000000" w:themeColor="text1"/>
          <w:sz w:val="16"/>
          <w:szCs w:val="16"/>
        </w:rPr>
      </w:pPr>
      <w:r w:rsidRPr="007A2FAF">
        <w:rPr>
          <w:rStyle w:val="FootnoteReference"/>
          <w:color w:val="000000" w:themeColor="text1"/>
          <w:sz w:val="16"/>
          <w:szCs w:val="16"/>
        </w:rPr>
        <w:footnoteRef/>
      </w:r>
      <w:r w:rsidRPr="007A2FAF">
        <w:rPr>
          <w:rFonts w:ascii="Arial" w:hAnsi="Arial" w:cs="Arial"/>
          <w:color w:val="000000" w:themeColor="text1"/>
          <w:sz w:val="16"/>
          <w:szCs w:val="16"/>
        </w:rPr>
        <w:t xml:space="preserve"> Brisbane City Council (2013) Public Toilet Design Guidelines, December 2013, </w:t>
      </w:r>
      <w:hyperlink r:id="rId12" w:history="1">
        <w:r w:rsidRPr="007A2FAF">
          <w:rPr>
            <w:rFonts w:ascii="Arial" w:eastAsia="Times New Roman" w:hAnsi="Arial" w:cs="Arial"/>
            <w:color w:val="000000" w:themeColor="text1"/>
            <w:kern w:val="24"/>
            <w:sz w:val="16"/>
            <w:szCs w:val="16"/>
            <w:u w:val="single"/>
            <w:lang w:eastAsia="en-AU"/>
          </w:rPr>
          <w:t>https://www.brisbane.qld.gov.au/sites/default/files/public_toilet_design_guidelines_updated.pdf</w:t>
        </w:r>
      </w:hyperlink>
      <w:r>
        <w:rPr>
          <w:rFonts w:ascii="Arial" w:eastAsia="Times New Roman" w:hAnsi="Arial" w:cs="Arial"/>
          <w:color w:val="000000" w:themeColor="text1"/>
          <w:kern w:val="24"/>
          <w:sz w:val="16"/>
          <w:szCs w:val="16"/>
          <w:u w:val="single"/>
          <w:lang w:eastAsia="en-AU"/>
        </w:rPr>
        <w:t>.</w:t>
      </w:r>
      <w:r w:rsidRPr="007A2FAF">
        <w:rPr>
          <w:rFonts w:ascii="Arial" w:eastAsia="Times New Roman" w:hAnsi="Arial" w:cs="Arial"/>
          <w:color w:val="000000" w:themeColor="text1"/>
          <w:kern w:val="24"/>
          <w:sz w:val="16"/>
          <w:szCs w:val="16"/>
          <w:lang w:eastAsia="en-AU"/>
        </w:rPr>
        <w:t xml:space="preserve"> </w:t>
      </w:r>
    </w:p>
  </w:footnote>
  <w:footnote w:id="45">
    <w:p w:rsidR="00145CFE" w:rsidRPr="007A2FAF" w:rsidRDefault="00145CFE" w:rsidP="00623065">
      <w:pPr>
        <w:pStyle w:val="EYBodytextwithparaspace"/>
        <w:rPr>
          <w:color w:val="000000" w:themeColor="text1"/>
          <w:sz w:val="16"/>
          <w:szCs w:val="16"/>
        </w:rPr>
      </w:pPr>
      <w:r w:rsidRPr="007A2FAF">
        <w:rPr>
          <w:rStyle w:val="FootnoteReference"/>
          <w:color w:val="000000" w:themeColor="text1"/>
          <w:sz w:val="16"/>
          <w:szCs w:val="16"/>
        </w:rPr>
        <w:footnoteRef/>
      </w:r>
      <w:r w:rsidRPr="007A2FAF">
        <w:rPr>
          <w:color w:val="000000" w:themeColor="text1"/>
          <w:sz w:val="16"/>
          <w:szCs w:val="16"/>
        </w:rPr>
        <w:t xml:space="preserve"> Although in reality the status quo option would be expected to see moderate uptake of facilities as has been occurring in recent years, for modelling purposes it is assumed that under the status quo, no new facilities are constructed.  Given the considerable irregularity of AACF uptake in recent years, any attempt to develop an assumed building profile under the status quo would in our view introduce an unacceptable degree of subjectivity into the results.</w:t>
      </w:r>
    </w:p>
    <w:p w:rsidR="00145CFE" w:rsidRPr="007A2FAF" w:rsidRDefault="00145CFE">
      <w:pPr>
        <w:pStyle w:val="FootnoteText"/>
        <w:rPr>
          <w:color w:val="000000" w:themeColor="text1"/>
          <w:szCs w:val="16"/>
        </w:rPr>
      </w:pPr>
    </w:p>
  </w:footnote>
  <w:footnote w:id="46">
    <w:p w:rsidR="00145CFE" w:rsidRPr="007A2FA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Note that the latter is assessed qualitatively not quantitatively</w:t>
      </w:r>
    </w:p>
  </w:footnote>
  <w:footnote w:id="47">
    <w:p w:rsidR="00145CFE" w:rsidRPr="007A2FA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Survey of Disability, Ag</w:t>
      </w:r>
      <w:r>
        <w:rPr>
          <w:color w:val="000000" w:themeColor="text1"/>
          <w:szCs w:val="16"/>
        </w:rPr>
        <w:t>e</w:t>
      </w:r>
      <w:r w:rsidRPr="007A2FAF">
        <w:rPr>
          <w:color w:val="000000" w:themeColor="text1"/>
          <w:szCs w:val="16"/>
        </w:rPr>
        <w:t xml:space="preserve">ing and Carers (2015) </w:t>
      </w:r>
      <w:hyperlink r:id="rId13" w:history="1">
        <w:r w:rsidRPr="007A2FAF">
          <w:rPr>
            <w:rStyle w:val="Hyperlink"/>
            <w:color w:val="000000" w:themeColor="text1"/>
            <w:szCs w:val="16"/>
          </w:rPr>
          <w:t>http://www.abs.gov.au/ausstats/abs@.nsf/mf/4430.0</w:t>
        </w:r>
      </w:hyperlink>
      <w:r w:rsidRPr="007A2FAF">
        <w:rPr>
          <w:color w:val="000000" w:themeColor="text1"/>
          <w:szCs w:val="16"/>
        </w:rPr>
        <w:t xml:space="preserve"> </w:t>
      </w:r>
    </w:p>
  </w:footnote>
  <w:footnote w:id="48">
    <w:p w:rsidR="00145CFE" w:rsidRPr="007A2FA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Changing Places, </w:t>
      </w:r>
      <w:hyperlink r:id="rId14" w:history="1">
        <w:r w:rsidRPr="007A2FAF">
          <w:rPr>
            <w:rStyle w:val="Hyperlink"/>
            <w:color w:val="000000" w:themeColor="text1"/>
            <w:szCs w:val="16"/>
          </w:rPr>
          <w:t>www.changingplaces.org.au</w:t>
        </w:r>
      </w:hyperlink>
    </w:p>
  </w:footnote>
  <w:footnote w:id="49">
    <w:p w:rsidR="00145CFE" w:rsidRPr="007A2FAF" w:rsidRDefault="00145CFE" w:rsidP="00BA2BC2">
      <w:pPr>
        <w:keepNext/>
        <w:spacing w:after="0" w:line="240" w:lineRule="auto"/>
        <w:jc w:val="left"/>
        <w:rPr>
          <w:rFonts w:cs="Arial"/>
          <w:color w:val="000000" w:themeColor="text1"/>
          <w:sz w:val="16"/>
          <w:szCs w:val="16"/>
        </w:rPr>
      </w:pPr>
      <w:r w:rsidRPr="007A2FAF">
        <w:rPr>
          <w:rStyle w:val="FootnoteReference"/>
          <w:color w:val="000000" w:themeColor="text1"/>
          <w:sz w:val="16"/>
          <w:szCs w:val="16"/>
        </w:rPr>
        <w:footnoteRef/>
      </w:r>
      <w:r w:rsidRPr="007A2FAF">
        <w:rPr>
          <w:rFonts w:cs="Arial"/>
          <w:color w:val="000000" w:themeColor="text1"/>
          <w:sz w:val="16"/>
          <w:szCs w:val="16"/>
        </w:rPr>
        <w:t xml:space="preserve"> ABS SDAC, Productivity Commission, EY estimates</w:t>
      </w:r>
      <w:r>
        <w:rPr>
          <w:rFonts w:cs="Arial"/>
          <w:color w:val="000000" w:themeColor="text1"/>
          <w:sz w:val="16"/>
          <w:szCs w:val="16"/>
        </w:rPr>
        <w:t>.</w:t>
      </w:r>
    </w:p>
  </w:footnote>
  <w:footnote w:id="50">
    <w:p w:rsidR="00145CFE" w:rsidRPr="007A2FAF" w:rsidRDefault="00145CFE" w:rsidP="002319C3">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ABS (2015) 4430.0.30.002 – Microdata: Disability, Ageing and Carers, Australia, 2015</w:t>
      </w:r>
      <w:r>
        <w:rPr>
          <w:color w:val="000000" w:themeColor="text1"/>
          <w:szCs w:val="16"/>
        </w:rPr>
        <w:t>.</w:t>
      </w:r>
    </w:p>
  </w:footnote>
  <w:footnote w:id="51">
    <w:p w:rsidR="00145CFE" w:rsidRPr="007A2FA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Australian Institute of Health and Welfare 2013. Incontinence in Australia. Cat. No. DIS 61. Canberra: AIHW, p 34, </w:t>
      </w:r>
      <w:hyperlink r:id="rId15" w:history="1">
        <w:r w:rsidRPr="007A2FAF">
          <w:rPr>
            <w:rStyle w:val="Hyperlink"/>
            <w:color w:val="000000" w:themeColor="text1"/>
            <w:szCs w:val="16"/>
          </w:rPr>
          <w:t>https://www.aihw.gov.au/getmedia/0fc2a011-d290-42ef-a610-85073ef2909e/15387.pdf.aspx?inline=true</w:t>
        </w:r>
      </w:hyperlink>
      <w:r>
        <w:rPr>
          <w:rStyle w:val="Hyperlink"/>
          <w:color w:val="000000" w:themeColor="text1"/>
          <w:szCs w:val="16"/>
        </w:rPr>
        <w:t>.</w:t>
      </w:r>
    </w:p>
  </w:footnote>
  <w:footnote w:id="52">
    <w:p w:rsidR="00145CFE" w:rsidRPr="007A2FA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Though we acknowledge that ‘difficulty accessing buildings’ is itself somewhat subjective, we believe that cross referencing the level of severity of disabilities with actual difficulty experienced in accessing specific types of buildings will lessen the overall subjectivity of the estimate</w:t>
      </w:r>
      <w:r>
        <w:rPr>
          <w:color w:val="000000" w:themeColor="text1"/>
          <w:szCs w:val="16"/>
        </w:rPr>
        <w:t>.</w:t>
      </w:r>
    </w:p>
  </w:footnote>
  <w:footnote w:id="53">
    <w:p w:rsidR="00145CFE" w:rsidRPr="007A2FA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The inclusion of this group is worthy of further discussion to consider whether the presence of an </w:t>
      </w:r>
      <w:r>
        <w:rPr>
          <w:color w:val="000000" w:themeColor="text1"/>
          <w:szCs w:val="16"/>
        </w:rPr>
        <w:t>AACF</w:t>
      </w:r>
      <w:r w:rsidRPr="007A2FAF">
        <w:rPr>
          <w:color w:val="000000" w:themeColor="text1"/>
          <w:szCs w:val="16"/>
        </w:rPr>
        <w:t xml:space="preserve"> would encourage (or enable) them to leave the house</w:t>
      </w:r>
      <w:r>
        <w:rPr>
          <w:color w:val="000000" w:themeColor="text1"/>
          <w:szCs w:val="16"/>
        </w:rPr>
        <w:t>.</w:t>
      </w:r>
    </w:p>
  </w:footnote>
  <w:footnote w:id="54">
    <w:p w:rsidR="00145CFE" w:rsidRPr="007A2FAF" w:rsidRDefault="00145CFE" w:rsidP="002319C3">
      <w:pPr>
        <w:keepNext/>
        <w:spacing w:after="0"/>
        <w:jc w:val="left"/>
        <w:rPr>
          <w:rFonts w:cs="Arial"/>
          <w:color w:val="000000" w:themeColor="text1"/>
          <w:sz w:val="16"/>
          <w:szCs w:val="16"/>
        </w:rPr>
      </w:pPr>
      <w:r w:rsidRPr="007A2FAF">
        <w:rPr>
          <w:rStyle w:val="FootnoteReference"/>
          <w:color w:val="000000" w:themeColor="text1"/>
          <w:sz w:val="16"/>
          <w:szCs w:val="16"/>
        </w:rPr>
        <w:footnoteRef/>
      </w:r>
      <w:r w:rsidRPr="007A2FAF">
        <w:rPr>
          <w:rFonts w:cs="Arial"/>
          <w:color w:val="000000" w:themeColor="text1"/>
          <w:sz w:val="16"/>
          <w:szCs w:val="16"/>
        </w:rPr>
        <w:t xml:space="preserve"> ABS (2015) 4430.0.30.002 – Microdata: Disability, Ageing and Carers, Australia</w:t>
      </w:r>
      <w:r>
        <w:rPr>
          <w:rFonts w:cs="Arial"/>
          <w:color w:val="000000" w:themeColor="text1"/>
          <w:sz w:val="16"/>
          <w:szCs w:val="16"/>
        </w:rPr>
        <w:t>.</w:t>
      </w:r>
    </w:p>
  </w:footnote>
  <w:footnote w:id="55">
    <w:p w:rsidR="00145CFE" w:rsidRPr="007A2FAF" w:rsidRDefault="00145CFE" w:rsidP="0081239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Australian Institute of Health and Welfare 2013. Incontinence in Australia. Cat. No. DIS 61. Canberra: AIHW, p 34, </w:t>
      </w:r>
      <w:hyperlink r:id="rId16" w:history="1">
        <w:r w:rsidRPr="007A2FAF">
          <w:rPr>
            <w:rStyle w:val="Hyperlink"/>
            <w:color w:val="000000" w:themeColor="text1"/>
            <w:szCs w:val="16"/>
          </w:rPr>
          <w:t>https://www.aihw.gov.au/getmedia/0fc2a011-d290-42ef-a610-85073ef2909e/15387.pdf.aspx?inline=true</w:t>
        </w:r>
      </w:hyperlink>
      <w:r>
        <w:rPr>
          <w:rStyle w:val="Hyperlink"/>
          <w:color w:val="000000" w:themeColor="text1"/>
          <w:szCs w:val="16"/>
        </w:rPr>
        <w:t>.</w:t>
      </w:r>
    </w:p>
  </w:footnote>
  <w:footnote w:id="56">
    <w:p w:rsidR="00145CFE" w:rsidRPr="007A2FAF" w:rsidRDefault="00145CFE" w:rsidP="002319C3">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Hogg, J. (2009) Changing Places Toilets: Estimates of potential users, </w:t>
      </w:r>
      <w:hyperlink r:id="rId17" w:history="1">
        <w:r w:rsidRPr="007A2FAF">
          <w:rPr>
            <w:rStyle w:val="Hyperlink"/>
            <w:color w:val="000000" w:themeColor="text1"/>
            <w:szCs w:val="16"/>
          </w:rPr>
          <w:t>http://changing-places.org/LinkClick.aspx?fileticket=X7QNBxsyhMU=&amp;tabid=67</w:t>
        </w:r>
      </w:hyperlink>
      <w:r>
        <w:rPr>
          <w:rStyle w:val="Hyperlink"/>
          <w:color w:val="000000" w:themeColor="text1"/>
          <w:szCs w:val="16"/>
        </w:rPr>
        <w:t>.</w:t>
      </w:r>
      <w:r w:rsidRPr="007A2FAF">
        <w:rPr>
          <w:color w:val="000000" w:themeColor="text1"/>
          <w:szCs w:val="16"/>
        </w:rPr>
        <w:t xml:space="preserve"> </w:t>
      </w:r>
    </w:p>
  </w:footnote>
  <w:footnote w:id="57">
    <w:p w:rsidR="00145CFE" w:rsidRPr="007A2FAF" w:rsidRDefault="00145CFE" w:rsidP="002319C3">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w:t>
      </w:r>
      <w:hyperlink r:id="rId18" w:history="1">
        <w:r w:rsidRPr="007A2FAF">
          <w:rPr>
            <w:rStyle w:val="Hyperlink"/>
            <w:color w:val="000000" w:themeColor="text1"/>
            <w:szCs w:val="16"/>
          </w:rPr>
          <w:t>http://www.ncoa.gov.au/report/phase-one/part-b/7-2-the-national-disability-insurance-scheme.html</w:t>
        </w:r>
      </w:hyperlink>
      <w:r w:rsidRPr="007A2FAF">
        <w:rPr>
          <w:color w:val="000000" w:themeColor="text1"/>
          <w:szCs w:val="16"/>
        </w:rPr>
        <w:t xml:space="preserve">;  </w:t>
      </w:r>
      <w:hyperlink r:id="rId19" w:history="1">
        <w:r w:rsidRPr="007A2FAF">
          <w:rPr>
            <w:rStyle w:val="Hyperlink"/>
            <w:color w:val="000000" w:themeColor="text1"/>
            <w:szCs w:val="16"/>
          </w:rPr>
          <w:t>http://www.pc.gov.au/inquiries/completed/ndis-costs/report/ndis-costs-overview.pdf</w:t>
        </w:r>
      </w:hyperlink>
      <w:r>
        <w:rPr>
          <w:rStyle w:val="Hyperlink"/>
          <w:color w:val="000000" w:themeColor="text1"/>
          <w:szCs w:val="16"/>
        </w:rPr>
        <w:t>.</w:t>
      </w:r>
      <w:r w:rsidRPr="007A2FAF">
        <w:rPr>
          <w:color w:val="000000" w:themeColor="text1"/>
          <w:szCs w:val="16"/>
        </w:rPr>
        <w:t xml:space="preserve"> </w:t>
      </w:r>
    </w:p>
  </w:footnote>
  <w:footnote w:id="58">
    <w:p w:rsidR="00145CFE" w:rsidRDefault="00145CFE">
      <w:pPr>
        <w:pStyle w:val="FootnoteText"/>
      </w:pPr>
      <w:r>
        <w:rPr>
          <w:rStyle w:val="FootnoteReference"/>
        </w:rPr>
        <w:footnoteRef/>
      </w:r>
      <w:r>
        <w:t xml:space="preserve"> </w:t>
      </w:r>
      <w:hyperlink r:id="rId20" w:history="1">
        <w:r w:rsidRPr="00A55F43">
          <w:rPr>
            <w:rStyle w:val="Hyperlink"/>
            <w:color w:val="auto"/>
          </w:rPr>
          <w:t>https://www.cuttingredtape.gov.au/sites/default/files/files/Australian_Government_Guide_to_Regulation.pdf</w:t>
        </w:r>
      </w:hyperlink>
      <w:r w:rsidRPr="00A55F43">
        <w:t xml:space="preserve"> </w:t>
      </w:r>
    </w:p>
  </w:footnote>
  <w:footnote w:id="59">
    <w:p w:rsidR="00145CFE" w:rsidRPr="007A2FA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It is assumed that all trips are ‘additional’; i.e. they would not have occurred in the absence of an AACF being installed</w:t>
      </w:r>
      <w:r>
        <w:rPr>
          <w:color w:val="000000" w:themeColor="text1"/>
          <w:szCs w:val="16"/>
        </w:rPr>
        <w:t>.</w:t>
      </w:r>
    </w:p>
  </w:footnote>
  <w:footnote w:id="60">
    <w:p w:rsidR="00145CFE" w:rsidRPr="007A2FA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The estimation of the willingness to pay which we have used for the scenario modelling is based on the Travel Cost Method. This is an approach commonly used in environmental economics for the purposes of quantifying an intangible good.  We have adopted a similar approach here because it represents the clearest and most robust approach available for measuring the direct value of a trip.  </w:t>
      </w:r>
    </w:p>
  </w:footnote>
  <w:footnote w:id="61">
    <w:p w:rsidR="00145CFE" w:rsidRPr="007A2FAF" w:rsidRDefault="00145CFE" w:rsidP="00A46B44">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Jespersen, L., Michelsen, S., Tjørnhøj-Thomsen, T., Svensson, M., Svensson, B., and Due., P.(2018) Living with a disability: a qualitative study of associations between social relations, social participation and quality of life</w:t>
      </w:r>
      <w:r>
        <w:rPr>
          <w:color w:val="000000" w:themeColor="text1"/>
          <w:szCs w:val="16"/>
        </w:rPr>
        <w:t>.</w:t>
      </w:r>
      <w:r w:rsidRPr="007A2FAF">
        <w:rPr>
          <w:color w:val="000000" w:themeColor="text1"/>
          <w:szCs w:val="16"/>
        </w:rPr>
        <w:t xml:space="preserve"> </w:t>
      </w:r>
    </w:p>
  </w:footnote>
  <w:footnote w:id="62">
    <w:p w:rsidR="00145CFE" w:rsidRPr="007A2FAF" w:rsidRDefault="00145CFE" w:rsidP="00A46B44">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Productivity Commission (2011) Disability Care and Support – Productivity Commission Inquiry Report, 31 July 2011, </w:t>
      </w:r>
      <w:hyperlink r:id="rId21" w:history="1">
        <w:r w:rsidRPr="007A2FAF">
          <w:rPr>
            <w:rStyle w:val="Hyperlink"/>
            <w:color w:val="000000" w:themeColor="text1"/>
            <w:szCs w:val="16"/>
          </w:rPr>
          <w:t>https://www.pc.gov.au/inquiries/completed/disability-support/report</w:t>
        </w:r>
      </w:hyperlink>
      <w:r>
        <w:rPr>
          <w:rStyle w:val="Hyperlink"/>
          <w:color w:val="000000" w:themeColor="text1"/>
          <w:szCs w:val="16"/>
        </w:rPr>
        <w:t>.</w:t>
      </w:r>
      <w:r w:rsidRPr="007A2FAF">
        <w:rPr>
          <w:color w:val="000000" w:themeColor="text1"/>
          <w:szCs w:val="16"/>
        </w:rPr>
        <w:t xml:space="preserve"> </w:t>
      </w:r>
    </w:p>
  </w:footnote>
  <w:footnote w:id="63">
    <w:p w:rsidR="00145CFE" w:rsidRPr="007A2FAF" w:rsidRDefault="00145CFE" w:rsidP="00A46B44">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Van Asselt, D., Buchanan, A., &amp; Peterson, S. (2015). Enablers and barriers of social inclusion for young adults with intellectual disability: A multidimensional view. Journal of Intellectual &amp; Developmental Disability, 40(1), 37-48. doi:10.3109/13668250.2014.994170; Welsby, J., &amp; Horsfall, D. (2011). Everyday practices of exclusion/inclusion: women who have an intellectual disability speaking for themselves? Disability &amp; Society, 26(7), 795-807. doi:10.1080/09687599.2011.618731</w:t>
      </w:r>
      <w:r>
        <w:rPr>
          <w:color w:val="000000" w:themeColor="text1"/>
          <w:szCs w:val="16"/>
        </w:rPr>
        <w:t>.</w:t>
      </w:r>
    </w:p>
  </w:footnote>
  <w:footnote w:id="64">
    <w:p w:rsidR="00145CFE" w:rsidRPr="007A2FAF" w:rsidRDefault="00145CFE" w:rsidP="00085C30">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Stanley, J., Hensher, D., Stanley, J., Currie, G., Greene, W., Vella-Brodrick, D. (2011) Social Exclusion and the Value of Mobility, Journal of Transport Economics and Policy, Volume 45, Part 2, May 2011, pp. 197–222 ; Van Asselt, D., Buchanan, A., &amp; Peterson, S. (2015). Enablers and barriers of social inclusion for young adults with intellectual disability: A multidimensional view. Journal of Intellectual &amp; Developmental Disability, 40(1), 37-48. doi:10.3109/13668250.2014.994170</w:t>
      </w:r>
      <w:r>
        <w:rPr>
          <w:color w:val="000000" w:themeColor="text1"/>
          <w:szCs w:val="16"/>
        </w:rPr>
        <w:t>.</w:t>
      </w:r>
      <w:r w:rsidRPr="007A2FAF">
        <w:rPr>
          <w:color w:val="000000" w:themeColor="text1"/>
          <w:szCs w:val="16"/>
        </w:rPr>
        <w:t xml:space="preserve"> </w:t>
      </w:r>
    </w:p>
    <w:p w:rsidR="00145CFE" w:rsidRPr="007A2FAF" w:rsidRDefault="00145CFE">
      <w:pPr>
        <w:pStyle w:val="FootnoteText"/>
        <w:rPr>
          <w:color w:val="000000" w:themeColor="text1"/>
          <w:szCs w:val="16"/>
        </w:rPr>
      </w:pPr>
    </w:p>
  </w:footnote>
  <w:footnote w:id="65">
    <w:p w:rsidR="00145CFE" w:rsidRDefault="00145CFE">
      <w:pPr>
        <w:pStyle w:val="FootnoteText"/>
      </w:pPr>
      <w:r w:rsidRPr="00593F1E">
        <w:rPr>
          <w:rStyle w:val="FootnoteReference"/>
          <w:sz w:val="16"/>
          <w:szCs w:val="16"/>
        </w:rPr>
        <w:footnoteRef/>
      </w:r>
      <w:r>
        <w:t xml:space="preserve"> </w:t>
      </w:r>
      <w:r w:rsidRPr="000061CD">
        <w:t>Dwyer &amp; Darcy 2008 Economic Contribution of Accessible Tourism in Australia (p.27) [http://www.tourism.australia.com/en/news-and-industry-tools/building-your-tourism-business/accessible-tourism.html]</w:t>
      </w:r>
      <w:r>
        <w:t>.</w:t>
      </w:r>
    </w:p>
  </w:footnote>
  <w:footnote w:id="66">
    <w:p w:rsidR="00145CFE" w:rsidRPr="007A2FAF" w:rsidRDefault="00145CFE" w:rsidP="003B0460">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Department of Industry, Innovation and Science (2016) Review of the Disability (Access to Premises – Buildings) Standards 2010,</w:t>
      </w:r>
      <w:r>
        <w:rPr>
          <w:color w:val="000000" w:themeColor="text1"/>
          <w:szCs w:val="16"/>
        </w:rPr>
        <w:t xml:space="preserve"> </w:t>
      </w:r>
      <w:r w:rsidRPr="007A2FAF">
        <w:rPr>
          <w:color w:val="000000" w:themeColor="text1"/>
          <w:szCs w:val="16"/>
        </w:rPr>
        <w:t>https</w:t>
      </w:r>
      <w:r w:rsidRPr="007D3280">
        <w:rPr>
          <w:color w:val="000000" w:themeColor="text1"/>
          <w:szCs w:val="16"/>
        </w:rPr>
        <w:t>://www.industry.gov.au/sites/g/files/net3906/f/July%202018/document/pdf/review_of_the_disability_access_to_premises-buildings_standards_2010_report.pdf</w:t>
      </w:r>
      <w:r>
        <w:rPr>
          <w:color w:val="000000" w:themeColor="text1"/>
          <w:szCs w:val="16"/>
        </w:rPr>
        <w:t>.</w:t>
      </w:r>
      <w:r w:rsidRPr="007A2FAF">
        <w:rPr>
          <w:color w:val="000000" w:themeColor="text1"/>
          <w:szCs w:val="16"/>
        </w:rPr>
        <w:t xml:space="preserve"> </w:t>
      </w:r>
    </w:p>
  </w:footnote>
  <w:footnote w:id="67">
    <w:p w:rsidR="00145CFE" w:rsidRDefault="00145CFE" w:rsidP="000061CD">
      <w:pPr>
        <w:pStyle w:val="FootnoteText"/>
      </w:pPr>
      <w:r w:rsidRPr="00593F1E">
        <w:rPr>
          <w:rStyle w:val="FootnoteReference"/>
          <w:sz w:val="16"/>
          <w:szCs w:val="16"/>
        </w:rPr>
        <w:footnoteRef/>
      </w:r>
      <w:r w:rsidRPr="00593F1E">
        <w:rPr>
          <w:szCs w:val="16"/>
        </w:rPr>
        <w:t xml:space="preserve"> </w:t>
      </w:r>
      <w:r>
        <w:t xml:space="preserve">Barnsley, P. Peden, A. Scarr, J. (2017) Economic Benefits of Australia’s Public Aquatic Facilities, Royal Life Saving Society </w:t>
      </w:r>
      <w:r>
        <w:rPr>
          <w:rFonts w:ascii="Verdana" w:hAnsi="Verdana"/>
        </w:rPr>
        <w:t>─</w:t>
      </w:r>
      <w:r>
        <w:t xml:space="preserve"> Australia, Sydney.</w:t>
      </w:r>
    </w:p>
  </w:footnote>
  <w:footnote w:id="68">
    <w:p w:rsidR="00145CFE" w:rsidRDefault="00145CFE" w:rsidP="0022711B">
      <w:pPr>
        <w:pStyle w:val="EYBodytextwithparaspace"/>
        <w:spacing w:after="0"/>
      </w:pPr>
      <w:r w:rsidRPr="0036126D">
        <w:rPr>
          <w:rStyle w:val="FootnoteReference"/>
          <w:sz w:val="16"/>
          <w:szCs w:val="16"/>
        </w:rPr>
        <w:footnoteRef/>
      </w:r>
      <w:r w:rsidRPr="0036126D">
        <w:rPr>
          <w:sz w:val="16"/>
          <w:szCs w:val="16"/>
        </w:rPr>
        <w:t xml:space="preserve"> Also note that although we consider the approach used by the Royal Life Saving Society to estimate the benefits of hydrotherapy to be appropriate for this kind of analysis, the benefits for such a trip are highly individualised and are best viewed as illustrative.</w:t>
      </w:r>
    </w:p>
  </w:footnote>
  <w:footnote w:id="69">
    <w:p w:rsidR="00145CFE" w:rsidRDefault="00145CFE" w:rsidP="000061CD">
      <w:pPr>
        <w:pStyle w:val="FootnoteText"/>
      </w:pPr>
      <w:r w:rsidRPr="00593F1E">
        <w:rPr>
          <w:rStyle w:val="FootnoteReference"/>
          <w:sz w:val="16"/>
          <w:szCs w:val="16"/>
        </w:rPr>
        <w:footnoteRef/>
      </w:r>
      <w:r>
        <w:t xml:space="preserve"> Centres for Disease Control and Prevention (2017) Related Conditions [</w:t>
      </w:r>
      <w:r w:rsidRPr="00811C9D">
        <w:t>https://www.cdc.gov/ncbddd/disabilityandhealth/relatedconditions.html</w:t>
      </w:r>
      <w:r>
        <w:t>].</w:t>
      </w:r>
    </w:p>
  </w:footnote>
  <w:footnote w:id="70">
    <w:p w:rsidR="00145CFE" w:rsidRDefault="00145CFE" w:rsidP="000061CD">
      <w:pPr>
        <w:pStyle w:val="FootnoteText"/>
      </w:pPr>
      <w:r w:rsidRPr="00593F1E">
        <w:rPr>
          <w:rStyle w:val="FootnoteReference"/>
          <w:sz w:val="16"/>
          <w:szCs w:val="16"/>
        </w:rPr>
        <w:footnoteRef/>
      </w:r>
      <w:r>
        <w:t xml:space="preserve"> Martin-Valero, R. et al (2012) Evidence-Based Review of Hydrotherapy Studies on Chronic Obstructive Pulmonary Disease Patients [</w:t>
      </w:r>
      <w:r w:rsidRPr="00943A33">
        <w:t>https://pdfs.semanticscholar.org/3296/c6ba0621897ef3121465cdb911485b27cd0c.pdf</w:t>
      </w:r>
      <w:r>
        <w:t>].</w:t>
      </w:r>
    </w:p>
  </w:footnote>
  <w:footnote w:id="71">
    <w:p w:rsidR="00145CFE" w:rsidRDefault="00145CFE" w:rsidP="000061CD">
      <w:pPr>
        <w:pStyle w:val="FootnoteText"/>
      </w:pPr>
      <w:r w:rsidRPr="00593F1E">
        <w:rPr>
          <w:rStyle w:val="FootnoteReference"/>
          <w:sz w:val="16"/>
          <w:szCs w:val="16"/>
        </w:rPr>
        <w:footnoteRef/>
      </w:r>
      <w:r w:rsidRPr="00593F1E">
        <w:rPr>
          <w:szCs w:val="16"/>
        </w:rPr>
        <w:t xml:space="preserve"> </w:t>
      </w:r>
      <w:r>
        <w:t>Kinne, S. et al (2004) Prevalence of Secondary Conditions Among People with Disabilities [</w:t>
      </w:r>
      <w:r w:rsidRPr="000B664A">
        <w:t>https://www.ncbi.nlm.nih.gov/pmc/articles/PMC1448273/</w:t>
      </w:r>
      <w:r>
        <w:t xml:space="preserve">]. </w:t>
      </w:r>
    </w:p>
  </w:footnote>
  <w:footnote w:id="72">
    <w:p w:rsidR="00145CFE" w:rsidRDefault="00145CFE">
      <w:pPr>
        <w:pStyle w:val="FootnoteText"/>
      </w:pPr>
      <w:r w:rsidRPr="00BC7A41">
        <w:rPr>
          <w:rStyle w:val="FootnoteReference"/>
          <w:sz w:val="16"/>
          <w:szCs w:val="16"/>
        </w:rPr>
        <w:footnoteRef/>
      </w:r>
      <w:r w:rsidRPr="00BC7A41">
        <w:rPr>
          <w:szCs w:val="16"/>
        </w:rPr>
        <w:t xml:space="preserve"> </w:t>
      </w:r>
      <w:r w:rsidRPr="000061CD">
        <w:t>Dwyer &amp; Darcy 2008 Economic Contribution of Access</w:t>
      </w:r>
      <w:r>
        <w:t>ible Tourism in Australia</w:t>
      </w:r>
      <w:r w:rsidRPr="000061CD">
        <w:t xml:space="preserve"> [http://www.tourism.australia.com/en/news-and-industry-tools/building-your-tourism-business/accessible-tourism.html]</w:t>
      </w:r>
      <w:r>
        <w:t>.</w:t>
      </w:r>
    </w:p>
  </w:footnote>
  <w:footnote w:id="73">
    <w:p w:rsidR="00145CFE" w:rsidRDefault="00145CFE">
      <w:pPr>
        <w:pStyle w:val="FootnoteText"/>
      </w:pPr>
      <w:r w:rsidRPr="00732CDA">
        <w:rPr>
          <w:rStyle w:val="FootnoteReference"/>
          <w:sz w:val="16"/>
          <w:szCs w:val="16"/>
        </w:rPr>
        <w:footnoteRef/>
      </w:r>
      <w:r>
        <w:t xml:space="preserve"> </w:t>
      </w:r>
      <w:r w:rsidRPr="001842F9">
        <w:t>Dwyer &amp; Darcy 2008 Economic Contribution of Access</w:t>
      </w:r>
      <w:r>
        <w:t>ible Tourism in Australia</w:t>
      </w:r>
      <w:r w:rsidRPr="001842F9">
        <w:t xml:space="preserve"> [http://www.tourism.australia.com/en/news-and-industry-tools/building-your-tourism-business/accessible-tourism.html]</w:t>
      </w:r>
    </w:p>
  </w:footnote>
  <w:footnote w:id="74">
    <w:p w:rsidR="00145CFE" w:rsidRDefault="00145CFE" w:rsidP="00F262A8">
      <w:pPr>
        <w:pStyle w:val="FootnoteText"/>
      </w:pPr>
      <w:r w:rsidRPr="00732CDA">
        <w:rPr>
          <w:rStyle w:val="FootnoteReference"/>
          <w:sz w:val="16"/>
          <w:szCs w:val="16"/>
        </w:rPr>
        <w:footnoteRef/>
      </w:r>
      <w:r w:rsidRPr="00732CDA">
        <w:rPr>
          <w:szCs w:val="16"/>
        </w:rPr>
        <w:t xml:space="preserve"> </w:t>
      </w:r>
      <w:r>
        <w:t>Note that because the estimated travel cost for both the major and the smaller shopping centres are the same, so too is the upper bound WTP estimate</w:t>
      </w:r>
    </w:p>
  </w:footnote>
  <w:footnote w:id="75">
    <w:p w:rsidR="00145CFE" w:rsidRDefault="00145CFE">
      <w:pPr>
        <w:pStyle w:val="FootnoteText"/>
      </w:pPr>
      <w:r w:rsidRPr="00732CDA">
        <w:rPr>
          <w:rStyle w:val="FootnoteReference"/>
          <w:sz w:val="16"/>
          <w:szCs w:val="16"/>
        </w:rPr>
        <w:footnoteRef/>
      </w:r>
      <w:r w:rsidRPr="00732CDA">
        <w:rPr>
          <w:szCs w:val="16"/>
        </w:rPr>
        <w:t xml:space="preserve"> </w:t>
      </w:r>
      <w:r>
        <w:t>Dwyer, L. Darcy S. (2008) The Economic Contribution of Accessible Tourism to the Australian Economy (p.27)</w:t>
      </w:r>
    </w:p>
  </w:footnote>
  <w:footnote w:id="76">
    <w:p w:rsidR="00145CFE" w:rsidRPr="00145CFE" w:rsidRDefault="00145CFE">
      <w:pPr>
        <w:pStyle w:val="FootnoteText"/>
        <w:rPr>
          <w:lang w:val="en-US"/>
        </w:rPr>
      </w:pPr>
      <w:r>
        <w:rPr>
          <w:rStyle w:val="FootnoteReference"/>
        </w:rPr>
        <w:footnoteRef/>
      </w:r>
      <w:r>
        <w:t xml:space="preserve"> Barnsley, P. Peden, A. Scarr, J. (2017) Economic Benefits of Australia’s Public Aquatic Facilities, Royal Life Saving Society </w:t>
      </w:r>
      <w:r>
        <w:rPr>
          <w:rFonts w:ascii="Verdana" w:hAnsi="Verdana"/>
        </w:rPr>
        <w:t>─</w:t>
      </w:r>
      <w:r>
        <w:t xml:space="preserve"> Australia, Sydney.</w:t>
      </w:r>
    </w:p>
  </w:footnote>
  <w:footnote w:id="77">
    <w:p w:rsidR="00145CFE" w:rsidRDefault="00145CFE">
      <w:pPr>
        <w:pStyle w:val="FootnoteText"/>
      </w:pPr>
      <w:r w:rsidRPr="00732CDA">
        <w:rPr>
          <w:rStyle w:val="FootnoteReference"/>
          <w:sz w:val="16"/>
          <w:szCs w:val="16"/>
        </w:rPr>
        <w:footnoteRef/>
      </w:r>
      <w:r>
        <w:t xml:space="preserve"> IBM Institute for Business Value, (2010) </w:t>
      </w:r>
      <w:r w:rsidRPr="0087415B">
        <w:t>Airlines 2020: Substitution an</w:t>
      </w:r>
      <w:r>
        <w:t>d C</w:t>
      </w:r>
      <w:r w:rsidRPr="0087415B">
        <w:t>ommoditisation</w:t>
      </w:r>
      <w:r>
        <w:t xml:space="preserve"> (p.4). </w:t>
      </w:r>
    </w:p>
  </w:footnote>
  <w:footnote w:id="78">
    <w:p w:rsidR="00145CFE" w:rsidRPr="007A2FAF" w:rsidRDefault="00145CFE" w:rsidP="00A078F0">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Australian Government (2017) The Whole Journey: A guide for thinking beyond compliance to create accessible public transport journeys, </w:t>
      </w:r>
      <w:hyperlink r:id="rId22" w:history="1">
        <w:r w:rsidRPr="007A2FAF">
          <w:rPr>
            <w:rStyle w:val="Hyperlink"/>
            <w:color w:val="000000" w:themeColor="text1"/>
            <w:szCs w:val="16"/>
          </w:rPr>
          <w:t>https://infrastructure.gov.au/transport/disabilities/whole-journey/files/whole_of_journey_guide.pdf</w:t>
        </w:r>
      </w:hyperlink>
      <w:r>
        <w:rPr>
          <w:rStyle w:val="Hyperlink"/>
          <w:color w:val="000000" w:themeColor="text1"/>
          <w:szCs w:val="16"/>
        </w:rPr>
        <w:t>.</w:t>
      </w:r>
      <w:r w:rsidRPr="007A2FAF">
        <w:rPr>
          <w:color w:val="000000" w:themeColor="text1"/>
          <w:szCs w:val="16"/>
        </w:rPr>
        <w:t xml:space="preserve"> </w:t>
      </w:r>
    </w:p>
  </w:footnote>
  <w:footnote w:id="79">
    <w:p w:rsidR="00145CFE" w:rsidRPr="007A2FAF" w:rsidRDefault="00145CFE" w:rsidP="00A078F0">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Australian Government (2015) Review of the Disability Standards for Accessible Public Transport 2002, </w:t>
      </w:r>
      <w:hyperlink r:id="rId23" w:history="1">
        <w:r w:rsidRPr="007A2FAF">
          <w:rPr>
            <w:rStyle w:val="Hyperlink"/>
            <w:color w:val="000000" w:themeColor="text1"/>
            <w:szCs w:val="16"/>
          </w:rPr>
          <w:t>https://infrastructure.gov.au/transport/disabilities/review/files/Australian_Government_Response_Transport_Standards_Review_Report.pdf</w:t>
        </w:r>
      </w:hyperlink>
      <w:r>
        <w:rPr>
          <w:rStyle w:val="Hyperlink"/>
          <w:color w:val="000000" w:themeColor="text1"/>
          <w:szCs w:val="16"/>
        </w:rPr>
        <w:t>.</w:t>
      </w:r>
      <w:r w:rsidRPr="007A2FAF">
        <w:rPr>
          <w:color w:val="000000" w:themeColor="text1"/>
          <w:szCs w:val="16"/>
        </w:rPr>
        <w:t xml:space="preserve"> </w:t>
      </w:r>
    </w:p>
  </w:footnote>
  <w:footnote w:id="80">
    <w:p w:rsidR="00145CFE" w:rsidRPr="00491F6A" w:rsidRDefault="00145CFE">
      <w:pPr>
        <w:pStyle w:val="FootnoteText"/>
        <w:rPr>
          <w:i/>
        </w:rPr>
      </w:pPr>
      <w:r w:rsidRPr="00934CAF">
        <w:rPr>
          <w:rStyle w:val="FootnoteReference"/>
          <w:sz w:val="16"/>
          <w:szCs w:val="16"/>
        </w:rPr>
        <w:footnoteRef/>
      </w:r>
      <w:r>
        <w:t xml:space="preserve"> Department of Infrastructure, Regional Development and Cities (2018) </w:t>
      </w:r>
      <w:r w:rsidRPr="00491F6A">
        <w:t>The Whole Journey: A guide for thinking beyond compliance to create accessible public transport journeys</w:t>
      </w:r>
      <w:r>
        <w:t>.</w:t>
      </w:r>
    </w:p>
  </w:footnote>
  <w:footnote w:id="81">
    <w:p w:rsidR="00145CFE" w:rsidRDefault="00145CFE">
      <w:pPr>
        <w:pStyle w:val="FootnoteText"/>
      </w:pPr>
      <w:r w:rsidRPr="00934CAF">
        <w:rPr>
          <w:rStyle w:val="FootnoteReference"/>
          <w:sz w:val="16"/>
          <w:szCs w:val="16"/>
        </w:rPr>
        <w:footnoteRef/>
      </w:r>
      <w:r>
        <w:t xml:space="preserve"> IBIS World Industry Report, </w:t>
      </w:r>
      <w:r>
        <w:rPr>
          <w:i/>
        </w:rPr>
        <w:t>Libraries and Archives in Australia.</w:t>
      </w:r>
    </w:p>
  </w:footnote>
  <w:footnote w:id="82">
    <w:p w:rsidR="00145CFE" w:rsidRPr="006F68B6" w:rsidRDefault="00145CFE">
      <w:pPr>
        <w:pStyle w:val="FootnoteText"/>
      </w:pPr>
      <w:r w:rsidRPr="00934CAF">
        <w:rPr>
          <w:rStyle w:val="FootnoteReference"/>
          <w:sz w:val="16"/>
          <w:szCs w:val="16"/>
        </w:rPr>
        <w:footnoteRef/>
      </w:r>
      <w:r w:rsidRPr="00934CAF">
        <w:rPr>
          <w:szCs w:val="16"/>
        </w:rPr>
        <w:t xml:space="preserve"> </w:t>
      </w:r>
      <w:hyperlink r:id="rId24" w:history="1">
        <w:r w:rsidRPr="006F68B6">
          <w:rPr>
            <w:rStyle w:val="Hyperlink"/>
            <w:color w:val="auto"/>
          </w:rPr>
          <w:t>https://changingplaces.org.au/wp-content/uploads/2017/05/CHANGING-PLACES-FACILITIES-LIST-v2.pdf</w:t>
        </w:r>
      </w:hyperlink>
      <w:r>
        <w:rPr>
          <w:rStyle w:val="Hyperlink"/>
          <w:color w:val="auto"/>
        </w:rPr>
        <w:t>.</w:t>
      </w:r>
    </w:p>
  </w:footnote>
  <w:footnote w:id="83">
    <w:p w:rsidR="00145CFE" w:rsidRPr="00812B88" w:rsidRDefault="00145CFE" w:rsidP="001B1DB9">
      <w:pPr>
        <w:pStyle w:val="FootnoteText"/>
      </w:pPr>
      <w:r w:rsidRPr="00934CAF">
        <w:rPr>
          <w:rStyle w:val="FootnoteReference"/>
          <w:sz w:val="16"/>
          <w:szCs w:val="16"/>
        </w:rPr>
        <w:footnoteRef/>
      </w:r>
      <w:r>
        <w:t xml:space="preserve"> IBIS World Industry Report, </w:t>
      </w:r>
      <w:r>
        <w:rPr>
          <w:i/>
        </w:rPr>
        <w:t>Libraries and Archives in Australia</w:t>
      </w:r>
      <w:r>
        <w:t>.</w:t>
      </w:r>
    </w:p>
  </w:footnote>
  <w:footnote w:id="84">
    <w:p w:rsidR="00145CFE" w:rsidRDefault="00145CFE" w:rsidP="00605DCF">
      <w:pPr>
        <w:pStyle w:val="FootnoteText"/>
      </w:pPr>
      <w:r w:rsidRPr="00934CAF">
        <w:rPr>
          <w:rStyle w:val="FootnoteReference"/>
          <w:sz w:val="16"/>
          <w:szCs w:val="16"/>
        </w:rPr>
        <w:footnoteRef/>
      </w:r>
      <w:r>
        <w:t xml:space="preserve"> Australasian Public Libraries and Information Services (2006) </w:t>
      </w:r>
      <w:r w:rsidRPr="00BB75E3">
        <w:rPr>
          <w:i/>
        </w:rPr>
        <w:t>Public Libraries in Shopping centres: retail therapy or Social Inclusion?</w:t>
      </w:r>
      <w:r>
        <w:t xml:space="preserve"> </w:t>
      </w:r>
    </w:p>
  </w:footnote>
  <w:footnote w:id="85">
    <w:p w:rsidR="00145CFE" w:rsidRDefault="00145CFE">
      <w:pPr>
        <w:pStyle w:val="FootnoteText"/>
      </w:pPr>
      <w:r w:rsidRPr="00934CAF">
        <w:rPr>
          <w:rStyle w:val="FootnoteReference"/>
          <w:sz w:val="16"/>
          <w:szCs w:val="16"/>
        </w:rPr>
        <w:footnoteRef/>
      </w:r>
      <w:r>
        <w:t xml:space="preserve"> </w:t>
      </w:r>
      <w:r w:rsidRPr="004242CB">
        <w:t>https://www.alia.org.au/sites/default/files/documents/advocacy/PLSG_ALIA_2012.pdf</w:t>
      </w:r>
      <w:r>
        <w:t>.</w:t>
      </w:r>
    </w:p>
  </w:footnote>
  <w:footnote w:id="86">
    <w:p w:rsidR="00145CFE" w:rsidRDefault="00145CFE">
      <w:pPr>
        <w:pStyle w:val="FootnoteText"/>
      </w:pPr>
      <w:r w:rsidRPr="00934CAF">
        <w:rPr>
          <w:rStyle w:val="FootnoteReference"/>
          <w:sz w:val="16"/>
          <w:szCs w:val="16"/>
        </w:rPr>
        <w:footnoteRef/>
      </w:r>
      <w:r w:rsidRPr="00934CAF">
        <w:rPr>
          <w:szCs w:val="16"/>
        </w:rPr>
        <w:t xml:space="preserve"> </w:t>
      </w:r>
      <w:r w:rsidRPr="0037008C">
        <w:t>http://www.australiacouncil.gov.au/workspace/uploads/files/the-cultural-economy-fact-shee-54f5fce276550.pdf</w:t>
      </w:r>
      <w:r>
        <w:t>.</w:t>
      </w:r>
    </w:p>
  </w:footnote>
  <w:footnote w:id="87">
    <w:p w:rsidR="00145CFE" w:rsidRDefault="00145CFE">
      <w:pPr>
        <w:pStyle w:val="FootnoteText"/>
      </w:pPr>
      <w:r w:rsidRPr="00934CAF">
        <w:rPr>
          <w:rStyle w:val="FootnoteReference"/>
          <w:sz w:val="16"/>
          <w:szCs w:val="16"/>
        </w:rPr>
        <w:footnoteRef/>
      </w:r>
      <w:r>
        <w:t xml:space="preserve"> </w:t>
      </w:r>
      <w:r w:rsidRPr="008C3213">
        <w:t>http://www.australiacouncil.gov.au/workspace/uploads/files/arts-nation-final-27-feb-54f5f492882da.pdf</w:t>
      </w:r>
      <w:r>
        <w:t>.</w:t>
      </w:r>
    </w:p>
  </w:footnote>
  <w:footnote w:id="88">
    <w:p w:rsidR="00145CFE" w:rsidRDefault="00145CFE">
      <w:pPr>
        <w:pStyle w:val="FootnoteText"/>
      </w:pPr>
      <w:r w:rsidRPr="00934CAF">
        <w:rPr>
          <w:rStyle w:val="FootnoteReference"/>
          <w:sz w:val="16"/>
          <w:szCs w:val="16"/>
        </w:rPr>
        <w:footnoteRef/>
      </w:r>
      <w:r>
        <w:t xml:space="preserve"> </w:t>
      </w:r>
      <w:r w:rsidRPr="008C3213">
        <w:t>http://reports.liveperformance.com.au/pdf/2016/LPA-Ticket-Survey-2016.pdf</w:t>
      </w:r>
      <w:r>
        <w:t>.</w:t>
      </w:r>
    </w:p>
  </w:footnote>
  <w:footnote w:id="89">
    <w:p w:rsidR="00145CFE" w:rsidRDefault="00145CFE">
      <w:pPr>
        <w:pStyle w:val="FootnoteText"/>
      </w:pPr>
      <w:r w:rsidRPr="00934CAF">
        <w:rPr>
          <w:rStyle w:val="FootnoteReference"/>
          <w:sz w:val="16"/>
          <w:szCs w:val="16"/>
        </w:rPr>
        <w:footnoteRef/>
      </w:r>
      <w:r>
        <w:t xml:space="preserve"> </w:t>
      </w:r>
      <w:r w:rsidRPr="00ED12CE">
        <w:t>4m</w:t>
      </w:r>
      <w:r w:rsidRPr="00ED12CE">
        <w:rPr>
          <w:vertAlign w:val="superscript"/>
        </w:rPr>
        <w:t>2</w:t>
      </w:r>
      <w:r w:rsidRPr="00ED12CE">
        <w:t xml:space="preserve"> for museums and 3m</w:t>
      </w:r>
      <w:r w:rsidRPr="00ED12CE">
        <w:rPr>
          <w:vertAlign w:val="superscript"/>
        </w:rPr>
        <w:t>2</w:t>
      </w:r>
      <w:r w:rsidRPr="00ED12CE">
        <w:t xml:space="preserve"> for shopping centres </w:t>
      </w:r>
      <w:r>
        <w:t xml:space="preserve">(assuming single storey buildings) </w:t>
      </w:r>
      <w:r w:rsidRPr="00ED12CE">
        <w:t>is assumed for this analysis.</w:t>
      </w:r>
    </w:p>
  </w:footnote>
  <w:footnote w:id="90">
    <w:p w:rsidR="00145CFE" w:rsidRPr="00985280" w:rsidRDefault="00145CFE" w:rsidP="008A1470">
      <w:pPr>
        <w:pStyle w:val="FootnoteText"/>
      </w:pPr>
      <w:r w:rsidRPr="006A5009">
        <w:rPr>
          <w:rStyle w:val="FootnoteReference"/>
          <w:sz w:val="16"/>
          <w:szCs w:val="16"/>
        </w:rPr>
        <w:footnoteRef/>
      </w:r>
      <w:r w:rsidRPr="00985280">
        <w:t xml:space="preserve"> </w:t>
      </w:r>
      <w:hyperlink r:id="rId25" w:history="1">
        <w:r w:rsidRPr="00985280">
          <w:rPr>
            <w:rStyle w:val="Hyperlink"/>
            <w:color w:val="auto"/>
          </w:rPr>
          <w:t>http://www.scca.org.au/wp-content/uploads/2015/06/Briefing-Note-Shopping-Centre-Redevelopment.pdf</w:t>
        </w:r>
      </w:hyperlink>
      <w:r>
        <w:rPr>
          <w:rStyle w:val="Hyperlink"/>
          <w:color w:val="auto"/>
        </w:rPr>
        <w:t>.</w:t>
      </w:r>
    </w:p>
  </w:footnote>
  <w:footnote w:id="91">
    <w:p w:rsidR="00145CFE" w:rsidRPr="00363EB8" w:rsidRDefault="00145CFE" w:rsidP="00363EB8">
      <w:pPr>
        <w:rPr>
          <w:rFonts w:cs="Arial"/>
          <w:color w:val="000000" w:themeColor="text1"/>
          <w:sz w:val="16"/>
          <w:szCs w:val="16"/>
        </w:rPr>
      </w:pPr>
      <w:r w:rsidRPr="007A2FAF">
        <w:rPr>
          <w:rStyle w:val="FootnoteReference"/>
          <w:color w:val="000000" w:themeColor="text1"/>
          <w:sz w:val="16"/>
          <w:szCs w:val="16"/>
        </w:rPr>
        <w:footnoteRef/>
      </w:r>
      <w:r w:rsidRPr="007A2FAF">
        <w:rPr>
          <w:rFonts w:cs="Arial"/>
          <w:color w:val="000000" w:themeColor="text1"/>
          <w:sz w:val="16"/>
          <w:szCs w:val="16"/>
        </w:rPr>
        <w:t xml:space="preserve"> Under the status quo, it is assumed that no new buildings install an </w:t>
      </w:r>
      <w:r>
        <w:rPr>
          <w:rFonts w:cs="Arial"/>
          <w:color w:val="000000" w:themeColor="text1"/>
          <w:sz w:val="16"/>
          <w:szCs w:val="16"/>
        </w:rPr>
        <w:t>AACF over the projection period.</w:t>
      </w:r>
    </w:p>
  </w:footnote>
  <w:footnote w:id="92">
    <w:p w:rsidR="00145CFE" w:rsidRPr="007A2FAF" w:rsidRDefault="00145CFE">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The assumption being that the benefit accrued would be at least equal to the cost of visiting the building; if the level of benefit was lower than the cost of entry then the trip would not be undertaken in the first place.  </w:t>
      </w:r>
    </w:p>
  </w:footnote>
  <w:footnote w:id="93">
    <w:p w:rsidR="00145CFE" w:rsidRDefault="00145CFE">
      <w:pPr>
        <w:pStyle w:val="FootnoteText"/>
      </w:pPr>
      <w:r w:rsidRPr="006A5009">
        <w:rPr>
          <w:rStyle w:val="FootnoteReference"/>
          <w:sz w:val="16"/>
          <w:szCs w:val="16"/>
        </w:rPr>
        <w:footnoteRef/>
      </w:r>
      <w:r>
        <w:t xml:space="preserve"> </w:t>
      </w:r>
      <w:r w:rsidRPr="00CD67E5">
        <w:t>https://bitre.gov.au/statistics/aviation/</w:t>
      </w:r>
      <w:r>
        <w:t>.</w:t>
      </w:r>
    </w:p>
  </w:footnote>
  <w:footnote w:id="94">
    <w:p w:rsidR="00145CFE" w:rsidRDefault="00145CFE">
      <w:pPr>
        <w:pStyle w:val="FootnoteText"/>
      </w:pPr>
      <w:r w:rsidRPr="006A5009">
        <w:rPr>
          <w:rStyle w:val="FootnoteReference"/>
          <w:sz w:val="16"/>
          <w:szCs w:val="16"/>
        </w:rPr>
        <w:footnoteRef/>
      </w:r>
      <w:r w:rsidRPr="006A5009">
        <w:rPr>
          <w:szCs w:val="16"/>
        </w:rPr>
        <w:t xml:space="preserve"> </w:t>
      </w:r>
      <w:r>
        <w:t xml:space="preserve">Barnsley, P. Peden, A. Scarr, J. (2017) Economic Benefits of Australia’s Public Aquatic Facilities, Royal Life Saving Society </w:t>
      </w:r>
      <w:r>
        <w:rPr>
          <w:rFonts w:ascii="Verdana" w:hAnsi="Verdana"/>
        </w:rPr>
        <w:t>─</w:t>
      </w:r>
      <w:r>
        <w:t xml:space="preserve"> Australia, Sydney. </w:t>
      </w:r>
    </w:p>
  </w:footnote>
  <w:footnote w:id="95">
    <w:p w:rsidR="00145CFE" w:rsidRPr="007A2FAF" w:rsidRDefault="00145CFE" w:rsidP="00D5643A">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JCDecaux, The Mall Phenomenon, </w:t>
      </w:r>
      <w:hyperlink r:id="rId26" w:history="1">
        <w:r w:rsidRPr="007A2FAF">
          <w:rPr>
            <w:rStyle w:val="Hyperlink"/>
            <w:color w:val="000000" w:themeColor="text1"/>
            <w:szCs w:val="16"/>
          </w:rPr>
          <w:t>http://www.jcdecauxna.com/sites/default/files/assets/mall/documents/studies/MallPhenomenon.pdf</w:t>
        </w:r>
      </w:hyperlink>
      <w:r>
        <w:rPr>
          <w:rStyle w:val="Hyperlink"/>
          <w:color w:val="000000" w:themeColor="text1"/>
          <w:szCs w:val="16"/>
        </w:rPr>
        <w:t>.</w:t>
      </w:r>
      <w:r w:rsidRPr="007A2FAF">
        <w:rPr>
          <w:color w:val="000000" w:themeColor="text1"/>
          <w:szCs w:val="16"/>
        </w:rPr>
        <w:t xml:space="preserve"> </w:t>
      </w:r>
    </w:p>
  </w:footnote>
  <w:footnote w:id="96">
    <w:p w:rsidR="00145CFE" w:rsidRDefault="00145CFE">
      <w:pPr>
        <w:pStyle w:val="FootnoteText"/>
      </w:pPr>
      <w:r w:rsidRPr="006A5009">
        <w:rPr>
          <w:rStyle w:val="FootnoteReference"/>
          <w:sz w:val="16"/>
          <w:szCs w:val="16"/>
        </w:rPr>
        <w:footnoteRef/>
      </w:r>
      <w:r>
        <w:t xml:space="preserve"> Dwyer, L. Darcy S. (2008) The Economic Contribution of Accessible Tourism to the Australian Economy (p.27).</w:t>
      </w:r>
    </w:p>
  </w:footnote>
  <w:footnote w:id="97">
    <w:p w:rsidR="00145CFE" w:rsidRDefault="00145CFE">
      <w:pPr>
        <w:pStyle w:val="FootnoteText"/>
      </w:pPr>
      <w:r w:rsidRPr="006A5009">
        <w:rPr>
          <w:rStyle w:val="FootnoteReference"/>
          <w:sz w:val="16"/>
          <w:szCs w:val="16"/>
        </w:rPr>
        <w:footnoteRef/>
      </w:r>
      <w:r w:rsidRPr="006A5009">
        <w:rPr>
          <w:szCs w:val="16"/>
        </w:rPr>
        <w:t xml:space="preserve"> </w:t>
      </w:r>
      <w:r>
        <w:t xml:space="preserve">Barnsley, P. Peden, A. Scarr, J. (2017) Economic Benefits of Australia’s Public Aquatic Facilities, Royal Life Saving Society </w:t>
      </w:r>
      <w:r>
        <w:rPr>
          <w:rFonts w:ascii="Verdana" w:hAnsi="Verdana"/>
        </w:rPr>
        <w:t>─</w:t>
      </w:r>
      <w:r>
        <w:t xml:space="preserve"> Australia, Sydney.</w:t>
      </w:r>
    </w:p>
  </w:footnote>
  <w:footnote w:id="98">
    <w:p w:rsidR="00145CFE" w:rsidRPr="007A2FAF" w:rsidRDefault="00145CFE" w:rsidP="002319C3">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Swaine, B. et. Al (2013) Exploring the facilitators and barriers to shopping mall use by persons with disabilities and strategies for improvements: Perspectives from persons with disabilities, rehabilitation professionals and shopkeepers, ALTER, European Journal of Disability Research 8 (2014) 217-229</w:t>
      </w:r>
      <w:r>
        <w:rPr>
          <w:color w:val="000000" w:themeColor="text1"/>
          <w:szCs w:val="16"/>
        </w:rPr>
        <w:t>.</w:t>
      </w:r>
    </w:p>
  </w:footnote>
  <w:footnote w:id="99">
    <w:p w:rsidR="00145CFE" w:rsidRPr="007A2FAF" w:rsidRDefault="00145CFE" w:rsidP="00983279">
      <w:pPr>
        <w:pStyle w:val="FootnoteText"/>
        <w:rPr>
          <w:color w:val="000000" w:themeColor="text1"/>
          <w:szCs w:val="16"/>
        </w:rPr>
      </w:pPr>
      <w:r w:rsidRPr="007A2FAF">
        <w:rPr>
          <w:rStyle w:val="FootnoteReference"/>
          <w:color w:val="000000" w:themeColor="text1"/>
          <w:sz w:val="16"/>
          <w:szCs w:val="16"/>
        </w:rPr>
        <w:footnoteRef/>
      </w:r>
      <w:r w:rsidRPr="007A2FAF">
        <w:rPr>
          <w:color w:val="000000" w:themeColor="text1"/>
          <w:szCs w:val="16"/>
        </w:rPr>
        <w:t xml:space="preserve"> Changing Places, </w:t>
      </w:r>
      <w:hyperlink r:id="rId27" w:history="1">
        <w:r w:rsidRPr="007A2FAF">
          <w:rPr>
            <w:rStyle w:val="Hyperlink"/>
            <w:color w:val="000000" w:themeColor="text1"/>
            <w:szCs w:val="16"/>
          </w:rPr>
          <w:t>http://www.changing-places.org/</w:t>
        </w:r>
      </w:hyperlink>
      <w:r>
        <w:rPr>
          <w:rStyle w:val="Hyperlink"/>
          <w:color w:val="000000" w:themeColor="text1"/>
          <w:szCs w:val="16"/>
        </w:rPr>
        <w:t>.</w:t>
      </w:r>
      <w:r w:rsidRPr="007A2FAF">
        <w:rPr>
          <w:color w:val="000000" w:themeColor="text1"/>
          <w:szCs w:val="16"/>
        </w:rPr>
        <w:t xml:space="preserve"> </w:t>
      </w:r>
    </w:p>
  </w:footnote>
  <w:footnote w:id="100">
    <w:p w:rsidR="00145CFE" w:rsidRPr="007A2FAF" w:rsidRDefault="00145CFE" w:rsidP="00983279">
      <w:pPr>
        <w:pStyle w:val="FootnoteText"/>
        <w:rPr>
          <w:color w:val="000000" w:themeColor="text1"/>
          <w:szCs w:val="16"/>
        </w:rPr>
      </w:pPr>
    </w:p>
  </w:footnote>
  <w:footnote w:id="101">
    <w:p w:rsidR="00145CFE" w:rsidRPr="007A2FAF" w:rsidRDefault="00145CFE" w:rsidP="00983279">
      <w:pPr>
        <w:rPr>
          <w:rFonts w:cs="Arial"/>
          <w:color w:val="000000" w:themeColor="text1"/>
          <w:sz w:val="16"/>
          <w:szCs w:val="16"/>
        </w:rPr>
      </w:pPr>
    </w:p>
  </w:footnote>
  <w:footnote w:id="102">
    <w:p w:rsidR="00145CFE" w:rsidRDefault="00145CFE">
      <w:pPr>
        <w:pStyle w:val="FootnoteText"/>
      </w:pPr>
      <w:r w:rsidRPr="006A5009">
        <w:rPr>
          <w:rStyle w:val="FootnoteReference"/>
          <w:sz w:val="16"/>
          <w:szCs w:val="16"/>
        </w:rPr>
        <w:footnoteRef/>
      </w:r>
      <w:r>
        <w:t xml:space="preserve"> State of California (2015)  </w:t>
      </w:r>
      <w:r w:rsidRPr="00DD65D7">
        <w:t>https://leginfo.legislature.ca.gov/faces/billStatusClient.xhtml?bill_id=201520160AB662</w:t>
      </w:r>
      <w:r>
        <w:t>.</w:t>
      </w:r>
    </w:p>
  </w:footnote>
  <w:footnote w:id="103">
    <w:p w:rsidR="00145CFE" w:rsidRDefault="00145CFE">
      <w:pPr>
        <w:pStyle w:val="FootnoteText"/>
      </w:pPr>
      <w:r w:rsidRPr="006A5009">
        <w:rPr>
          <w:rStyle w:val="FootnoteReference"/>
          <w:sz w:val="16"/>
          <w:szCs w:val="16"/>
        </w:rPr>
        <w:footnoteRef/>
      </w:r>
      <w:r w:rsidRPr="006A5009">
        <w:rPr>
          <w:szCs w:val="16"/>
        </w:rPr>
        <w:t xml:space="preserve"> </w:t>
      </w:r>
      <w:r>
        <w:t xml:space="preserve">State of California (2015) </w:t>
      </w:r>
      <w:r w:rsidRPr="00DD65D7">
        <w:t>https://leginfo.legislature.ca.gov/faces/billCompareClient.xhtml?bill_id=201520160AB662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CFE" w:rsidRPr="009048E5" w:rsidRDefault="00145CFE">
    <w:pPr>
      <w:pStyle w:val="Header"/>
    </w:pPr>
    <w:r>
      <w:rPr>
        <w:noProof/>
        <w:lang w:eastAsia="en-AU"/>
      </w:rPr>
      <mc:AlternateContent>
        <mc:Choice Requires="wps">
          <w:drawing>
            <wp:anchor distT="0" distB="0" distL="114300" distR="114300" simplePos="0" relativeHeight="251658241" behindDoc="1" locked="0" layoutInCell="1" allowOverlap="1" wp14:anchorId="059A00FB" wp14:editId="002441FA">
              <wp:simplePos x="0" y="0"/>
              <wp:positionH relativeFrom="page">
                <wp:posOffset>426721</wp:posOffset>
              </wp:positionH>
              <wp:positionV relativeFrom="page">
                <wp:posOffset>662940</wp:posOffset>
              </wp:positionV>
              <wp:extent cx="4400712" cy="3863340"/>
              <wp:effectExtent l="0" t="0" r="0" b="381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712" cy="3863340"/>
                      </a:xfrm>
                      <a:custGeom>
                        <a:avLst/>
                        <a:gdLst>
                          <a:gd name="T0" fmla="*/ 0 w 2074"/>
                          <a:gd name="T1" fmla="*/ 367 h 3182"/>
                          <a:gd name="T2" fmla="*/ 0 w 2074"/>
                          <a:gd name="T3" fmla="*/ 3182 h 3182"/>
                          <a:gd name="T4" fmla="*/ 2074 w 2074"/>
                          <a:gd name="T5" fmla="*/ 3182 h 3182"/>
                          <a:gd name="T6" fmla="*/ 2074 w 2074"/>
                          <a:gd name="T7" fmla="*/ 0 h 3182"/>
                          <a:gd name="T8" fmla="*/ 0 w 2074"/>
                          <a:gd name="T9" fmla="*/ 367 h 3182"/>
                          <a:gd name="connsiteX0" fmla="*/ 0 w 10000"/>
                          <a:gd name="connsiteY0" fmla="*/ 1153 h 10000"/>
                          <a:gd name="connsiteX1" fmla="*/ 0 w 10000"/>
                          <a:gd name="connsiteY1" fmla="*/ 8036 h 10000"/>
                          <a:gd name="connsiteX2" fmla="*/ 10000 w 10000"/>
                          <a:gd name="connsiteY2" fmla="*/ 10000 h 10000"/>
                          <a:gd name="connsiteX3" fmla="*/ 10000 w 10000"/>
                          <a:gd name="connsiteY3" fmla="*/ 0 h 10000"/>
                          <a:gd name="connsiteX4" fmla="*/ 0 w 10000"/>
                          <a:gd name="connsiteY4" fmla="*/ 1153 h 10000"/>
                          <a:gd name="connsiteX0" fmla="*/ 0 w 10000"/>
                          <a:gd name="connsiteY0" fmla="*/ 1153 h 8085"/>
                          <a:gd name="connsiteX1" fmla="*/ 0 w 10000"/>
                          <a:gd name="connsiteY1" fmla="*/ 8036 h 8085"/>
                          <a:gd name="connsiteX2" fmla="*/ 10000 w 10000"/>
                          <a:gd name="connsiteY2" fmla="*/ 8085 h 8085"/>
                          <a:gd name="connsiteX3" fmla="*/ 10000 w 10000"/>
                          <a:gd name="connsiteY3" fmla="*/ 0 h 8085"/>
                          <a:gd name="connsiteX4" fmla="*/ 0 w 10000"/>
                          <a:gd name="connsiteY4" fmla="*/ 1153 h 8085"/>
                          <a:gd name="connsiteX0" fmla="*/ 0 w 10000"/>
                          <a:gd name="connsiteY0" fmla="*/ 1426 h 10000"/>
                          <a:gd name="connsiteX1" fmla="*/ 0 w 10000"/>
                          <a:gd name="connsiteY1" fmla="*/ 9939 h 10000"/>
                          <a:gd name="connsiteX2" fmla="*/ 10000 w 10000"/>
                          <a:gd name="connsiteY2" fmla="*/ 10000 h 10000"/>
                          <a:gd name="connsiteX3" fmla="*/ 10000 w 10000"/>
                          <a:gd name="connsiteY3" fmla="*/ 0 h 10000"/>
                          <a:gd name="connsiteX4" fmla="*/ 0 w 10000"/>
                          <a:gd name="connsiteY4" fmla="*/ 1426 h 10000"/>
                          <a:gd name="connsiteX0" fmla="*/ 0 w 10000"/>
                          <a:gd name="connsiteY0" fmla="*/ 1426 h 10000"/>
                          <a:gd name="connsiteX1" fmla="*/ 0 w 10000"/>
                          <a:gd name="connsiteY1" fmla="*/ 9939 h 10000"/>
                          <a:gd name="connsiteX2" fmla="*/ 10000 w 10000"/>
                          <a:gd name="connsiteY2" fmla="*/ 10000 h 10000"/>
                          <a:gd name="connsiteX3" fmla="*/ 10000 w 10000"/>
                          <a:gd name="connsiteY3" fmla="*/ 0 h 10000"/>
                          <a:gd name="connsiteX4" fmla="*/ 0 w 10000"/>
                          <a:gd name="connsiteY4" fmla="*/ 1426 h 10000"/>
                          <a:gd name="connsiteX0" fmla="*/ 0 w 10000"/>
                          <a:gd name="connsiteY0" fmla="*/ 1667 h 10000"/>
                          <a:gd name="connsiteX1" fmla="*/ 0 w 10000"/>
                          <a:gd name="connsiteY1" fmla="*/ 9939 h 10000"/>
                          <a:gd name="connsiteX2" fmla="*/ 10000 w 10000"/>
                          <a:gd name="connsiteY2" fmla="*/ 10000 h 10000"/>
                          <a:gd name="connsiteX3" fmla="*/ 10000 w 10000"/>
                          <a:gd name="connsiteY3" fmla="*/ 0 h 10000"/>
                          <a:gd name="connsiteX4" fmla="*/ 0 w 10000"/>
                          <a:gd name="connsiteY4" fmla="*/ 1667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667"/>
                            </a:moveTo>
                            <a:lnTo>
                              <a:pt x="0" y="9939"/>
                            </a:lnTo>
                            <a:lnTo>
                              <a:pt x="10000" y="10000"/>
                            </a:lnTo>
                            <a:lnTo>
                              <a:pt x="10000" y="0"/>
                            </a:lnTo>
                            <a:lnTo>
                              <a:pt x="0" y="1667"/>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86D46B3" id="Freeform 14" o:spid="_x0000_s1026" style="position:absolute;margin-left:33.6pt;margin-top:52.2pt;width:346.5pt;height:304.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" path="m,1667l,9939r10000,61l10000,,,1667xe" fillcolor="#ffe600" stroked="f">
              <v:path arrowok="t" o:connecttype="custom" o:connectlocs="0,644019;0,3839774;4400712,3863340;4400712,0;0,644019" o:connectangles="0,0,0,0,0"/>
              <w10:wrap anchorx="page" anchory="page"/>
            </v:shape>
          </w:pict>
        </mc:Fallback>
      </mc:AlternateContent>
    </w:r>
    <w:r w:rsidRPr="009048E5">
      <w:rPr>
        <w:noProof/>
        <w:lang w:eastAsia="en-AU"/>
      </w:rPr>
      <w:drawing>
        <wp:anchor distT="0" distB="0" distL="114300" distR="114300" simplePos="0" relativeHeight="251658240" behindDoc="1" locked="0" layoutInCell="1" allowOverlap="1" wp14:anchorId="0A03CE6B" wp14:editId="4F1293FF">
          <wp:simplePos x="0" y="0"/>
          <wp:positionH relativeFrom="page">
            <wp:posOffset>6045200</wp:posOffset>
          </wp:positionH>
          <wp:positionV relativeFrom="page">
            <wp:posOffset>9018905</wp:posOffset>
          </wp:positionV>
          <wp:extent cx="1080000" cy="1260000"/>
          <wp:effectExtent l="0" t="0" r="6350" b="0"/>
          <wp:wrapNone/>
          <wp:docPr id="20" name="Picture 20" descr="C:\Users\sanish.raju\Desktop\1503-1413062_Brand update template creation\13-May-2015\A4 pieces\EY Logo A4_propos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ish.raju\Desktop\1503-1413062_Brand update template creation\13-May-2015\A4 pieces\EY Logo A4_proposal.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2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CFE" w:rsidRPr="009C0284" w:rsidRDefault="00145CFE">
    <w:pPr>
      <w:pStyle w:val="Head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10E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9C73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02CC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8874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DE0C6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667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CA24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B860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B8B7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525F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FB6DF9"/>
    <w:multiLevelType w:val="hybridMultilevel"/>
    <w:tmpl w:val="6F5A5B42"/>
    <w:lvl w:ilvl="0" w:tplc="E87C7E32">
      <w:start w:val="1"/>
      <w:numFmt w:val="bullet"/>
      <w:pStyle w:val="EYBulletedList1"/>
      <w:lvlText w:val="•"/>
      <w:lvlJc w:val="left"/>
      <w:pPr>
        <w:ind w:left="720" w:hanging="360"/>
      </w:pPr>
      <w:rPr>
        <w:rFonts w:ascii="EYInterstate" w:hAnsi="EYInterstate" w:hint="default"/>
        <w:color w:val="auto"/>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1D5155"/>
    <w:multiLevelType w:val="hybridMultilevel"/>
    <w:tmpl w:val="F31C138E"/>
    <w:lvl w:ilvl="0" w:tplc="8FA891EC">
      <w:start w:val="1"/>
      <w:numFmt w:val="bullet"/>
      <w:lvlText w:val="►"/>
      <w:lvlJc w:val="left"/>
      <w:pPr>
        <w:ind w:left="612" w:hanging="360"/>
      </w:pPr>
      <w:rPr>
        <w:rFonts w:ascii="Arial" w:hAnsi="Arial" w:hint="default"/>
        <w:color w:val="auto"/>
        <w:sz w:val="16"/>
        <w:szCs w:val="20"/>
      </w:rPr>
    </w:lvl>
    <w:lvl w:ilvl="1" w:tplc="14090003" w:tentative="1">
      <w:start w:val="1"/>
      <w:numFmt w:val="bullet"/>
      <w:lvlText w:val="o"/>
      <w:lvlJc w:val="left"/>
      <w:pPr>
        <w:ind w:left="1332" w:hanging="360"/>
      </w:pPr>
      <w:rPr>
        <w:rFonts w:ascii="Courier New" w:hAnsi="Courier New" w:cs="Courier New" w:hint="default"/>
      </w:rPr>
    </w:lvl>
    <w:lvl w:ilvl="2" w:tplc="14090005" w:tentative="1">
      <w:start w:val="1"/>
      <w:numFmt w:val="bullet"/>
      <w:lvlText w:val=""/>
      <w:lvlJc w:val="left"/>
      <w:pPr>
        <w:ind w:left="2052" w:hanging="360"/>
      </w:pPr>
      <w:rPr>
        <w:rFonts w:ascii="Wingdings" w:hAnsi="Wingdings" w:hint="default"/>
      </w:rPr>
    </w:lvl>
    <w:lvl w:ilvl="3" w:tplc="14090001" w:tentative="1">
      <w:start w:val="1"/>
      <w:numFmt w:val="bullet"/>
      <w:lvlText w:val=""/>
      <w:lvlJc w:val="left"/>
      <w:pPr>
        <w:ind w:left="2772" w:hanging="360"/>
      </w:pPr>
      <w:rPr>
        <w:rFonts w:ascii="Symbol" w:hAnsi="Symbol" w:hint="default"/>
      </w:rPr>
    </w:lvl>
    <w:lvl w:ilvl="4" w:tplc="14090003" w:tentative="1">
      <w:start w:val="1"/>
      <w:numFmt w:val="bullet"/>
      <w:lvlText w:val="o"/>
      <w:lvlJc w:val="left"/>
      <w:pPr>
        <w:ind w:left="3492" w:hanging="360"/>
      </w:pPr>
      <w:rPr>
        <w:rFonts w:ascii="Courier New" w:hAnsi="Courier New" w:cs="Courier New" w:hint="default"/>
      </w:rPr>
    </w:lvl>
    <w:lvl w:ilvl="5" w:tplc="14090005" w:tentative="1">
      <w:start w:val="1"/>
      <w:numFmt w:val="bullet"/>
      <w:lvlText w:val=""/>
      <w:lvlJc w:val="left"/>
      <w:pPr>
        <w:ind w:left="4212" w:hanging="360"/>
      </w:pPr>
      <w:rPr>
        <w:rFonts w:ascii="Wingdings" w:hAnsi="Wingdings" w:hint="default"/>
      </w:rPr>
    </w:lvl>
    <w:lvl w:ilvl="6" w:tplc="14090001" w:tentative="1">
      <w:start w:val="1"/>
      <w:numFmt w:val="bullet"/>
      <w:lvlText w:val=""/>
      <w:lvlJc w:val="left"/>
      <w:pPr>
        <w:ind w:left="4932" w:hanging="360"/>
      </w:pPr>
      <w:rPr>
        <w:rFonts w:ascii="Symbol" w:hAnsi="Symbol" w:hint="default"/>
      </w:rPr>
    </w:lvl>
    <w:lvl w:ilvl="7" w:tplc="14090003" w:tentative="1">
      <w:start w:val="1"/>
      <w:numFmt w:val="bullet"/>
      <w:lvlText w:val="o"/>
      <w:lvlJc w:val="left"/>
      <w:pPr>
        <w:ind w:left="5652" w:hanging="360"/>
      </w:pPr>
      <w:rPr>
        <w:rFonts w:ascii="Courier New" w:hAnsi="Courier New" w:cs="Courier New" w:hint="default"/>
      </w:rPr>
    </w:lvl>
    <w:lvl w:ilvl="8" w:tplc="14090005" w:tentative="1">
      <w:start w:val="1"/>
      <w:numFmt w:val="bullet"/>
      <w:lvlText w:val=""/>
      <w:lvlJc w:val="left"/>
      <w:pPr>
        <w:ind w:left="6372" w:hanging="360"/>
      </w:pPr>
      <w:rPr>
        <w:rFonts w:ascii="Wingdings" w:hAnsi="Wingdings" w:hint="default"/>
      </w:rPr>
    </w:lvl>
  </w:abstractNum>
  <w:abstractNum w:abstractNumId="12" w15:restartNumberingAfterBreak="0">
    <w:nsid w:val="122540F5"/>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2C3D12"/>
    <w:multiLevelType w:val="hybridMultilevel"/>
    <w:tmpl w:val="1AFEFE52"/>
    <w:lvl w:ilvl="0" w:tplc="49746586">
      <w:start w:val="1"/>
      <w:numFmt w:val="bullet"/>
      <w:lvlText w:val="►"/>
      <w:lvlJc w:val="left"/>
      <w:pPr>
        <w:ind w:left="720" w:hanging="360"/>
      </w:pPr>
      <w:rPr>
        <w:rFonts w:ascii="Arial" w:hAnsi="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AC2DB4"/>
    <w:multiLevelType w:val="hybridMultilevel"/>
    <w:tmpl w:val="8E444EC6"/>
    <w:lvl w:ilvl="0" w:tplc="63C4D7F4">
      <w:start w:val="1"/>
      <w:numFmt w:val="decimal"/>
      <w:lvlText w:val="%1."/>
      <w:lvlJc w:val="left"/>
      <w:pPr>
        <w:ind w:left="720" w:hanging="360"/>
      </w:pPr>
      <w:rPr>
        <w:rFonts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7500AA3"/>
    <w:multiLevelType w:val="hybridMultilevel"/>
    <w:tmpl w:val="A5D0C33A"/>
    <w:lvl w:ilvl="0" w:tplc="06E82EFE">
      <w:start w:val="1"/>
      <w:numFmt w:val="bullet"/>
      <w:lvlText w:val="►"/>
      <w:lvlJc w:val="left"/>
      <w:pPr>
        <w:ind w:left="720" w:hanging="360"/>
      </w:pPr>
      <w:rPr>
        <w:rFonts w:ascii="Arial" w:hAnsi="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43653B"/>
    <w:multiLevelType w:val="multilevel"/>
    <w:tmpl w:val="B1884DD8"/>
    <w:styleLink w:val="EYPlainBulletList"/>
    <w:lvl w:ilvl="0">
      <w:start w:val="1"/>
      <w:numFmt w:val="bullet"/>
      <w:pStyle w:val="EYBulletnoparaspace"/>
      <w:lvlText w:val="►"/>
      <w:lvlJc w:val="left"/>
      <w:pPr>
        <w:ind w:left="425" w:hanging="425"/>
      </w:pPr>
      <w:rPr>
        <w:rFonts w:ascii="Arial" w:hAnsi="Arial" w:hint="default"/>
        <w:sz w:val="16"/>
      </w:rPr>
    </w:lvl>
    <w:lvl w:ilvl="1">
      <w:start w:val="1"/>
      <w:numFmt w:val="bullet"/>
      <w:lvlText w:val="►"/>
      <w:lvlJc w:val="left"/>
      <w:pPr>
        <w:ind w:left="850" w:hanging="425"/>
      </w:pPr>
      <w:rPr>
        <w:rFonts w:ascii="Arial" w:hAnsi="Arial" w:hint="default"/>
        <w:sz w:val="16"/>
      </w:rPr>
    </w:lvl>
    <w:lvl w:ilvl="2">
      <w:start w:val="1"/>
      <w:numFmt w:val="bullet"/>
      <w:lvlText w:val="►"/>
      <w:lvlJc w:val="left"/>
      <w:pPr>
        <w:ind w:left="1275" w:hanging="425"/>
      </w:pPr>
      <w:rPr>
        <w:rFonts w:ascii="Arial" w:hAnsi="Arial" w:hint="default"/>
        <w:sz w:val="16"/>
      </w:rPr>
    </w:lvl>
    <w:lvl w:ilvl="3">
      <w:start w:val="1"/>
      <w:numFmt w:val="bullet"/>
      <w:lvlText w:val="►"/>
      <w:lvlJc w:val="left"/>
      <w:pPr>
        <w:ind w:left="1700" w:hanging="425"/>
      </w:pPr>
      <w:rPr>
        <w:rFonts w:ascii="Arial" w:hAnsi="Arial" w:hint="default"/>
        <w:sz w:val="16"/>
      </w:rPr>
    </w:lvl>
    <w:lvl w:ilvl="4">
      <w:start w:val="1"/>
      <w:numFmt w:val="bullet"/>
      <w:lvlText w:val="►"/>
      <w:lvlJc w:val="left"/>
      <w:pPr>
        <w:ind w:left="2125" w:hanging="425"/>
      </w:pPr>
      <w:rPr>
        <w:rFonts w:ascii="Arial" w:hAnsi="Arial" w:hint="default"/>
        <w:sz w:val="16"/>
      </w:rPr>
    </w:lvl>
    <w:lvl w:ilvl="5">
      <w:start w:val="1"/>
      <w:numFmt w:val="bullet"/>
      <w:lvlText w:val="►"/>
      <w:lvlJc w:val="left"/>
      <w:pPr>
        <w:ind w:left="2550" w:hanging="425"/>
      </w:pPr>
      <w:rPr>
        <w:rFonts w:ascii="Arial" w:hAnsi="Arial" w:hint="default"/>
        <w:sz w:val="16"/>
      </w:rPr>
    </w:lvl>
    <w:lvl w:ilvl="6">
      <w:start w:val="1"/>
      <w:numFmt w:val="bullet"/>
      <w:lvlText w:val="►"/>
      <w:lvlJc w:val="left"/>
      <w:pPr>
        <w:ind w:left="2975" w:hanging="425"/>
      </w:pPr>
      <w:rPr>
        <w:rFonts w:ascii="Arial" w:hAnsi="Arial" w:hint="default"/>
        <w:sz w:val="16"/>
      </w:rPr>
    </w:lvl>
    <w:lvl w:ilvl="7">
      <w:start w:val="1"/>
      <w:numFmt w:val="bullet"/>
      <w:lvlText w:val="►"/>
      <w:lvlJc w:val="left"/>
      <w:pPr>
        <w:ind w:left="3400" w:hanging="425"/>
      </w:pPr>
      <w:rPr>
        <w:rFonts w:ascii="Arial" w:hAnsi="Arial" w:hint="default"/>
        <w:sz w:val="16"/>
      </w:rPr>
    </w:lvl>
    <w:lvl w:ilvl="8">
      <w:start w:val="1"/>
      <w:numFmt w:val="bullet"/>
      <w:lvlText w:val="►"/>
      <w:lvlJc w:val="left"/>
      <w:pPr>
        <w:ind w:left="3825" w:hanging="425"/>
      </w:pPr>
      <w:rPr>
        <w:rFonts w:ascii="Arial" w:hAnsi="Arial" w:hint="default"/>
        <w:sz w:val="16"/>
      </w:rPr>
    </w:lvl>
  </w:abstractNum>
  <w:abstractNum w:abstractNumId="17" w15:restartNumberingAfterBreak="0">
    <w:nsid w:val="1DCB2650"/>
    <w:multiLevelType w:val="hybridMultilevel"/>
    <w:tmpl w:val="2A464192"/>
    <w:lvl w:ilvl="0" w:tplc="F5D45DC0">
      <w:start w:val="1"/>
      <w:numFmt w:val="bullet"/>
      <w:lvlText w:val="►"/>
      <w:lvlJc w:val="left"/>
      <w:pPr>
        <w:ind w:left="791" w:hanging="360"/>
      </w:pPr>
      <w:rPr>
        <w:rFonts w:ascii="Arial" w:hAnsi="Arial" w:hint="default"/>
        <w:sz w:val="16"/>
        <w:szCs w:val="16"/>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8" w15:restartNumberingAfterBreak="0">
    <w:nsid w:val="22CA647E"/>
    <w:multiLevelType w:val="multilevel"/>
    <w:tmpl w:val="E42CF744"/>
    <w:styleLink w:val="HeadingList"/>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9" w15:restartNumberingAfterBreak="0">
    <w:nsid w:val="2B8A19DB"/>
    <w:multiLevelType w:val="hybridMultilevel"/>
    <w:tmpl w:val="51441BE6"/>
    <w:lvl w:ilvl="0" w:tplc="9F563092">
      <w:start w:val="1"/>
      <w:numFmt w:val="bullet"/>
      <w:lvlText w:val="►"/>
      <w:lvlJc w:val="left"/>
      <w:pPr>
        <w:ind w:left="720" w:hanging="360"/>
      </w:pPr>
      <w:rPr>
        <w:rFonts w:ascii="Arial" w:hAnsi="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0842DB"/>
    <w:multiLevelType w:val="hybridMultilevel"/>
    <w:tmpl w:val="1BC832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D45E7E"/>
    <w:multiLevelType w:val="hybridMultilevel"/>
    <w:tmpl w:val="5EB48A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E3749E"/>
    <w:multiLevelType w:val="hybridMultilevel"/>
    <w:tmpl w:val="3A8C5E42"/>
    <w:lvl w:ilvl="0" w:tplc="75001A6C">
      <w:start w:val="1"/>
      <w:numFmt w:val="bullet"/>
      <w:lvlText w:val="►"/>
      <w:lvlJc w:val="left"/>
      <w:pPr>
        <w:ind w:left="720" w:hanging="360"/>
      </w:pPr>
      <w:rPr>
        <w:rFonts w:ascii="Arial" w:hAnsi="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7E4E06"/>
    <w:multiLevelType w:val="multilevel"/>
    <w:tmpl w:val="5D8C3576"/>
    <w:styleLink w:val="EYBulletList"/>
    <w:lvl w:ilvl="0">
      <w:start w:val="1"/>
      <w:numFmt w:val="bullet"/>
      <w:pStyle w:val="EYBulletedText1"/>
      <w:lvlText w:val="►"/>
      <w:lvlJc w:val="left"/>
      <w:pPr>
        <w:ind w:left="425" w:hanging="425"/>
      </w:pPr>
      <w:rPr>
        <w:rFonts w:ascii="Arial" w:hAnsi="Arial" w:hint="default"/>
        <w:color w:val="auto"/>
        <w:sz w:val="16"/>
        <w:szCs w:val="20"/>
      </w:rPr>
    </w:lvl>
    <w:lvl w:ilvl="1">
      <w:start w:val="1"/>
      <w:numFmt w:val="bullet"/>
      <w:pStyle w:val="EYBulletedText2"/>
      <w:lvlText w:val="►"/>
      <w:lvlJc w:val="left"/>
      <w:pPr>
        <w:ind w:left="850" w:hanging="425"/>
      </w:pPr>
      <w:rPr>
        <w:rFonts w:ascii="Arial" w:hAnsi="Arial" w:hint="default"/>
        <w:sz w:val="16"/>
      </w:rPr>
    </w:lvl>
    <w:lvl w:ilvl="2">
      <w:start w:val="1"/>
      <w:numFmt w:val="bullet"/>
      <w:pStyle w:val="EYBulletedText3"/>
      <w:lvlText w:val="►"/>
      <w:lvlJc w:val="left"/>
      <w:pPr>
        <w:ind w:left="1275" w:hanging="425"/>
      </w:pPr>
      <w:rPr>
        <w:rFonts w:ascii="Arial" w:hAnsi="Arial" w:hint="default"/>
        <w:sz w:val="16"/>
      </w:rPr>
    </w:lvl>
    <w:lvl w:ilvl="3">
      <w:start w:val="1"/>
      <w:numFmt w:val="bullet"/>
      <w:lvlText w:val="►"/>
      <w:lvlJc w:val="left"/>
      <w:pPr>
        <w:ind w:left="1700" w:hanging="425"/>
      </w:pPr>
      <w:rPr>
        <w:rFonts w:ascii="Arial" w:hAnsi="Arial" w:hint="default"/>
        <w:sz w:val="16"/>
      </w:rPr>
    </w:lvl>
    <w:lvl w:ilvl="4">
      <w:start w:val="1"/>
      <w:numFmt w:val="bullet"/>
      <w:lvlText w:val="►"/>
      <w:lvlJc w:val="left"/>
      <w:pPr>
        <w:ind w:left="2125" w:hanging="425"/>
      </w:pPr>
      <w:rPr>
        <w:rFonts w:ascii="Arial" w:hAnsi="Arial" w:hint="default"/>
        <w:sz w:val="16"/>
      </w:rPr>
    </w:lvl>
    <w:lvl w:ilvl="5">
      <w:start w:val="1"/>
      <w:numFmt w:val="bullet"/>
      <w:lvlText w:val="►"/>
      <w:lvlJc w:val="left"/>
      <w:pPr>
        <w:ind w:left="2550" w:hanging="425"/>
      </w:pPr>
      <w:rPr>
        <w:rFonts w:ascii="Arial" w:hAnsi="Arial" w:hint="default"/>
        <w:sz w:val="16"/>
      </w:rPr>
    </w:lvl>
    <w:lvl w:ilvl="6">
      <w:start w:val="1"/>
      <w:numFmt w:val="bullet"/>
      <w:lvlText w:val="►"/>
      <w:lvlJc w:val="left"/>
      <w:pPr>
        <w:ind w:left="2975" w:hanging="425"/>
      </w:pPr>
      <w:rPr>
        <w:rFonts w:ascii="Arial" w:hAnsi="Arial" w:hint="default"/>
        <w:sz w:val="16"/>
      </w:rPr>
    </w:lvl>
    <w:lvl w:ilvl="7">
      <w:start w:val="1"/>
      <w:numFmt w:val="bullet"/>
      <w:lvlText w:val="►"/>
      <w:lvlJc w:val="left"/>
      <w:pPr>
        <w:ind w:left="3400" w:hanging="425"/>
      </w:pPr>
      <w:rPr>
        <w:rFonts w:ascii="Arial" w:hAnsi="Arial" w:hint="default"/>
        <w:sz w:val="16"/>
      </w:rPr>
    </w:lvl>
    <w:lvl w:ilvl="8">
      <w:start w:val="1"/>
      <w:numFmt w:val="bullet"/>
      <w:lvlText w:val="►"/>
      <w:lvlJc w:val="left"/>
      <w:pPr>
        <w:ind w:left="3825" w:hanging="425"/>
      </w:pPr>
      <w:rPr>
        <w:rFonts w:ascii="Arial" w:hAnsi="Arial" w:hint="default"/>
        <w:sz w:val="16"/>
      </w:rPr>
    </w:lvl>
  </w:abstractNum>
  <w:abstractNum w:abstractNumId="24" w15:restartNumberingAfterBreak="0">
    <w:nsid w:val="497145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F52D58"/>
    <w:multiLevelType w:val="multilevel"/>
    <w:tmpl w:val="9DD221BA"/>
    <w:styleLink w:val="ParaNumberingArial"/>
    <w:lvl w:ilvl="0">
      <w:start w:val="1"/>
      <w:numFmt w:val="decimal"/>
      <w:lvlRestart w:val="0"/>
      <w:lvlText w:val=""/>
      <w:lvlJc w:val="left"/>
      <w:pPr>
        <w:tabs>
          <w:tab w:val="num" w:pos="0"/>
        </w:tabs>
        <w:ind w:left="0" w:firstLine="0"/>
      </w:pPr>
      <w:rPr>
        <w:rFonts w:ascii="Arial" w:hAnsi="Arial"/>
        <w:b/>
        <w:color w:val="7F7E82"/>
        <w:sz w:val="32"/>
      </w:rPr>
    </w:lvl>
    <w:lvl w:ilvl="1">
      <w:start w:val="1"/>
      <w:numFmt w:val="decimal"/>
      <w:lvlText w:val=""/>
      <w:lvlJc w:val="left"/>
      <w:pPr>
        <w:tabs>
          <w:tab w:val="num" w:pos="0"/>
        </w:tabs>
        <w:ind w:left="0" w:firstLine="0"/>
      </w:pPr>
      <w:rPr>
        <w:rFonts w:ascii="Arial" w:hAnsi="Arial" w:hint="default"/>
        <w:b/>
        <w:color w:val="000000"/>
        <w:sz w:val="28"/>
      </w:rPr>
    </w:lvl>
    <w:lvl w:ilvl="2">
      <w:start w:val="1"/>
      <w:numFmt w:val="decimal"/>
      <w:lvlRestart w:val="1"/>
      <w:lvlText w:val=""/>
      <w:lvlJc w:val="left"/>
      <w:pPr>
        <w:tabs>
          <w:tab w:val="num" w:pos="0"/>
        </w:tabs>
        <w:ind w:left="0" w:firstLine="0"/>
      </w:pPr>
      <w:rPr>
        <w:rFonts w:ascii="Arial" w:hAnsi="Arial" w:hint="default"/>
        <w:b/>
        <w:color w:val="000000"/>
        <w:sz w:val="24"/>
      </w:rPr>
    </w:lvl>
    <w:lvl w:ilvl="3">
      <w:start w:val="1"/>
      <w:numFmt w:val="decimal"/>
      <w:lvlRestart w:val="1"/>
      <w:lvlText w:val=""/>
      <w:lvlJc w:val="left"/>
      <w:pPr>
        <w:tabs>
          <w:tab w:val="num" w:pos="0"/>
        </w:tabs>
        <w:ind w:left="0" w:firstLine="0"/>
      </w:pPr>
      <w:rPr>
        <w:rFonts w:ascii="Arial" w:hAnsi="Arial" w:hint="default"/>
        <w:b/>
        <w:color w:val="000000"/>
        <w:sz w:val="20"/>
      </w:rPr>
    </w:lvl>
    <w:lvl w:ilvl="4">
      <w:start w:val="1"/>
      <w:numFmt w:val="decimal"/>
      <w:lvlRestart w:val="1"/>
      <w:lvlText w:val=""/>
      <w:lvlJc w:val="left"/>
      <w:pPr>
        <w:tabs>
          <w:tab w:val="num" w:pos="0"/>
        </w:tabs>
        <w:ind w:left="0" w:firstLine="0"/>
      </w:pPr>
      <w:rPr>
        <w:rFonts w:ascii="Arial" w:hAnsi="Arial" w:hint="default"/>
        <w:b w:val="0"/>
        <w:color w:val="000000"/>
        <w:sz w:val="20"/>
      </w:rPr>
    </w:lvl>
    <w:lvl w:ilvl="5">
      <w:start w:val="1"/>
      <w:numFmt w:val="none"/>
      <w:lvlText w:val=""/>
      <w:lvlJc w:val="left"/>
      <w:pPr>
        <w:tabs>
          <w:tab w:val="num" w:pos="0"/>
        </w:tabs>
        <w:ind w:left="0" w:firstLine="0"/>
      </w:pPr>
      <w:rPr>
        <w:rFonts w:ascii="Arial" w:hAnsi="Arial" w:hint="default"/>
      </w:rPr>
    </w:lvl>
    <w:lvl w:ilvl="6">
      <w:start w:val="1"/>
      <w:numFmt w:val="none"/>
      <w:lvlText w:val=""/>
      <w:lvlJc w:val="left"/>
      <w:pPr>
        <w:tabs>
          <w:tab w:val="num" w:pos="0"/>
        </w:tabs>
        <w:ind w:left="0" w:firstLine="0"/>
      </w:pPr>
      <w:rPr>
        <w:rFonts w:ascii="Arial" w:hAnsi="Arial" w:hint="default"/>
      </w:rPr>
    </w:lvl>
    <w:lvl w:ilvl="7">
      <w:start w:val="1"/>
      <w:numFmt w:val="none"/>
      <w:lvlText w:val=""/>
      <w:lvlJc w:val="left"/>
      <w:pPr>
        <w:tabs>
          <w:tab w:val="num" w:pos="0"/>
        </w:tabs>
        <w:ind w:left="0" w:firstLine="0"/>
      </w:pPr>
      <w:rPr>
        <w:rFonts w:ascii="Arial" w:hAnsi="Arial" w:hint="default"/>
      </w:rPr>
    </w:lvl>
    <w:lvl w:ilvl="8">
      <w:start w:val="1"/>
      <w:numFmt w:val="none"/>
      <w:lvlText w:val=""/>
      <w:lvlJc w:val="left"/>
      <w:pPr>
        <w:tabs>
          <w:tab w:val="num" w:pos="0"/>
        </w:tabs>
        <w:ind w:left="0" w:firstLine="0"/>
      </w:pPr>
      <w:rPr>
        <w:rFonts w:ascii="Arial" w:hAnsi="Arial" w:hint="default"/>
      </w:rPr>
    </w:lvl>
  </w:abstractNum>
  <w:abstractNum w:abstractNumId="26" w15:restartNumberingAfterBreak="0">
    <w:nsid w:val="4C18701D"/>
    <w:multiLevelType w:val="multilevel"/>
    <w:tmpl w:val="F1669212"/>
    <w:styleLink w:val="EYAlphaNumList"/>
    <w:lvl w:ilvl="0">
      <w:start w:val="1"/>
      <w:numFmt w:val="decimal"/>
      <w:pStyle w:val="EY1Number"/>
      <w:lvlText w:val="%1."/>
      <w:lvlJc w:val="left"/>
      <w:pPr>
        <w:ind w:left="425" w:hanging="425"/>
      </w:pPr>
      <w:rPr>
        <w:rFonts w:hint="default"/>
      </w:rPr>
    </w:lvl>
    <w:lvl w:ilvl="1">
      <w:start w:val="1"/>
      <w:numFmt w:val="lowerLetter"/>
      <w:pStyle w:val="EY2Letter"/>
      <w:lvlText w:val="%2."/>
      <w:lvlJc w:val="left"/>
      <w:pPr>
        <w:ind w:left="851" w:hanging="426"/>
      </w:pPr>
      <w:rPr>
        <w:rFonts w:hint="default"/>
      </w:rPr>
    </w:lvl>
    <w:lvl w:ilvl="2">
      <w:start w:val="1"/>
      <w:numFmt w:val="lowerRoman"/>
      <w:pStyle w:val="EY3Roman"/>
      <w:lvlText w:val="%3."/>
      <w:lvlJc w:val="left"/>
      <w:pPr>
        <w:ind w:left="1276" w:hanging="425"/>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51AD1549"/>
    <w:multiLevelType w:val="hybridMultilevel"/>
    <w:tmpl w:val="5F8A95BC"/>
    <w:lvl w:ilvl="0" w:tplc="B1E2C64E">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2E2745"/>
    <w:multiLevelType w:val="hybridMultilevel"/>
    <w:tmpl w:val="152231B8"/>
    <w:lvl w:ilvl="0" w:tplc="E7DEE29C">
      <w:start w:val="1"/>
      <w:numFmt w:val="bullet"/>
      <w:lvlText w:val="►"/>
      <w:lvlJc w:val="left"/>
      <w:pPr>
        <w:ind w:left="720" w:hanging="360"/>
      </w:pPr>
      <w:rPr>
        <w:rFonts w:ascii="Arial" w:hAnsi="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8864C3"/>
    <w:multiLevelType w:val="hybridMultilevel"/>
    <w:tmpl w:val="2B084C10"/>
    <w:lvl w:ilvl="0" w:tplc="8D78B11E">
      <w:start w:val="1"/>
      <w:numFmt w:val="bullet"/>
      <w:lvlText w:val="►"/>
      <w:lvlJc w:val="left"/>
      <w:pPr>
        <w:ind w:left="720" w:hanging="360"/>
      </w:pPr>
      <w:rPr>
        <w:rFonts w:ascii="Arial" w:hAnsi="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9F4583"/>
    <w:multiLevelType w:val="hybridMultilevel"/>
    <w:tmpl w:val="1BC832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D25D74"/>
    <w:multiLevelType w:val="hybridMultilevel"/>
    <w:tmpl w:val="476C5DDA"/>
    <w:lvl w:ilvl="0" w:tplc="F2820BB0">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7B2592"/>
    <w:multiLevelType w:val="hybridMultilevel"/>
    <w:tmpl w:val="6502898E"/>
    <w:lvl w:ilvl="0" w:tplc="AF32806E">
      <w:start w:val="1"/>
      <w:numFmt w:val="bullet"/>
      <w:lvlText w:val="►"/>
      <w:lvlJc w:val="left"/>
      <w:pPr>
        <w:ind w:left="720" w:hanging="360"/>
      </w:pPr>
      <w:rPr>
        <w:rFonts w:ascii="Arial" w:hAnsi="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0C5D09"/>
    <w:multiLevelType w:val="multilevel"/>
    <w:tmpl w:val="F5DCA586"/>
    <w:lvl w:ilvl="0">
      <w:start w:val="1"/>
      <w:numFmt w:val="upperLetter"/>
      <w:pStyle w:val="EYAppendix"/>
      <w:lvlText w:val="Appendix %1"/>
      <w:lvlJc w:val="left"/>
      <w:pPr>
        <w:tabs>
          <w:tab w:val="num" w:pos="2268"/>
        </w:tabs>
        <w:ind w:left="2268" w:hanging="2268"/>
      </w:pPr>
      <w:rPr>
        <w:rFonts w:hint="default"/>
      </w:rPr>
    </w:lvl>
    <w:lvl w:ilvl="1">
      <w:start w:val="1"/>
      <w:numFmt w:val="none"/>
      <w:lvlText w:val=""/>
      <w:lvlJc w:val="left"/>
      <w:pPr>
        <w:tabs>
          <w:tab w:val="num" w:pos="-31680"/>
        </w:tabs>
        <w:ind w:left="-32767" w:firstLine="32767"/>
      </w:pPr>
      <w:rPr>
        <w:rFonts w:hint="default"/>
        <w:b w:val="0"/>
        <w:i w:val="0"/>
        <w:color w:val="auto"/>
        <w:sz w:val="28"/>
        <w:szCs w:val="32"/>
      </w:rPr>
    </w:lvl>
    <w:lvl w:ilvl="2">
      <w:start w:val="1"/>
      <w:numFmt w:val="none"/>
      <w:lvlText w:val=""/>
      <w:lvlJc w:val="left"/>
      <w:pPr>
        <w:tabs>
          <w:tab w:val="num" w:pos="-31680"/>
        </w:tabs>
        <w:ind w:left="-32767" w:firstLine="32767"/>
      </w:pPr>
      <w:rPr>
        <w:rFonts w:hint="default"/>
        <w:b/>
        <w:color w:val="auto"/>
        <w:sz w:val="24"/>
        <w:szCs w:val="32"/>
      </w:rPr>
    </w:lvl>
    <w:lvl w:ilvl="3">
      <w:start w:val="1"/>
      <w:numFmt w:val="decimal"/>
      <w:lvlText w:val="%4%1"/>
      <w:lvlJc w:val="left"/>
      <w:pPr>
        <w:tabs>
          <w:tab w:val="num" w:pos="-31680"/>
        </w:tabs>
        <w:ind w:left="-32767" w:firstLine="32767"/>
      </w:pPr>
      <w:rPr>
        <w:rFonts w:hint="default"/>
        <w:b/>
        <w:color w:val="auto"/>
        <w:sz w:val="20"/>
        <w:szCs w:val="32"/>
      </w:rPr>
    </w:lvl>
    <w:lvl w:ilvl="4">
      <w:start w:val="1"/>
      <w:numFmt w:val="none"/>
      <w:lvlRestart w:val="0"/>
      <w:lvlText w:val=""/>
      <w:lvlJc w:val="left"/>
      <w:pPr>
        <w:tabs>
          <w:tab w:val="num" w:pos="0"/>
        </w:tabs>
        <w:ind w:left="0" w:firstLine="0"/>
      </w:pPr>
      <w:rPr>
        <w:rFonts w:hint="default"/>
        <w:b/>
        <w:i w:val="0"/>
        <w:color w:val="7F7E82"/>
        <w:sz w:val="40"/>
        <w:szCs w:val="20"/>
      </w:rPr>
    </w:lvl>
    <w:lvl w:ilvl="5">
      <w:start w:val="1"/>
      <w:numFmt w:val="none"/>
      <w:lvlRestart w:val="0"/>
      <w:lvlText w:val=""/>
      <w:lvlJc w:val="left"/>
      <w:pPr>
        <w:tabs>
          <w:tab w:val="num" w:pos="0"/>
        </w:tabs>
        <w:ind w:left="0" w:firstLine="0"/>
      </w:pPr>
      <w:rPr>
        <w:rFonts w:hint="default"/>
        <w:b/>
        <w:color w:val="4367C5"/>
        <w:sz w:val="32"/>
        <w:szCs w:val="32"/>
      </w:rPr>
    </w:lvl>
    <w:lvl w:ilvl="6">
      <w:start w:val="1"/>
      <w:numFmt w:val="none"/>
      <w:lvlRestart w:val="0"/>
      <w:lvlText w:val=""/>
      <w:lvlJc w:val="left"/>
      <w:pPr>
        <w:tabs>
          <w:tab w:val="num" w:pos="0"/>
        </w:tabs>
        <w:ind w:left="0" w:firstLine="0"/>
      </w:pPr>
      <w:rPr>
        <w:rFonts w:hint="default"/>
        <w:color w:val="4367C5"/>
        <w:sz w:val="32"/>
        <w:szCs w:val="32"/>
      </w:rPr>
    </w:lvl>
    <w:lvl w:ilvl="7">
      <w:start w:val="1"/>
      <w:numFmt w:val="none"/>
      <w:lvlRestart w:val="0"/>
      <w:lvlText w:val=""/>
      <w:lvlJc w:val="left"/>
      <w:pPr>
        <w:tabs>
          <w:tab w:val="num" w:pos="0"/>
        </w:tabs>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34" w15:restartNumberingAfterBreak="0">
    <w:nsid w:val="68694D9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DA61C0"/>
    <w:multiLevelType w:val="hybridMultilevel"/>
    <w:tmpl w:val="5EB48A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3804FF3"/>
    <w:multiLevelType w:val="hybridMultilevel"/>
    <w:tmpl w:val="204C6A40"/>
    <w:lvl w:ilvl="0" w:tplc="7CE62B24">
      <w:start w:val="1"/>
      <w:numFmt w:val="bullet"/>
      <w:lvlText w:val="►"/>
      <w:lvlJc w:val="left"/>
      <w:pPr>
        <w:ind w:left="720" w:hanging="360"/>
      </w:pPr>
      <w:rPr>
        <w:rFonts w:ascii="Arial" w:hAnsi="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A37718"/>
    <w:multiLevelType w:val="multilevel"/>
    <w:tmpl w:val="B12A2EF4"/>
    <w:lvl w:ilvl="0">
      <w:start w:val="1"/>
      <w:numFmt w:val="bullet"/>
      <w:pStyle w:val="EYTablebullet1"/>
      <w:lvlText w:val="►"/>
      <w:lvlJc w:val="left"/>
      <w:pPr>
        <w:tabs>
          <w:tab w:val="num" w:pos="284"/>
        </w:tabs>
        <w:ind w:left="284" w:hanging="284"/>
      </w:pPr>
      <w:rPr>
        <w:rFonts w:ascii="Arial" w:hAnsi="Arial" w:cs="Times New Roman" w:hint="default"/>
        <w:b w:val="0"/>
        <w:bCs/>
        <w:i w:val="0"/>
        <w:color w:val="auto"/>
        <w:sz w:val="12"/>
        <w:szCs w:val="24"/>
      </w:rPr>
    </w:lvl>
    <w:lvl w:ilvl="1">
      <w:start w:val="1"/>
      <w:numFmt w:val="bullet"/>
      <w:pStyle w:val="EYTablebullet2"/>
      <w:lvlText w:val="►"/>
      <w:lvlJc w:val="left"/>
      <w:pPr>
        <w:tabs>
          <w:tab w:val="num" w:pos="567"/>
        </w:tabs>
        <w:ind w:left="567" w:hanging="283"/>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8" w15:restartNumberingAfterBreak="0">
    <w:nsid w:val="77350F92"/>
    <w:multiLevelType w:val="hybridMultilevel"/>
    <w:tmpl w:val="B060D812"/>
    <w:lvl w:ilvl="0" w:tplc="A1D84E84">
      <w:start w:val="1"/>
      <w:numFmt w:val="bullet"/>
      <w:lvlText w:val="►"/>
      <w:lvlJc w:val="left"/>
      <w:pPr>
        <w:ind w:left="360" w:hanging="360"/>
      </w:pPr>
      <w:rPr>
        <w:rFonts w:ascii="Arial" w:hAnsi="Arial" w:hint="default"/>
        <w:sz w:val="16"/>
        <w:szCs w:val="16"/>
      </w:rPr>
    </w:lvl>
    <w:lvl w:ilvl="1" w:tplc="44CCD11C">
      <w:start w:val="11"/>
      <w:numFmt w:val="bullet"/>
      <w:lvlText w:val="•"/>
      <w:lvlJc w:val="left"/>
      <w:pPr>
        <w:ind w:left="1440" w:hanging="72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A4B5D68"/>
    <w:multiLevelType w:val="hybridMultilevel"/>
    <w:tmpl w:val="19BEE064"/>
    <w:lvl w:ilvl="0" w:tplc="0C4403B4">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E33BAB"/>
    <w:multiLevelType w:val="hybridMultilevel"/>
    <w:tmpl w:val="1BC832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2"/>
  </w:num>
  <w:num w:numId="15">
    <w:abstractNumId w:val="24"/>
  </w:num>
  <w:num w:numId="16">
    <w:abstractNumId w:val="34"/>
  </w:num>
  <w:num w:numId="17">
    <w:abstractNumId w:val="33"/>
  </w:num>
  <w:num w:numId="18">
    <w:abstractNumId w:val="37"/>
  </w:num>
  <w:num w:numId="19">
    <w:abstractNumId w:val="26"/>
  </w:num>
  <w:num w:numId="20">
    <w:abstractNumId w:val="23"/>
  </w:num>
  <w:num w:numId="21">
    <w:abstractNumId w:val="16"/>
  </w:num>
  <w:num w:numId="22">
    <w:abstractNumId w:val="18"/>
    <w:lvlOverride w:ilvl="0">
      <w:lvl w:ilvl="0">
        <w:start w:val="1"/>
        <w:numFmt w:val="decimal"/>
        <w:pStyle w:val="Heading1"/>
        <w:lvlText w:val="%1."/>
        <w:lvlJc w:val="left"/>
        <w:pPr>
          <w:ind w:left="851" w:hanging="851"/>
        </w:pPr>
        <w:rPr>
          <w:rFonts w:hint="default"/>
        </w:rPr>
      </w:lvl>
    </w:lvlOverride>
    <w:lvlOverride w:ilvl="1">
      <w:lvl w:ilvl="1">
        <w:start w:val="1"/>
        <w:numFmt w:val="decimal"/>
        <w:pStyle w:val="Heading2"/>
        <w:lvlText w:val="%1.%2"/>
        <w:lvlJc w:val="left"/>
        <w:pPr>
          <w:ind w:left="851" w:hanging="851"/>
        </w:pPr>
        <w:rPr>
          <w:rFonts w:hint="default"/>
        </w:rPr>
      </w:lvl>
    </w:lvlOverride>
    <w:lvlOverride w:ilvl="2">
      <w:lvl w:ilvl="2">
        <w:start w:val="1"/>
        <w:numFmt w:val="decimal"/>
        <w:pStyle w:val="Heading3"/>
        <w:lvlText w:val="%1.%2.%3"/>
        <w:lvlJc w:val="left"/>
        <w:pPr>
          <w:ind w:left="851" w:hanging="851"/>
        </w:pPr>
        <w:rPr>
          <w:rFonts w:hint="default"/>
          <w:b/>
        </w:rPr>
      </w:lvl>
    </w:lvlOverride>
    <w:lvlOverride w:ilvl="3">
      <w:lvl w:ilvl="3">
        <w:start w:val="1"/>
        <w:numFmt w:val="decimal"/>
        <w:pStyle w:val="Heading4"/>
        <w:lvlText w:val="%1.%2.%3.%4"/>
        <w:lvlJc w:val="left"/>
        <w:pPr>
          <w:ind w:left="851" w:hanging="851"/>
        </w:pPr>
        <w:rPr>
          <w:rFonts w:hint="default"/>
        </w:rPr>
      </w:lvl>
    </w:lvlOverride>
    <w:lvlOverride w:ilvl="4">
      <w:lvl w:ilvl="4">
        <w:start w:val="1"/>
        <w:numFmt w:val="none"/>
        <w:lvlText w:val=""/>
        <w:lvlJc w:val="left"/>
        <w:pPr>
          <w:ind w:left="851" w:hanging="851"/>
        </w:pPr>
        <w:rPr>
          <w:rFonts w:hint="default"/>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none"/>
        <w:lvlText w:val=""/>
        <w:lvlJc w:val="left"/>
        <w:pPr>
          <w:ind w:left="851" w:hanging="851"/>
        </w:pPr>
        <w:rPr>
          <w:rFonts w:hint="default"/>
        </w:rPr>
      </w:lvl>
    </w:lvlOverride>
    <w:lvlOverride w:ilvl="8">
      <w:lvl w:ilvl="8">
        <w:start w:val="1"/>
        <w:numFmt w:val="none"/>
        <w:lvlText w:val=""/>
        <w:lvlJc w:val="left"/>
        <w:pPr>
          <w:ind w:left="851" w:hanging="851"/>
        </w:pPr>
        <w:rPr>
          <w:rFonts w:hint="default"/>
        </w:rPr>
      </w:lvl>
    </w:lvlOverride>
  </w:num>
  <w:num w:numId="23">
    <w:abstractNumId w:val="19"/>
  </w:num>
  <w:num w:numId="24">
    <w:abstractNumId w:val="18"/>
  </w:num>
  <w:num w:numId="25">
    <w:abstractNumId w:val="38"/>
  </w:num>
  <w:num w:numId="26">
    <w:abstractNumId w:val="18"/>
    <w:lvlOverride w:ilvl="0">
      <w:lvl w:ilvl="0">
        <w:start w:val="1"/>
        <w:numFmt w:val="decimal"/>
        <w:pStyle w:val="Heading1"/>
        <w:lvlText w:val="%1."/>
        <w:lvlJc w:val="left"/>
        <w:pPr>
          <w:ind w:left="851" w:hanging="851"/>
        </w:pPr>
        <w:rPr>
          <w:rFonts w:hint="default"/>
        </w:rPr>
      </w:lvl>
    </w:lvlOverride>
    <w:lvlOverride w:ilvl="1">
      <w:lvl w:ilvl="1">
        <w:start w:val="1"/>
        <w:numFmt w:val="decimal"/>
        <w:pStyle w:val="Heading2"/>
        <w:lvlText w:val="%1.%2"/>
        <w:lvlJc w:val="left"/>
        <w:pPr>
          <w:ind w:left="851" w:hanging="851"/>
        </w:pPr>
        <w:rPr>
          <w:rFonts w:hint="default"/>
        </w:rPr>
      </w:lvl>
    </w:lvlOverride>
    <w:lvlOverride w:ilvl="2">
      <w:lvl w:ilvl="2">
        <w:start w:val="1"/>
        <w:numFmt w:val="decimal"/>
        <w:pStyle w:val="Heading3"/>
        <w:lvlText w:val="%1.%2.%3"/>
        <w:lvlJc w:val="left"/>
        <w:pPr>
          <w:ind w:left="851" w:hanging="851"/>
        </w:pPr>
        <w:rPr>
          <w:rFonts w:hint="default"/>
        </w:rPr>
      </w:lvl>
    </w:lvlOverride>
    <w:lvlOverride w:ilvl="3">
      <w:lvl w:ilvl="3">
        <w:start w:val="1"/>
        <w:numFmt w:val="decimal"/>
        <w:pStyle w:val="Heading4"/>
        <w:lvlText w:val="%1.%2.%3.%4"/>
        <w:lvlJc w:val="left"/>
        <w:pPr>
          <w:ind w:left="851" w:hanging="851"/>
        </w:pPr>
        <w:rPr>
          <w:rFonts w:hint="default"/>
        </w:rPr>
      </w:lvl>
    </w:lvlOverride>
    <w:lvlOverride w:ilvl="4">
      <w:lvl w:ilvl="4">
        <w:start w:val="1"/>
        <w:numFmt w:val="none"/>
        <w:lvlText w:val=""/>
        <w:lvlJc w:val="left"/>
        <w:pPr>
          <w:ind w:left="851" w:hanging="851"/>
        </w:pPr>
        <w:rPr>
          <w:rFonts w:hint="default"/>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none"/>
        <w:lvlText w:val=""/>
        <w:lvlJc w:val="left"/>
        <w:pPr>
          <w:ind w:left="851" w:hanging="851"/>
        </w:pPr>
        <w:rPr>
          <w:rFonts w:hint="default"/>
        </w:rPr>
      </w:lvl>
    </w:lvlOverride>
    <w:lvlOverride w:ilvl="8">
      <w:lvl w:ilvl="8">
        <w:start w:val="1"/>
        <w:numFmt w:val="none"/>
        <w:lvlText w:val=""/>
        <w:lvlJc w:val="left"/>
        <w:pPr>
          <w:ind w:left="851" w:hanging="851"/>
        </w:pPr>
        <w:rPr>
          <w:rFonts w:hint="default"/>
        </w:rPr>
      </w:lvl>
    </w:lvlOverride>
  </w:num>
  <w:num w:numId="2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8">
    <w:abstractNumId w:val="20"/>
  </w:num>
  <w:num w:numId="29">
    <w:abstractNumId w:val="39"/>
  </w:num>
  <w:num w:numId="30">
    <w:abstractNumId w:val="27"/>
  </w:num>
  <w:num w:numId="31">
    <w:abstractNumId w:val="31"/>
  </w:num>
  <w:num w:numId="32">
    <w:abstractNumId w:val="40"/>
  </w:num>
  <w:num w:numId="33">
    <w:abstractNumId w:val="30"/>
  </w:num>
  <w:num w:numId="34">
    <w:abstractNumId w:val="14"/>
  </w:num>
  <w:num w:numId="35">
    <w:abstractNumId w:val="35"/>
  </w:num>
  <w:num w:numId="36">
    <w:abstractNumId w:val="21"/>
  </w:num>
  <w:num w:numId="37">
    <w:abstractNumId w:val="17"/>
  </w:num>
  <w:num w:numId="38">
    <w:abstractNumId w:val="13"/>
  </w:num>
  <w:num w:numId="39">
    <w:abstractNumId w:val="36"/>
  </w:num>
  <w:num w:numId="40">
    <w:abstractNumId w:val="22"/>
  </w:num>
  <w:num w:numId="41">
    <w:abstractNumId w:val="15"/>
  </w:num>
  <w:num w:numId="42">
    <w:abstractNumId w:val="28"/>
  </w:num>
  <w:num w:numId="43">
    <w:abstractNumId w:val="29"/>
  </w:num>
  <w:num w:numId="44">
    <w:abstractNumId w:val="32"/>
  </w:num>
  <w:num w:numId="45">
    <w:abstractNumId w:val="18"/>
    <w:lvlOverride w:ilvl="0">
      <w:startOverride w:val="1"/>
      <w:lvl w:ilvl="0">
        <w:start w:val="1"/>
        <w:numFmt w:val="decimal"/>
        <w:pStyle w:val="Heading1"/>
        <w:lvlText w:val="%1."/>
        <w:lvlJc w:val="left"/>
        <w:pPr>
          <w:ind w:left="851" w:hanging="851"/>
        </w:pPr>
        <w:rPr>
          <w:rFonts w:hint="default"/>
        </w:rPr>
      </w:lvl>
    </w:lvlOverride>
    <w:lvlOverride w:ilvl="1">
      <w:startOverride w:val="1"/>
      <w:lvl w:ilvl="1">
        <w:start w:val="1"/>
        <w:numFmt w:val="decimal"/>
        <w:pStyle w:val="Heading2"/>
        <w:lvlText w:val="%1.%2"/>
        <w:lvlJc w:val="left"/>
        <w:pPr>
          <w:ind w:left="851" w:hanging="851"/>
        </w:pPr>
        <w:rPr>
          <w:rFonts w:hint="default"/>
        </w:rPr>
      </w:lvl>
    </w:lvlOverride>
    <w:lvlOverride w:ilvl="2">
      <w:startOverride w:val="1"/>
      <w:lvl w:ilvl="2">
        <w:start w:val="1"/>
        <w:numFmt w:val="decimal"/>
        <w:pStyle w:val="Heading3"/>
        <w:lvlText w:val="%1.%2.%3"/>
        <w:lvlJc w:val="left"/>
        <w:pPr>
          <w:ind w:left="851" w:hanging="851"/>
        </w:pPr>
        <w:rPr>
          <w:rFonts w:hint="default"/>
        </w:rPr>
      </w:lvl>
    </w:lvlOverride>
    <w:lvlOverride w:ilvl="3">
      <w:startOverride w:val="1"/>
      <w:lvl w:ilvl="3">
        <w:start w:val="1"/>
        <w:numFmt w:val="decimal"/>
        <w:pStyle w:val="Heading4"/>
        <w:lvlText w:val="%1.%2.%3.%4"/>
        <w:lvlJc w:val="left"/>
        <w:pPr>
          <w:ind w:left="851" w:hanging="851"/>
        </w:pPr>
        <w:rPr>
          <w:rFonts w:hint="default"/>
        </w:rPr>
      </w:lvl>
    </w:lvlOverride>
    <w:lvlOverride w:ilvl="4">
      <w:startOverride w:val="1"/>
      <w:lvl w:ilvl="4">
        <w:start w:val="1"/>
        <w:numFmt w:val="none"/>
        <w:lvlText w:val=""/>
        <w:lvlJc w:val="left"/>
        <w:pPr>
          <w:ind w:left="851" w:hanging="851"/>
        </w:pPr>
        <w:rPr>
          <w:rFonts w:hint="default"/>
        </w:rPr>
      </w:lvl>
    </w:lvlOverride>
    <w:lvlOverride w:ilvl="5">
      <w:startOverride w:val="1"/>
      <w:lvl w:ilvl="5">
        <w:start w:val="1"/>
        <w:numFmt w:val="none"/>
        <w:lvlText w:val=""/>
        <w:lvlJc w:val="left"/>
        <w:pPr>
          <w:ind w:left="851" w:hanging="851"/>
        </w:pPr>
        <w:rPr>
          <w:rFonts w:hint="default"/>
        </w:rPr>
      </w:lvl>
    </w:lvlOverride>
    <w:lvlOverride w:ilvl="6">
      <w:startOverride w:val="1"/>
      <w:lvl w:ilvl="6">
        <w:start w:val="1"/>
        <w:numFmt w:val="none"/>
        <w:lvlText w:val=""/>
        <w:lvlJc w:val="left"/>
        <w:pPr>
          <w:ind w:left="851" w:hanging="851"/>
        </w:pPr>
        <w:rPr>
          <w:rFonts w:hint="default"/>
        </w:rPr>
      </w:lvl>
    </w:lvlOverride>
    <w:lvlOverride w:ilvl="7">
      <w:startOverride w:val="1"/>
      <w:lvl w:ilvl="7">
        <w:start w:val="1"/>
        <w:numFmt w:val="none"/>
        <w:lvlText w:val=""/>
        <w:lvlJc w:val="left"/>
        <w:pPr>
          <w:ind w:left="851" w:hanging="851"/>
        </w:pPr>
        <w:rPr>
          <w:rFonts w:hint="default"/>
        </w:rPr>
      </w:lvl>
    </w:lvlOverride>
    <w:lvlOverride w:ilvl="8">
      <w:startOverride w:val="1"/>
      <w:lvl w:ilvl="8">
        <w:start w:val="1"/>
        <w:numFmt w:val="none"/>
        <w:lvlText w:val=""/>
        <w:lvlJc w:val="left"/>
        <w:pPr>
          <w:ind w:left="851" w:hanging="851"/>
        </w:pPr>
        <w:rPr>
          <w:rFonts w:hint="default"/>
        </w:rPr>
      </w:lvl>
    </w:lvlOverride>
  </w:num>
  <w:num w:numId="46">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B3"/>
    <w:rsid w:val="000004AD"/>
    <w:rsid w:val="0000071D"/>
    <w:rsid w:val="00000BFD"/>
    <w:rsid w:val="00001686"/>
    <w:rsid w:val="0000189F"/>
    <w:rsid w:val="00001AAD"/>
    <w:rsid w:val="00001BCD"/>
    <w:rsid w:val="00003061"/>
    <w:rsid w:val="000035DB"/>
    <w:rsid w:val="00003716"/>
    <w:rsid w:val="00003A71"/>
    <w:rsid w:val="000042F8"/>
    <w:rsid w:val="00004694"/>
    <w:rsid w:val="00005FF3"/>
    <w:rsid w:val="000061CD"/>
    <w:rsid w:val="0000698A"/>
    <w:rsid w:val="000069EF"/>
    <w:rsid w:val="00007965"/>
    <w:rsid w:val="00010D46"/>
    <w:rsid w:val="000110C7"/>
    <w:rsid w:val="0001110F"/>
    <w:rsid w:val="00011603"/>
    <w:rsid w:val="00011CA7"/>
    <w:rsid w:val="000122FD"/>
    <w:rsid w:val="0001346C"/>
    <w:rsid w:val="00013572"/>
    <w:rsid w:val="00013608"/>
    <w:rsid w:val="00013CD3"/>
    <w:rsid w:val="0001423B"/>
    <w:rsid w:val="00014D42"/>
    <w:rsid w:val="00014DDC"/>
    <w:rsid w:val="00015531"/>
    <w:rsid w:val="000155F4"/>
    <w:rsid w:val="00015B4F"/>
    <w:rsid w:val="00015F64"/>
    <w:rsid w:val="000163D4"/>
    <w:rsid w:val="00016504"/>
    <w:rsid w:val="0001652F"/>
    <w:rsid w:val="00016859"/>
    <w:rsid w:val="00016C8F"/>
    <w:rsid w:val="00017294"/>
    <w:rsid w:val="0001742E"/>
    <w:rsid w:val="00020027"/>
    <w:rsid w:val="000204B2"/>
    <w:rsid w:val="0002057F"/>
    <w:rsid w:val="00020BB2"/>
    <w:rsid w:val="000219F4"/>
    <w:rsid w:val="00021A67"/>
    <w:rsid w:val="00021C15"/>
    <w:rsid w:val="00022121"/>
    <w:rsid w:val="000222FD"/>
    <w:rsid w:val="000224FF"/>
    <w:rsid w:val="000225ED"/>
    <w:rsid w:val="0002335F"/>
    <w:rsid w:val="000234E6"/>
    <w:rsid w:val="00023840"/>
    <w:rsid w:val="0002393E"/>
    <w:rsid w:val="000242F4"/>
    <w:rsid w:val="00025677"/>
    <w:rsid w:val="00025BD5"/>
    <w:rsid w:val="00025DC2"/>
    <w:rsid w:val="00026004"/>
    <w:rsid w:val="00026739"/>
    <w:rsid w:val="00026FC4"/>
    <w:rsid w:val="00027C4A"/>
    <w:rsid w:val="00027DC1"/>
    <w:rsid w:val="00027DEE"/>
    <w:rsid w:val="00027E1A"/>
    <w:rsid w:val="0003002B"/>
    <w:rsid w:val="00030A45"/>
    <w:rsid w:val="00030FA3"/>
    <w:rsid w:val="00031449"/>
    <w:rsid w:val="000322E4"/>
    <w:rsid w:val="000324E3"/>
    <w:rsid w:val="000324F9"/>
    <w:rsid w:val="0003275A"/>
    <w:rsid w:val="000334FE"/>
    <w:rsid w:val="00033EB8"/>
    <w:rsid w:val="0003410D"/>
    <w:rsid w:val="0003447E"/>
    <w:rsid w:val="000345CF"/>
    <w:rsid w:val="0003499A"/>
    <w:rsid w:val="00034C29"/>
    <w:rsid w:val="00035000"/>
    <w:rsid w:val="0003535C"/>
    <w:rsid w:val="0003696D"/>
    <w:rsid w:val="00036A0C"/>
    <w:rsid w:val="00036F8C"/>
    <w:rsid w:val="00037224"/>
    <w:rsid w:val="000378BC"/>
    <w:rsid w:val="00040312"/>
    <w:rsid w:val="0004036A"/>
    <w:rsid w:val="00041F95"/>
    <w:rsid w:val="000424C1"/>
    <w:rsid w:val="00042590"/>
    <w:rsid w:val="00042AE6"/>
    <w:rsid w:val="000435E8"/>
    <w:rsid w:val="00044A2B"/>
    <w:rsid w:val="00044C53"/>
    <w:rsid w:val="00045103"/>
    <w:rsid w:val="00045C10"/>
    <w:rsid w:val="00046161"/>
    <w:rsid w:val="0004660F"/>
    <w:rsid w:val="00046A7B"/>
    <w:rsid w:val="00046D21"/>
    <w:rsid w:val="00047185"/>
    <w:rsid w:val="00047534"/>
    <w:rsid w:val="000477EB"/>
    <w:rsid w:val="0005025A"/>
    <w:rsid w:val="000504DD"/>
    <w:rsid w:val="0005067F"/>
    <w:rsid w:val="0005164D"/>
    <w:rsid w:val="00052349"/>
    <w:rsid w:val="000523DA"/>
    <w:rsid w:val="00052A59"/>
    <w:rsid w:val="00052C82"/>
    <w:rsid w:val="00053389"/>
    <w:rsid w:val="000538DC"/>
    <w:rsid w:val="00053AD5"/>
    <w:rsid w:val="00054053"/>
    <w:rsid w:val="00054CF8"/>
    <w:rsid w:val="000551E5"/>
    <w:rsid w:val="00055C1C"/>
    <w:rsid w:val="00055E50"/>
    <w:rsid w:val="0005680C"/>
    <w:rsid w:val="00057044"/>
    <w:rsid w:val="0005710D"/>
    <w:rsid w:val="0005723F"/>
    <w:rsid w:val="000574A1"/>
    <w:rsid w:val="00060304"/>
    <w:rsid w:val="00060338"/>
    <w:rsid w:val="00061297"/>
    <w:rsid w:val="000616AF"/>
    <w:rsid w:val="00061A5E"/>
    <w:rsid w:val="000620FD"/>
    <w:rsid w:val="00062267"/>
    <w:rsid w:val="0006285E"/>
    <w:rsid w:val="00062E76"/>
    <w:rsid w:val="00064138"/>
    <w:rsid w:val="00064337"/>
    <w:rsid w:val="00064592"/>
    <w:rsid w:val="000653D1"/>
    <w:rsid w:val="00065447"/>
    <w:rsid w:val="000657A4"/>
    <w:rsid w:val="00065C4C"/>
    <w:rsid w:val="00065F88"/>
    <w:rsid w:val="00066288"/>
    <w:rsid w:val="00066513"/>
    <w:rsid w:val="000668E6"/>
    <w:rsid w:val="00067498"/>
    <w:rsid w:val="00067597"/>
    <w:rsid w:val="00067837"/>
    <w:rsid w:val="00067B5F"/>
    <w:rsid w:val="0007065C"/>
    <w:rsid w:val="00071A9E"/>
    <w:rsid w:val="00071B57"/>
    <w:rsid w:val="00071CA8"/>
    <w:rsid w:val="0007283E"/>
    <w:rsid w:val="00072E8E"/>
    <w:rsid w:val="00073538"/>
    <w:rsid w:val="0007373A"/>
    <w:rsid w:val="000737D0"/>
    <w:rsid w:val="000746AB"/>
    <w:rsid w:val="00074C64"/>
    <w:rsid w:val="00074D2E"/>
    <w:rsid w:val="0007552B"/>
    <w:rsid w:val="000765FE"/>
    <w:rsid w:val="00076AD1"/>
    <w:rsid w:val="00076B35"/>
    <w:rsid w:val="00077024"/>
    <w:rsid w:val="00077F72"/>
    <w:rsid w:val="00080664"/>
    <w:rsid w:val="00080A0C"/>
    <w:rsid w:val="00080B31"/>
    <w:rsid w:val="00080EE9"/>
    <w:rsid w:val="00081103"/>
    <w:rsid w:val="000812C3"/>
    <w:rsid w:val="000818C2"/>
    <w:rsid w:val="00081A46"/>
    <w:rsid w:val="00081DBE"/>
    <w:rsid w:val="00081E15"/>
    <w:rsid w:val="00081F09"/>
    <w:rsid w:val="0008231C"/>
    <w:rsid w:val="000823F7"/>
    <w:rsid w:val="00082434"/>
    <w:rsid w:val="0008333B"/>
    <w:rsid w:val="00083B5E"/>
    <w:rsid w:val="00083B70"/>
    <w:rsid w:val="00083C84"/>
    <w:rsid w:val="000842DA"/>
    <w:rsid w:val="00084EC6"/>
    <w:rsid w:val="00085653"/>
    <w:rsid w:val="00085B64"/>
    <w:rsid w:val="00085C30"/>
    <w:rsid w:val="0008604B"/>
    <w:rsid w:val="00087BDD"/>
    <w:rsid w:val="00087C28"/>
    <w:rsid w:val="00087F68"/>
    <w:rsid w:val="0009012A"/>
    <w:rsid w:val="0009167D"/>
    <w:rsid w:val="00091992"/>
    <w:rsid w:val="00092BBB"/>
    <w:rsid w:val="000931BF"/>
    <w:rsid w:val="00093561"/>
    <w:rsid w:val="00093D85"/>
    <w:rsid w:val="000943D0"/>
    <w:rsid w:val="00094699"/>
    <w:rsid w:val="0009491D"/>
    <w:rsid w:val="00094A1C"/>
    <w:rsid w:val="0009590E"/>
    <w:rsid w:val="00095E8A"/>
    <w:rsid w:val="00095E90"/>
    <w:rsid w:val="0009656E"/>
    <w:rsid w:val="00096C1B"/>
    <w:rsid w:val="00097456"/>
    <w:rsid w:val="00097ACB"/>
    <w:rsid w:val="00097BB8"/>
    <w:rsid w:val="000A0050"/>
    <w:rsid w:val="000A08FC"/>
    <w:rsid w:val="000A14E7"/>
    <w:rsid w:val="000A16B4"/>
    <w:rsid w:val="000A17B7"/>
    <w:rsid w:val="000A2E6B"/>
    <w:rsid w:val="000A30D7"/>
    <w:rsid w:val="000A3369"/>
    <w:rsid w:val="000A35E2"/>
    <w:rsid w:val="000A39FF"/>
    <w:rsid w:val="000A3E25"/>
    <w:rsid w:val="000A3F57"/>
    <w:rsid w:val="000A416E"/>
    <w:rsid w:val="000A484A"/>
    <w:rsid w:val="000A4ACA"/>
    <w:rsid w:val="000A4FE5"/>
    <w:rsid w:val="000A5E27"/>
    <w:rsid w:val="000A631F"/>
    <w:rsid w:val="000A6451"/>
    <w:rsid w:val="000A690E"/>
    <w:rsid w:val="000A6962"/>
    <w:rsid w:val="000A69CC"/>
    <w:rsid w:val="000A6C5B"/>
    <w:rsid w:val="000A6E1B"/>
    <w:rsid w:val="000A7078"/>
    <w:rsid w:val="000A7B08"/>
    <w:rsid w:val="000A7DF9"/>
    <w:rsid w:val="000B0BF6"/>
    <w:rsid w:val="000B1A2D"/>
    <w:rsid w:val="000B1AA3"/>
    <w:rsid w:val="000B2477"/>
    <w:rsid w:val="000B2943"/>
    <w:rsid w:val="000B2BDF"/>
    <w:rsid w:val="000B2C3A"/>
    <w:rsid w:val="000B2DE7"/>
    <w:rsid w:val="000B33CB"/>
    <w:rsid w:val="000B341F"/>
    <w:rsid w:val="000B3971"/>
    <w:rsid w:val="000B3B2B"/>
    <w:rsid w:val="000B401E"/>
    <w:rsid w:val="000B404E"/>
    <w:rsid w:val="000B456F"/>
    <w:rsid w:val="000B47C3"/>
    <w:rsid w:val="000B4EC8"/>
    <w:rsid w:val="000B541A"/>
    <w:rsid w:val="000B56EA"/>
    <w:rsid w:val="000B5F57"/>
    <w:rsid w:val="000B621E"/>
    <w:rsid w:val="000B657F"/>
    <w:rsid w:val="000B664A"/>
    <w:rsid w:val="000B6898"/>
    <w:rsid w:val="000B7034"/>
    <w:rsid w:val="000B7146"/>
    <w:rsid w:val="000B7AB6"/>
    <w:rsid w:val="000C032D"/>
    <w:rsid w:val="000C0DB2"/>
    <w:rsid w:val="000C1D86"/>
    <w:rsid w:val="000C1FAC"/>
    <w:rsid w:val="000C22F2"/>
    <w:rsid w:val="000C2CE3"/>
    <w:rsid w:val="000C34D4"/>
    <w:rsid w:val="000C35A6"/>
    <w:rsid w:val="000C3E51"/>
    <w:rsid w:val="000C42DC"/>
    <w:rsid w:val="000C47FA"/>
    <w:rsid w:val="000C4C4A"/>
    <w:rsid w:val="000C64A2"/>
    <w:rsid w:val="000C6CCC"/>
    <w:rsid w:val="000C7F06"/>
    <w:rsid w:val="000D021E"/>
    <w:rsid w:val="000D05E2"/>
    <w:rsid w:val="000D0953"/>
    <w:rsid w:val="000D099A"/>
    <w:rsid w:val="000D09D1"/>
    <w:rsid w:val="000D13E3"/>
    <w:rsid w:val="000D1B26"/>
    <w:rsid w:val="000D1E45"/>
    <w:rsid w:val="000D2185"/>
    <w:rsid w:val="000D243E"/>
    <w:rsid w:val="000D2778"/>
    <w:rsid w:val="000D2ED7"/>
    <w:rsid w:val="000D39D1"/>
    <w:rsid w:val="000D3A52"/>
    <w:rsid w:val="000D3FF6"/>
    <w:rsid w:val="000D4ED4"/>
    <w:rsid w:val="000D50DF"/>
    <w:rsid w:val="000D5742"/>
    <w:rsid w:val="000D5830"/>
    <w:rsid w:val="000D5D3E"/>
    <w:rsid w:val="000D5D6A"/>
    <w:rsid w:val="000D71BB"/>
    <w:rsid w:val="000D76B3"/>
    <w:rsid w:val="000E01F7"/>
    <w:rsid w:val="000E04BF"/>
    <w:rsid w:val="000E112E"/>
    <w:rsid w:val="000E141A"/>
    <w:rsid w:val="000E16A3"/>
    <w:rsid w:val="000E1F18"/>
    <w:rsid w:val="000E236B"/>
    <w:rsid w:val="000E2789"/>
    <w:rsid w:val="000E2B8E"/>
    <w:rsid w:val="000E3479"/>
    <w:rsid w:val="000E3AEF"/>
    <w:rsid w:val="000E3C31"/>
    <w:rsid w:val="000E428A"/>
    <w:rsid w:val="000E437F"/>
    <w:rsid w:val="000E4425"/>
    <w:rsid w:val="000E51CD"/>
    <w:rsid w:val="000E5B51"/>
    <w:rsid w:val="000E5F8E"/>
    <w:rsid w:val="000E6A34"/>
    <w:rsid w:val="000E70AA"/>
    <w:rsid w:val="000E77E4"/>
    <w:rsid w:val="000E7976"/>
    <w:rsid w:val="000F02F7"/>
    <w:rsid w:val="000F06B5"/>
    <w:rsid w:val="000F08DA"/>
    <w:rsid w:val="000F0AFD"/>
    <w:rsid w:val="000F1803"/>
    <w:rsid w:val="000F1B8B"/>
    <w:rsid w:val="000F2A5E"/>
    <w:rsid w:val="000F2B13"/>
    <w:rsid w:val="000F2C08"/>
    <w:rsid w:val="000F2C91"/>
    <w:rsid w:val="000F2F2B"/>
    <w:rsid w:val="000F334C"/>
    <w:rsid w:val="000F348C"/>
    <w:rsid w:val="000F3779"/>
    <w:rsid w:val="000F3D08"/>
    <w:rsid w:val="000F3DC2"/>
    <w:rsid w:val="000F4851"/>
    <w:rsid w:val="000F4C50"/>
    <w:rsid w:val="000F4CE0"/>
    <w:rsid w:val="000F6016"/>
    <w:rsid w:val="000F7344"/>
    <w:rsid w:val="000F7EB6"/>
    <w:rsid w:val="00100328"/>
    <w:rsid w:val="001005CE"/>
    <w:rsid w:val="001009AA"/>
    <w:rsid w:val="001012ED"/>
    <w:rsid w:val="0010180E"/>
    <w:rsid w:val="00101FED"/>
    <w:rsid w:val="0010224A"/>
    <w:rsid w:val="001022C4"/>
    <w:rsid w:val="00102FCB"/>
    <w:rsid w:val="0010426F"/>
    <w:rsid w:val="00104668"/>
    <w:rsid w:val="0010477E"/>
    <w:rsid w:val="00104F33"/>
    <w:rsid w:val="00105109"/>
    <w:rsid w:val="00106528"/>
    <w:rsid w:val="00106EC5"/>
    <w:rsid w:val="001079BB"/>
    <w:rsid w:val="00107B10"/>
    <w:rsid w:val="00107B34"/>
    <w:rsid w:val="00107C36"/>
    <w:rsid w:val="001103C7"/>
    <w:rsid w:val="001106B3"/>
    <w:rsid w:val="001109B9"/>
    <w:rsid w:val="001118F0"/>
    <w:rsid w:val="0011297D"/>
    <w:rsid w:val="001131FC"/>
    <w:rsid w:val="00113383"/>
    <w:rsid w:val="001136A9"/>
    <w:rsid w:val="001137B3"/>
    <w:rsid w:val="001139E9"/>
    <w:rsid w:val="00114530"/>
    <w:rsid w:val="001146F9"/>
    <w:rsid w:val="00114A2F"/>
    <w:rsid w:val="00114A42"/>
    <w:rsid w:val="00114FB7"/>
    <w:rsid w:val="001152C9"/>
    <w:rsid w:val="00115A28"/>
    <w:rsid w:val="00116FBA"/>
    <w:rsid w:val="00117082"/>
    <w:rsid w:val="0011732D"/>
    <w:rsid w:val="001175E3"/>
    <w:rsid w:val="001179CE"/>
    <w:rsid w:val="00117CD4"/>
    <w:rsid w:val="00120A58"/>
    <w:rsid w:val="00120F63"/>
    <w:rsid w:val="0012109F"/>
    <w:rsid w:val="0012111B"/>
    <w:rsid w:val="0012146B"/>
    <w:rsid w:val="00121498"/>
    <w:rsid w:val="001214CF"/>
    <w:rsid w:val="0012250E"/>
    <w:rsid w:val="0012289E"/>
    <w:rsid w:val="001229D2"/>
    <w:rsid w:val="00123070"/>
    <w:rsid w:val="001230D7"/>
    <w:rsid w:val="00123128"/>
    <w:rsid w:val="00123BEC"/>
    <w:rsid w:val="00123CA3"/>
    <w:rsid w:val="00123F7A"/>
    <w:rsid w:val="001240A2"/>
    <w:rsid w:val="001241E1"/>
    <w:rsid w:val="00125219"/>
    <w:rsid w:val="001254F7"/>
    <w:rsid w:val="0012566D"/>
    <w:rsid w:val="001257F5"/>
    <w:rsid w:val="00125934"/>
    <w:rsid w:val="00125FD6"/>
    <w:rsid w:val="0012619E"/>
    <w:rsid w:val="001265D9"/>
    <w:rsid w:val="00126CCB"/>
    <w:rsid w:val="00127744"/>
    <w:rsid w:val="00127C10"/>
    <w:rsid w:val="0013080B"/>
    <w:rsid w:val="0013082F"/>
    <w:rsid w:val="0013176B"/>
    <w:rsid w:val="00131F20"/>
    <w:rsid w:val="00133B3D"/>
    <w:rsid w:val="00134409"/>
    <w:rsid w:val="001344CC"/>
    <w:rsid w:val="001346F3"/>
    <w:rsid w:val="0013493D"/>
    <w:rsid w:val="00134B4C"/>
    <w:rsid w:val="00135073"/>
    <w:rsid w:val="001362F7"/>
    <w:rsid w:val="00136DE7"/>
    <w:rsid w:val="00136F6F"/>
    <w:rsid w:val="00137823"/>
    <w:rsid w:val="00137EAF"/>
    <w:rsid w:val="00140251"/>
    <w:rsid w:val="00140E57"/>
    <w:rsid w:val="001413E3"/>
    <w:rsid w:val="0014190C"/>
    <w:rsid w:val="00141E2F"/>
    <w:rsid w:val="00141EAB"/>
    <w:rsid w:val="001421BF"/>
    <w:rsid w:val="00142255"/>
    <w:rsid w:val="00142351"/>
    <w:rsid w:val="00142629"/>
    <w:rsid w:val="001427F4"/>
    <w:rsid w:val="00142D10"/>
    <w:rsid w:val="00143015"/>
    <w:rsid w:val="00143476"/>
    <w:rsid w:val="0014351C"/>
    <w:rsid w:val="00143B7E"/>
    <w:rsid w:val="001440BA"/>
    <w:rsid w:val="001445A6"/>
    <w:rsid w:val="00144D92"/>
    <w:rsid w:val="00144DAF"/>
    <w:rsid w:val="00144EBD"/>
    <w:rsid w:val="00145110"/>
    <w:rsid w:val="001458AB"/>
    <w:rsid w:val="00145CFE"/>
    <w:rsid w:val="00145D1B"/>
    <w:rsid w:val="00145DEF"/>
    <w:rsid w:val="00145FFF"/>
    <w:rsid w:val="001464BE"/>
    <w:rsid w:val="00146D7D"/>
    <w:rsid w:val="00146DA6"/>
    <w:rsid w:val="001506CE"/>
    <w:rsid w:val="00150C6C"/>
    <w:rsid w:val="00151E72"/>
    <w:rsid w:val="00151FC2"/>
    <w:rsid w:val="00152993"/>
    <w:rsid w:val="00152F10"/>
    <w:rsid w:val="00153156"/>
    <w:rsid w:val="001533D6"/>
    <w:rsid w:val="00153514"/>
    <w:rsid w:val="001535AF"/>
    <w:rsid w:val="0015422D"/>
    <w:rsid w:val="001544AF"/>
    <w:rsid w:val="00154583"/>
    <w:rsid w:val="0015459D"/>
    <w:rsid w:val="00154967"/>
    <w:rsid w:val="00154BC7"/>
    <w:rsid w:val="0015502A"/>
    <w:rsid w:val="00155AED"/>
    <w:rsid w:val="0015750C"/>
    <w:rsid w:val="00157BB9"/>
    <w:rsid w:val="00160045"/>
    <w:rsid w:val="00160103"/>
    <w:rsid w:val="00160E52"/>
    <w:rsid w:val="0016417B"/>
    <w:rsid w:val="00164FC4"/>
    <w:rsid w:val="00165436"/>
    <w:rsid w:val="00165499"/>
    <w:rsid w:val="00165C35"/>
    <w:rsid w:val="00166739"/>
    <w:rsid w:val="0016696D"/>
    <w:rsid w:val="00166B3A"/>
    <w:rsid w:val="00167139"/>
    <w:rsid w:val="00167470"/>
    <w:rsid w:val="001679FB"/>
    <w:rsid w:val="00167AEF"/>
    <w:rsid w:val="00167B47"/>
    <w:rsid w:val="00167B73"/>
    <w:rsid w:val="00167E52"/>
    <w:rsid w:val="00167FA7"/>
    <w:rsid w:val="00170358"/>
    <w:rsid w:val="0017056B"/>
    <w:rsid w:val="00170770"/>
    <w:rsid w:val="0017121A"/>
    <w:rsid w:val="0017124B"/>
    <w:rsid w:val="0017181C"/>
    <w:rsid w:val="00171B08"/>
    <w:rsid w:val="00172E75"/>
    <w:rsid w:val="0017337F"/>
    <w:rsid w:val="0017347D"/>
    <w:rsid w:val="00173A28"/>
    <w:rsid w:val="001746FE"/>
    <w:rsid w:val="00174AA7"/>
    <w:rsid w:val="00174FB2"/>
    <w:rsid w:val="00175A43"/>
    <w:rsid w:val="00175DAE"/>
    <w:rsid w:val="0017611D"/>
    <w:rsid w:val="001763B0"/>
    <w:rsid w:val="001766F9"/>
    <w:rsid w:val="00177911"/>
    <w:rsid w:val="00177D32"/>
    <w:rsid w:val="00177DE3"/>
    <w:rsid w:val="001800BC"/>
    <w:rsid w:val="00180F25"/>
    <w:rsid w:val="00181144"/>
    <w:rsid w:val="00181337"/>
    <w:rsid w:val="00181D5D"/>
    <w:rsid w:val="00181F6B"/>
    <w:rsid w:val="00181FBA"/>
    <w:rsid w:val="0018283D"/>
    <w:rsid w:val="00182C5E"/>
    <w:rsid w:val="0018344B"/>
    <w:rsid w:val="001834D9"/>
    <w:rsid w:val="0018388A"/>
    <w:rsid w:val="001840BD"/>
    <w:rsid w:val="00184268"/>
    <w:rsid w:val="001842F9"/>
    <w:rsid w:val="00184886"/>
    <w:rsid w:val="001856A0"/>
    <w:rsid w:val="00185ED3"/>
    <w:rsid w:val="001869CF"/>
    <w:rsid w:val="00187056"/>
    <w:rsid w:val="001874F8"/>
    <w:rsid w:val="001875FE"/>
    <w:rsid w:val="0019117E"/>
    <w:rsid w:val="00191C4B"/>
    <w:rsid w:val="00191FC0"/>
    <w:rsid w:val="00192B75"/>
    <w:rsid w:val="00192E1E"/>
    <w:rsid w:val="00193067"/>
    <w:rsid w:val="001930C7"/>
    <w:rsid w:val="00194A7A"/>
    <w:rsid w:val="001952B6"/>
    <w:rsid w:val="00195788"/>
    <w:rsid w:val="001968DA"/>
    <w:rsid w:val="00197612"/>
    <w:rsid w:val="00197973"/>
    <w:rsid w:val="00197A38"/>
    <w:rsid w:val="00197D0B"/>
    <w:rsid w:val="00197E3E"/>
    <w:rsid w:val="001A01F0"/>
    <w:rsid w:val="001A1A38"/>
    <w:rsid w:val="001A244B"/>
    <w:rsid w:val="001A31C2"/>
    <w:rsid w:val="001A35C9"/>
    <w:rsid w:val="001A368F"/>
    <w:rsid w:val="001A3741"/>
    <w:rsid w:val="001A4129"/>
    <w:rsid w:val="001A450C"/>
    <w:rsid w:val="001A470D"/>
    <w:rsid w:val="001A4990"/>
    <w:rsid w:val="001A4C2E"/>
    <w:rsid w:val="001A4F81"/>
    <w:rsid w:val="001A58F3"/>
    <w:rsid w:val="001A6A99"/>
    <w:rsid w:val="001A7258"/>
    <w:rsid w:val="001A74A1"/>
    <w:rsid w:val="001B093A"/>
    <w:rsid w:val="001B1279"/>
    <w:rsid w:val="001B1DB9"/>
    <w:rsid w:val="001B2378"/>
    <w:rsid w:val="001B247A"/>
    <w:rsid w:val="001B2793"/>
    <w:rsid w:val="001B3645"/>
    <w:rsid w:val="001B3AA5"/>
    <w:rsid w:val="001B5962"/>
    <w:rsid w:val="001B5E73"/>
    <w:rsid w:val="001B6099"/>
    <w:rsid w:val="001B6525"/>
    <w:rsid w:val="001B66EC"/>
    <w:rsid w:val="001B6D99"/>
    <w:rsid w:val="001B7C9F"/>
    <w:rsid w:val="001C002A"/>
    <w:rsid w:val="001C1387"/>
    <w:rsid w:val="001C156C"/>
    <w:rsid w:val="001C1EB0"/>
    <w:rsid w:val="001C2181"/>
    <w:rsid w:val="001C22A7"/>
    <w:rsid w:val="001C23A3"/>
    <w:rsid w:val="001C26A5"/>
    <w:rsid w:val="001C301E"/>
    <w:rsid w:val="001C32D2"/>
    <w:rsid w:val="001C33C7"/>
    <w:rsid w:val="001C39AE"/>
    <w:rsid w:val="001C528C"/>
    <w:rsid w:val="001C5C07"/>
    <w:rsid w:val="001C719F"/>
    <w:rsid w:val="001C724C"/>
    <w:rsid w:val="001C72CE"/>
    <w:rsid w:val="001C7ABB"/>
    <w:rsid w:val="001D02EE"/>
    <w:rsid w:val="001D033E"/>
    <w:rsid w:val="001D0645"/>
    <w:rsid w:val="001D0B5E"/>
    <w:rsid w:val="001D0CF0"/>
    <w:rsid w:val="001D1090"/>
    <w:rsid w:val="001D175B"/>
    <w:rsid w:val="001D1D32"/>
    <w:rsid w:val="001D1E1C"/>
    <w:rsid w:val="001D1F6A"/>
    <w:rsid w:val="001D2573"/>
    <w:rsid w:val="001D25F1"/>
    <w:rsid w:val="001D32FD"/>
    <w:rsid w:val="001D3EA4"/>
    <w:rsid w:val="001D43E9"/>
    <w:rsid w:val="001D4584"/>
    <w:rsid w:val="001D45C1"/>
    <w:rsid w:val="001D4766"/>
    <w:rsid w:val="001D4C0A"/>
    <w:rsid w:val="001D4D04"/>
    <w:rsid w:val="001D4E47"/>
    <w:rsid w:val="001D5C23"/>
    <w:rsid w:val="001D6591"/>
    <w:rsid w:val="001D68C4"/>
    <w:rsid w:val="001D7086"/>
    <w:rsid w:val="001D760B"/>
    <w:rsid w:val="001D7A03"/>
    <w:rsid w:val="001D7E82"/>
    <w:rsid w:val="001E006A"/>
    <w:rsid w:val="001E01C2"/>
    <w:rsid w:val="001E0361"/>
    <w:rsid w:val="001E0966"/>
    <w:rsid w:val="001E0D0F"/>
    <w:rsid w:val="001E12D4"/>
    <w:rsid w:val="001E1311"/>
    <w:rsid w:val="001E1AE5"/>
    <w:rsid w:val="001E2602"/>
    <w:rsid w:val="001E2B6B"/>
    <w:rsid w:val="001E2D9D"/>
    <w:rsid w:val="001E30F2"/>
    <w:rsid w:val="001E31B6"/>
    <w:rsid w:val="001E370C"/>
    <w:rsid w:val="001E3CCB"/>
    <w:rsid w:val="001E3E21"/>
    <w:rsid w:val="001E43FB"/>
    <w:rsid w:val="001E4B1D"/>
    <w:rsid w:val="001E4E57"/>
    <w:rsid w:val="001E587F"/>
    <w:rsid w:val="001E5901"/>
    <w:rsid w:val="001E5FAC"/>
    <w:rsid w:val="001E61F3"/>
    <w:rsid w:val="001E6890"/>
    <w:rsid w:val="001E717C"/>
    <w:rsid w:val="001E71B4"/>
    <w:rsid w:val="001E7509"/>
    <w:rsid w:val="001E7783"/>
    <w:rsid w:val="001E7DFC"/>
    <w:rsid w:val="001F0402"/>
    <w:rsid w:val="001F060D"/>
    <w:rsid w:val="001F07FE"/>
    <w:rsid w:val="001F0962"/>
    <w:rsid w:val="001F0D7A"/>
    <w:rsid w:val="001F139B"/>
    <w:rsid w:val="001F164F"/>
    <w:rsid w:val="001F1805"/>
    <w:rsid w:val="001F20F2"/>
    <w:rsid w:val="001F292D"/>
    <w:rsid w:val="001F3183"/>
    <w:rsid w:val="001F3C57"/>
    <w:rsid w:val="001F41C1"/>
    <w:rsid w:val="001F4C15"/>
    <w:rsid w:val="001F54A8"/>
    <w:rsid w:val="001F5549"/>
    <w:rsid w:val="001F59F7"/>
    <w:rsid w:val="001F5B85"/>
    <w:rsid w:val="001F5DEF"/>
    <w:rsid w:val="001F6A3C"/>
    <w:rsid w:val="001F73F1"/>
    <w:rsid w:val="001F7735"/>
    <w:rsid w:val="001F784A"/>
    <w:rsid w:val="001F797B"/>
    <w:rsid w:val="00200A58"/>
    <w:rsid w:val="00200AD6"/>
    <w:rsid w:val="00201466"/>
    <w:rsid w:val="00201744"/>
    <w:rsid w:val="00201ACF"/>
    <w:rsid w:val="00202164"/>
    <w:rsid w:val="00202C25"/>
    <w:rsid w:val="00202FDF"/>
    <w:rsid w:val="00203027"/>
    <w:rsid w:val="002034A4"/>
    <w:rsid w:val="0020388C"/>
    <w:rsid w:val="00203E50"/>
    <w:rsid w:val="002040E4"/>
    <w:rsid w:val="002049DB"/>
    <w:rsid w:val="0020534A"/>
    <w:rsid w:val="00205738"/>
    <w:rsid w:val="00205C6E"/>
    <w:rsid w:val="00206AEC"/>
    <w:rsid w:val="00206F6B"/>
    <w:rsid w:val="002070BB"/>
    <w:rsid w:val="00207308"/>
    <w:rsid w:val="002077D2"/>
    <w:rsid w:val="00207A56"/>
    <w:rsid w:val="002109F0"/>
    <w:rsid w:val="00211009"/>
    <w:rsid w:val="00211062"/>
    <w:rsid w:val="002111AB"/>
    <w:rsid w:val="0021170A"/>
    <w:rsid w:val="002118BF"/>
    <w:rsid w:val="0021195D"/>
    <w:rsid w:val="00211B3F"/>
    <w:rsid w:val="00211BEA"/>
    <w:rsid w:val="00211D82"/>
    <w:rsid w:val="002121EA"/>
    <w:rsid w:val="0021223F"/>
    <w:rsid w:val="00212511"/>
    <w:rsid w:val="002127B3"/>
    <w:rsid w:val="002129A7"/>
    <w:rsid w:val="00212A40"/>
    <w:rsid w:val="002134F0"/>
    <w:rsid w:val="00213CDD"/>
    <w:rsid w:val="00214882"/>
    <w:rsid w:val="00214D42"/>
    <w:rsid w:val="0021501D"/>
    <w:rsid w:val="00215374"/>
    <w:rsid w:val="002157BB"/>
    <w:rsid w:val="00216271"/>
    <w:rsid w:val="0021690E"/>
    <w:rsid w:val="00216EDA"/>
    <w:rsid w:val="0021784C"/>
    <w:rsid w:val="00217C6D"/>
    <w:rsid w:val="00220789"/>
    <w:rsid w:val="0022083C"/>
    <w:rsid w:val="00220908"/>
    <w:rsid w:val="00220B56"/>
    <w:rsid w:val="00220BDC"/>
    <w:rsid w:val="00220E4D"/>
    <w:rsid w:val="00221853"/>
    <w:rsid w:val="00221ECC"/>
    <w:rsid w:val="002228DA"/>
    <w:rsid w:val="00223A12"/>
    <w:rsid w:val="00223FDE"/>
    <w:rsid w:val="002242CD"/>
    <w:rsid w:val="002244C2"/>
    <w:rsid w:val="002245D9"/>
    <w:rsid w:val="00224611"/>
    <w:rsid w:val="00224787"/>
    <w:rsid w:val="00224BF4"/>
    <w:rsid w:val="00224CED"/>
    <w:rsid w:val="00224DFD"/>
    <w:rsid w:val="00225776"/>
    <w:rsid w:val="002266A6"/>
    <w:rsid w:val="00226D6B"/>
    <w:rsid w:val="00227009"/>
    <w:rsid w:val="0022711B"/>
    <w:rsid w:val="002274F5"/>
    <w:rsid w:val="00227816"/>
    <w:rsid w:val="002302F1"/>
    <w:rsid w:val="002303DB"/>
    <w:rsid w:val="00230CA2"/>
    <w:rsid w:val="002310AC"/>
    <w:rsid w:val="002319C3"/>
    <w:rsid w:val="00231EC6"/>
    <w:rsid w:val="00232403"/>
    <w:rsid w:val="0023381C"/>
    <w:rsid w:val="002338DC"/>
    <w:rsid w:val="00233A80"/>
    <w:rsid w:val="00233BC6"/>
    <w:rsid w:val="00233EB1"/>
    <w:rsid w:val="00234178"/>
    <w:rsid w:val="002344B3"/>
    <w:rsid w:val="002347A3"/>
    <w:rsid w:val="00234832"/>
    <w:rsid w:val="00234906"/>
    <w:rsid w:val="002349B7"/>
    <w:rsid w:val="002355D8"/>
    <w:rsid w:val="0023591D"/>
    <w:rsid w:val="00235E49"/>
    <w:rsid w:val="002364CB"/>
    <w:rsid w:val="00237093"/>
    <w:rsid w:val="00237305"/>
    <w:rsid w:val="002373AD"/>
    <w:rsid w:val="002375CF"/>
    <w:rsid w:val="002375E0"/>
    <w:rsid w:val="00237D28"/>
    <w:rsid w:val="00237D45"/>
    <w:rsid w:val="00237EDD"/>
    <w:rsid w:val="002405FD"/>
    <w:rsid w:val="00240DAF"/>
    <w:rsid w:val="00240EE6"/>
    <w:rsid w:val="002418CC"/>
    <w:rsid w:val="00241DE6"/>
    <w:rsid w:val="002424A8"/>
    <w:rsid w:val="002427BF"/>
    <w:rsid w:val="00242B4F"/>
    <w:rsid w:val="00243219"/>
    <w:rsid w:val="00243549"/>
    <w:rsid w:val="002435A2"/>
    <w:rsid w:val="00243EF0"/>
    <w:rsid w:val="00244674"/>
    <w:rsid w:val="00244998"/>
    <w:rsid w:val="002456A1"/>
    <w:rsid w:val="00245A3B"/>
    <w:rsid w:val="00245C90"/>
    <w:rsid w:val="0024607D"/>
    <w:rsid w:val="00246473"/>
    <w:rsid w:val="002466AC"/>
    <w:rsid w:val="002467FD"/>
    <w:rsid w:val="0024761A"/>
    <w:rsid w:val="00247D44"/>
    <w:rsid w:val="00247F4B"/>
    <w:rsid w:val="002511CA"/>
    <w:rsid w:val="00251241"/>
    <w:rsid w:val="00251CDE"/>
    <w:rsid w:val="00252497"/>
    <w:rsid w:val="002541AF"/>
    <w:rsid w:val="00254B45"/>
    <w:rsid w:val="002554EB"/>
    <w:rsid w:val="00255813"/>
    <w:rsid w:val="00255E59"/>
    <w:rsid w:val="002560DD"/>
    <w:rsid w:val="00256929"/>
    <w:rsid w:val="00260260"/>
    <w:rsid w:val="002605F4"/>
    <w:rsid w:val="00260772"/>
    <w:rsid w:val="002608C9"/>
    <w:rsid w:val="00260DF1"/>
    <w:rsid w:val="00261217"/>
    <w:rsid w:val="002612BF"/>
    <w:rsid w:val="002613FA"/>
    <w:rsid w:val="00261B5D"/>
    <w:rsid w:val="00261E46"/>
    <w:rsid w:val="00261F26"/>
    <w:rsid w:val="00262CC2"/>
    <w:rsid w:val="00262D40"/>
    <w:rsid w:val="002637AD"/>
    <w:rsid w:val="00263A31"/>
    <w:rsid w:val="00263ECA"/>
    <w:rsid w:val="00264207"/>
    <w:rsid w:val="002646EC"/>
    <w:rsid w:val="002649AC"/>
    <w:rsid w:val="00264C23"/>
    <w:rsid w:val="00266230"/>
    <w:rsid w:val="002662EF"/>
    <w:rsid w:val="002666FD"/>
    <w:rsid w:val="0026676D"/>
    <w:rsid w:val="002667A8"/>
    <w:rsid w:val="002667BD"/>
    <w:rsid w:val="00267032"/>
    <w:rsid w:val="0026770C"/>
    <w:rsid w:val="00267CFE"/>
    <w:rsid w:val="00267FFA"/>
    <w:rsid w:val="0027044D"/>
    <w:rsid w:val="00270C8B"/>
    <w:rsid w:val="00270CDA"/>
    <w:rsid w:val="002711DA"/>
    <w:rsid w:val="00271428"/>
    <w:rsid w:val="0027163D"/>
    <w:rsid w:val="002716D9"/>
    <w:rsid w:val="0027201D"/>
    <w:rsid w:val="0027245F"/>
    <w:rsid w:val="002727B0"/>
    <w:rsid w:val="00272B91"/>
    <w:rsid w:val="0027342A"/>
    <w:rsid w:val="002735B3"/>
    <w:rsid w:val="0027386B"/>
    <w:rsid w:val="00273B62"/>
    <w:rsid w:val="00273F16"/>
    <w:rsid w:val="002744F4"/>
    <w:rsid w:val="00274A0D"/>
    <w:rsid w:val="00274B2E"/>
    <w:rsid w:val="00274C28"/>
    <w:rsid w:val="00274D21"/>
    <w:rsid w:val="0027574C"/>
    <w:rsid w:val="00275EB5"/>
    <w:rsid w:val="00275F82"/>
    <w:rsid w:val="00276099"/>
    <w:rsid w:val="00276650"/>
    <w:rsid w:val="002772CB"/>
    <w:rsid w:val="00277950"/>
    <w:rsid w:val="00281E50"/>
    <w:rsid w:val="00281F44"/>
    <w:rsid w:val="002821C7"/>
    <w:rsid w:val="002836FC"/>
    <w:rsid w:val="002842DD"/>
    <w:rsid w:val="00284F57"/>
    <w:rsid w:val="002855A1"/>
    <w:rsid w:val="00285601"/>
    <w:rsid w:val="00286852"/>
    <w:rsid w:val="00286A55"/>
    <w:rsid w:val="00286B74"/>
    <w:rsid w:val="00286DC3"/>
    <w:rsid w:val="00287003"/>
    <w:rsid w:val="00287CDA"/>
    <w:rsid w:val="00290536"/>
    <w:rsid w:val="002909A6"/>
    <w:rsid w:val="00290F2F"/>
    <w:rsid w:val="002912EF"/>
    <w:rsid w:val="00291F49"/>
    <w:rsid w:val="00292257"/>
    <w:rsid w:val="00292640"/>
    <w:rsid w:val="00292A4C"/>
    <w:rsid w:val="00294059"/>
    <w:rsid w:val="00294921"/>
    <w:rsid w:val="00294D88"/>
    <w:rsid w:val="00294DD9"/>
    <w:rsid w:val="00294F61"/>
    <w:rsid w:val="00294F6A"/>
    <w:rsid w:val="00295612"/>
    <w:rsid w:val="0029564E"/>
    <w:rsid w:val="00295CAF"/>
    <w:rsid w:val="002A016A"/>
    <w:rsid w:val="002A0193"/>
    <w:rsid w:val="002A08D1"/>
    <w:rsid w:val="002A0970"/>
    <w:rsid w:val="002A10D7"/>
    <w:rsid w:val="002A18A3"/>
    <w:rsid w:val="002A1C34"/>
    <w:rsid w:val="002A1C57"/>
    <w:rsid w:val="002A2229"/>
    <w:rsid w:val="002A265D"/>
    <w:rsid w:val="002A3124"/>
    <w:rsid w:val="002A3648"/>
    <w:rsid w:val="002A3925"/>
    <w:rsid w:val="002A3FF7"/>
    <w:rsid w:val="002A4BFD"/>
    <w:rsid w:val="002A4D20"/>
    <w:rsid w:val="002A5121"/>
    <w:rsid w:val="002A5F43"/>
    <w:rsid w:val="002A61A0"/>
    <w:rsid w:val="002A6793"/>
    <w:rsid w:val="002A68CA"/>
    <w:rsid w:val="002A6A15"/>
    <w:rsid w:val="002A6E0B"/>
    <w:rsid w:val="002A7159"/>
    <w:rsid w:val="002A75FB"/>
    <w:rsid w:val="002A7CE4"/>
    <w:rsid w:val="002A7DD8"/>
    <w:rsid w:val="002A7DDD"/>
    <w:rsid w:val="002B034F"/>
    <w:rsid w:val="002B0554"/>
    <w:rsid w:val="002B07A5"/>
    <w:rsid w:val="002B1414"/>
    <w:rsid w:val="002B182F"/>
    <w:rsid w:val="002B1C05"/>
    <w:rsid w:val="002B1F69"/>
    <w:rsid w:val="002B1FB3"/>
    <w:rsid w:val="002B2954"/>
    <w:rsid w:val="002B3084"/>
    <w:rsid w:val="002B3962"/>
    <w:rsid w:val="002B3FFF"/>
    <w:rsid w:val="002B423F"/>
    <w:rsid w:val="002B4334"/>
    <w:rsid w:val="002B4BCF"/>
    <w:rsid w:val="002B4E98"/>
    <w:rsid w:val="002B4E9F"/>
    <w:rsid w:val="002B57FE"/>
    <w:rsid w:val="002B5A16"/>
    <w:rsid w:val="002B5D83"/>
    <w:rsid w:val="002B63E5"/>
    <w:rsid w:val="002B68C1"/>
    <w:rsid w:val="002B6FD4"/>
    <w:rsid w:val="002B7365"/>
    <w:rsid w:val="002B7875"/>
    <w:rsid w:val="002B7CCF"/>
    <w:rsid w:val="002C0134"/>
    <w:rsid w:val="002C02D2"/>
    <w:rsid w:val="002C0CF3"/>
    <w:rsid w:val="002C10AE"/>
    <w:rsid w:val="002C15FD"/>
    <w:rsid w:val="002C1C46"/>
    <w:rsid w:val="002C1DBA"/>
    <w:rsid w:val="002C24A3"/>
    <w:rsid w:val="002C2500"/>
    <w:rsid w:val="002C2C25"/>
    <w:rsid w:val="002C36F5"/>
    <w:rsid w:val="002C3754"/>
    <w:rsid w:val="002C4514"/>
    <w:rsid w:val="002C46B5"/>
    <w:rsid w:val="002C47F1"/>
    <w:rsid w:val="002C4983"/>
    <w:rsid w:val="002C4FE8"/>
    <w:rsid w:val="002C6125"/>
    <w:rsid w:val="002C6364"/>
    <w:rsid w:val="002C6550"/>
    <w:rsid w:val="002C6905"/>
    <w:rsid w:val="002C6A2E"/>
    <w:rsid w:val="002C73BA"/>
    <w:rsid w:val="002C768A"/>
    <w:rsid w:val="002C7A4D"/>
    <w:rsid w:val="002C7CFD"/>
    <w:rsid w:val="002D0B3F"/>
    <w:rsid w:val="002D0C57"/>
    <w:rsid w:val="002D1001"/>
    <w:rsid w:val="002D107E"/>
    <w:rsid w:val="002D118B"/>
    <w:rsid w:val="002D1223"/>
    <w:rsid w:val="002D1580"/>
    <w:rsid w:val="002D1EEB"/>
    <w:rsid w:val="002D236D"/>
    <w:rsid w:val="002D2658"/>
    <w:rsid w:val="002D3357"/>
    <w:rsid w:val="002D3715"/>
    <w:rsid w:val="002D3898"/>
    <w:rsid w:val="002D3B05"/>
    <w:rsid w:val="002D4A5A"/>
    <w:rsid w:val="002D4FE2"/>
    <w:rsid w:val="002D518A"/>
    <w:rsid w:val="002D5550"/>
    <w:rsid w:val="002D56BA"/>
    <w:rsid w:val="002D5734"/>
    <w:rsid w:val="002D6740"/>
    <w:rsid w:val="002D6861"/>
    <w:rsid w:val="002D71CD"/>
    <w:rsid w:val="002D7A82"/>
    <w:rsid w:val="002D7DAA"/>
    <w:rsid w:val="002E024A"/>
    <w:rsid w:val="002E05F9"/>
    <w:rsid w:val="002E0AC9"/>
    <w:rsid w:val="002E0E9D"/>
    <w:rsid w:val="002E1CBD"/>
    <w:rsid w:val="002E1E36"/>
    <w:rsid w:val="002E1EEA"/>
    <w:rsid w:val="002E2B24"/>
    <w:rsid w:val="002E2BE3"/>
    <w:rsid w:val="002E33C6"/>
    <w:rsid w:val="002E3834"/>
    <w:rsid w:val="002E3BF9"/>
    <w:rsid w:val="002E407C"/>
    <w:rsid w:val="002E4EFA"/>
    <w:rsid w:val="002E4F45"/>
    <w:rsid w:val="002E53ED"/>
    <w:rsid w:val="002E5C12"/>
    <w:rsid w:val="002E6180"/>
    <w:rsid w:val="002E6235"/>
    <w:rsid w:val="002E6AE9"/>
    <w:rsid w:val="002E6CD0"/>
    <w:rsid w:val="002E7807"/>
    <w:rsid w:val="002F012A"/>
    <w:rsid w:val="002F034F"/>
    <w:rsid w:val="002F044B"/>
    <w:rsid w:val="002F09E0"/>
    <w:rsid w:val="002F1068"/>
    <w:rsid w:val="002F1267"/>
    <w:rsid w:val="002F2290"/>
    <w:rsid w:val="002F2721"/>
    <w:rsid w:val="002F2D15"/>
    <w:rsid w:val="002F2F7B"/>
    <w:rsid w:val="002F3023"/>
    <w:rsid w:val="002F3075"/>
    <w:rsid w:val="002F3279"/>
    <w:rsid w:val="002F3856"/>
    <w:rsid w:val="002F3C50"/>
    <w:rsid w:val="002F3F7F"/>
    <w:rsid w:val="002F4171"/>
    <w:rsid w:val="002F41DE"/>
    <w:rsid w:val="002F4C64"/>
    <w:rsid w:val="002F5410"/>
    <w:rsid w:val="002F5BE4"/>
    <w:rsid w:val="002F5E7E"/>
    <w:rsid w:val="002F5F83"/>
    <w:rsid w:val="002F64D1"/>
    <w:rsid w:val="002F64E4"/>
    <w:rsid w:val="002F6D84"/>
    <w:rsid w:val="002F73BA"/>
    <w:rsid w:val="002F73CA"/>
    <w:rsid w:val="00300003"/>
    <w:rsid w:val="0030017E"/>
    <w:rsid w:val="00300253"/>
    <w:rsid w:val="003005EC"/>
    <w:rsid w:val="00301443"/>
    <w:rsid w:val="003016E0"/>
    <w:rsid w:val="003017FD"/>
    <w:rsid w:val="00301AD9"/>
    <w:rsid w:val="00301E1B"/>
    <w:rsid w:val="00302752"/>
    <w:rsid w:val="003027DD"/>
    <w:rsid w:val="00302817"/>
    <w:rsid w:val="00303254"/>
    <w:rsid w:val="00303C7E"/>
    <w:rsid w:val="00303FA3"/>
    <w:rsid w:val="00304B4E"/>
    <w:rsid w:val="00304E1B"/>
    <w:rsid w:val="00304F01"/>
    <w:rsid w:val="003052CB"/>
    <w:rsid w:val="003057EC"/>
    <w:rsid w:val="00305A76"/>
    <w:rsid w:val="00306556"/>
    <w:rsid w:val="00306C2A"/>
    <w:rsid w:val="00307001"/>
    <w:rsid w:val="003075D9"/>
    <w:rsid w:val="003078BA"/>
    <w:rsid w:val="00307B66"/>
    <w:rsid w:val="003108C3"/>
    <w:rsid w:val="00310917"/>
    <w:rsid w:val="00310B5D"/>
    <w:rsid w:val="00311261"/>
    <w:rsid w:val="00311719"/>
    <w:rsid w:val="00311D62"/>
    <w:rsid w:val="00311DDE"/>
    <w:rsid w:val="003125BF"/>
    <w:rsid w:val="00312EB7"/>
    <w:rsid w:val="00312FC3"/>
    <w:rsid w:val="00313399"/>
    <w:rsid w:val="003134B6"/>
    <w:rsid w:val="00313773"/>
    <w:rsid w:val="00314886"/>
    <w:rsid w:val="00314D68"/>
    <w:rsid w:val="003152F5"/>
    <w:rsid w:val="0031547E"/>
    <w:rsid w:val="003156D9"/>
    <w:rsid w:val="00315C1A"/>
    <w:rsid w:val="00315CDF"/>
    <w:rsid w:val="0031665F"/>
    <w:rsid w:val="00316958"/>
    <w:rsid w:val="00316F1F"/>
    <w:rsid w:val="00317572"/>
    <w:rsid w:val="0031780A"/>
    <w:rsid w:val="00317B57"/>
    <w:rsid w:val="00317C8D"/>
    <w:rsid w:val="00317ECD"/>
    <w:rsid w:val="00320861"/>
    <w:rsid w:val="003208CE"/>
    <w:rsid w:val="00320B3B"/>
    <w:rsid w:val="00320E4B"/>
    <w:rsid w:val="00321DC0"/>
    <w:rsid w:val="00321DFC"/>
    <w:rsid w:val="00321FEC"/>
    <w:rsid w:val="00322211"/>
    <w:rsid w:val="0032243B"/>
    <w:rsid w:val="00322577"/>
    <w:rsid w:val="00322765"/>
    <w:rsid w:val="003229AC"/>
    <w:rsid w:val="0032301C"/>
    <w:rsid w:val="0032407B"/>
    <w:rsid w:val="00324AC6"/>
    <w:rsid w:val="00324CA9"/>
    <w:rsid w:val="00325105"/>
    <w:rsid w:val="00325A73"/>
    <w:rsid w:val="00325AF0"/>
    <w:rsid w:val="00325D6F"/>
    <w:rsid w:val="003260B4"/>
    <w:rsid w:val="00326394"/>
    <w:rsid w:val="003264CC"/>
    <w:rsid w:val="00326C27"/>
    <w:rsid w:val="0032708B"/>
    <w:rsid w:val="0032752B"/>
    <w:rsid w:val="00327E81"/>
    <w:rsid w:val="0033002A"/>
    <w:rsid w:val="00330040"/>
    <w:rsid w:val="003311E1"/>
    <w:rsid w:val="00331F61"/>
    <w:rsid w:val="00332305"/>
    <w:rsid w:val="00332575"/>
    <w:rsid w:val="0033271D"/>
    <w:rsid w:val="00332885"/>
    <w:rsid w:val="003331EC"/>
    <w:rsid w:val="00333372"/>
    <w:rsid w:val="00333E98"/>
    <w:rsid w:val="003344F8"/>
    <w:rsid w:val="003344FF"/>
    <w:rsid w:val="00334CAD"/>
    <w:rsid w:val="003360C6"/>
    <w:rsid w:val="003364E0"/>
    <w:rsid w:val="003364E9"/>
    <w:rsid w:val="003366B3"/>
    <w:rsid w:val="003367C5"/>
    <w:rsid w:val="00336AE8"/>
    <w:rsid w:val="00336B01"/>
    <w:rsid w:val="00337FFA"/>
    <w:rsid w:val="003400C9"/>
    <w:rsid w:val="003403A2"/>
    <w:rsid w:val="00340AEE"/>
    <w:rsid w:val="00340C55"/>
    <w:rsid w:val="00340C5B"/>
    <w:rsid w:val="00341068"/>
    <w:rsid w:val="00342EC8"/>
    <w:rsid w:val="0034420C"/>
    <w:rsid w:val="0034421D"/>
    <w:rsid w:val="003443BE"/>
    <w:rsid w:val="0034459C"/>
    <w:rsid w:val="003453F3"/>
    <w:rsid w:val="00345AC8"/>
    <w:rsid w:val="00345D04"/>
    <w:rsid w:val="00345DCC"/>
    <w:rsid w:val="00345F8A"/>
    <w:rsid w:val="00346253"/>
    <w:rsid w:val="003469BB"/>
    <w:rsid w:val="00346EA5"/>
    <w:rsid w:val="00347252"/>
    <w:rsid w:val="00347676"/>
    <w:rsid w:val="00347C38"/>
    <w:rsid w:val="00347CC6"/>
    <w:rsid w:val="003503A2"/>
    <w:rsid w:val="003505AB"/>
    <w:rsid w:val="0035085D"/>
    <w:rsid w:val="00350C2F"/>
    <w:rsid w:val="00350C80"/>
    <w:rsid w:val="00350CC7"/>
    <w:rsid w:val="00350DDA"/>
    <w:rsid w:val="00351E38"/>
    <w:rsid w:val="0035231C"/>
    <w:rsid w:val="003527F5"/>
    <w:rsid w:val="00352F13"/>
    <w:rsid w:val="00353151"/>
    <w:rsid w:val="00353F5A"/>
    <w:rsid w:val="00354873"/>
    <w:rsid w:val="003559A1"/>
    <w:rsid w:val="0035637C"/>
    <w:rsid w:val="00356A27"/>
    <w:rsid w:val="00356BFE"/>
    <w:rsid w:val="003572CF"/>
    <w:rsid w:val="0035759A"/>
    <w:rsid w:val="00357A9D"/>
    <w:rsid w:val="003600CB"/>
    <w:rsid w:val="00360756"/>
    <w:rsid w:val="00360CA7"/>
    <w:rsid w:val="00360DAF"/>
    <w:rsid w:val="00360F06"/>
    <w:rsid w:val="0036126D"/>
    <w:rsid w:val="00361767"/>
    <w:rsid w:val="00362D6F"/>
    <w:rsid w:val="00363C0A"/>
    <w:rsid w:val="00363EB8"/>
    <w:rsid w:val="00364066"/>
    <w:rsid w:val="00365101"/>
    <w:rsid w:val="003651D8"/>
    <w:rsid w:val="003652CE"/>
    <w:rsid w:val="003654BB"/>
    <w:rsid w:val="0036583A"/>
    <w:rsid w:val="003664EB"/>
    <w:rsid w:val="00366514"/>
    <w:rsid w:val="00366EBC"/>
    <w:rsid w:val="003673E9"/>
    <w:rsid w:val="0037008C"/>
    <w:rsid w:val="003700D9"/>
    <w:rsid w:val="0037075A"/>
    <w:rsid w:val="00370F67"/>
    <w:rsid w:val="00371A84"/>
    <w:rsid w:val="00372CD1"/>
    <w:rsid w:val="00372DAC"/>
    <w:rsid w:val="00372DAF"/>
    <w:rsid w:val="00373268"/>
    <w:rsid w:val="00373779"/>
    <w:rsid w:val="00373A79"/>
    <w:rsid w:val="00373B5D"/>
    <w:rsid w:val="00373BF4"/>
    <w:rsid w:val="00373C82"/>
    <w:rsid w:val="0037508B"/>
    <w:rsid w:val="00375164"/>
    <w:rsid w:val="003751AE"/>
    <w:rsid w:val="0037661A"/>
    <w:rsid w:val="00376A7D"/>
    <w:rsid w:val="003772FD"/>
    <w:rsid w:val="00377878"/>
    <w:rsid w:val="00377A26"/>
    <w:rsid w:val="0038058A"/>
    <w:rsid w:val="0038078D"/>
    <w:rsid w:val="00380FCE"/>
    <w:rsid w:val="00381330"/>
    <w:rsid w:val="003818BF"/>
    <w:rsid w:val="00381A38"/>
    <w:rsid w:val="00382075"/>
    <w:rsid w:val="0038220A"/>
    <w:rsid w:val="003828E9"/>
    <w:rsid w:val="00382B09"/>
    <w:rsid w:val="00382F6B"/>
    <w:rsid w:val="00383491"/>
    <w:rsid w:val="00384270"/>
    <w:rsid w:val="00384E37"/>
    <w:rsid w:val="00384F0E"/>
    <w:rsid w:val="0038506A"/>
    <w:rsid w:val="003852A9"/>
    <w:rsid w:val="00386164"/>
    <w:rsid w:val="00386395"/>
    <w:rsid w:val="00386478"/>
    <w:rsid w:val="00386A1D"/>
    <w:rsid w:val="0038726C"/>
    <w:rsid w:val="00387969"/>
    <w:rsid w:val="00387B75"/>
    <w:rsid w:val="00387FDC"/>
    <w:rsid w:val="0039043B"/>
    <w:rsid w:val="00390C5A"/>
    <w:rsid w:val="0039115B"/>
    <w:rsid w:val="00391181"/>
    <w:rsid w:val="00391453"/>
    <w:rsid w:val="00391509"/>
    <w:rsid w:val="00391B97"/>
    <w:rsid w:val="00391D7E"/>
    <w:rsid w:val="00391E7B"/>
    <w:rsid w:val="003926A0"/>
    <w:rsid w:val="00392A74"/>
    <w:rsid w:val="00392BBB"/>
    <w:rsid w:val="0039300E"/>
    <w:rsid w:val="00393695"/>
    <w:rsid w:val="00393E2F"/>
    <w:rsid w:val="003944A2"/>
    <w:rsid w:val="00395106"/>
    <w:rsid w:val="003954B7"/>
    <w:rsid w:val="0039557C"/>
    <w:rsid w:val="0039659B"/>
    <w:rsid w:val="00396D1C"/>
    <w:rsid w:val="00396F4A"/>
    <w:rsid w:val="0039762B"/>
    <w:rsid w:val="00397BF7"/>
    <w:rsid w:val="00397D68"/>
    <w:rsid w:val="003A071C"/>
    <w:rsid w:val="003A07D2"/>
    <w:rsid w:val="003A0B41"/>
    <w:rsid w:val="003A1173"/>
    <w:rsid w:val="003A2745"/>
    <w:rsid w:val="003A2BEF"/>
    <w:rsid w:val="003A304C"/>
    <w:rsid w:val="003A3644"/>
    <w:rsid w:val="003A3733"/>
    <w:rsid w:val="003A3D39"/>
    <w:rsid w:val="003A3EE3"/>
    <w:rsid w:val="003A3F63"/>
    <w:rsid w:val="003A4683"/>
    <w:rsid w:val="003A49E1"/>
    <w:rsid w:val="003A5DCC"/>
    <w:rsid w:val="003A63C6"/>
    <w:rsid w:val="003A63CC"/>
    <w:rsid w:val="003A65C7"/>
    <w:rsid w:val="003A7B04"/>
    <w:rsid w:val="003B0460"/>
    <w:rsid w:val="003B068B"/>
    <w:rsid w:val="003B07AF"/>
    <w:rsid w:val="003B12C4"/>
    <w:rsid w:val="003B222D"/>
    <w:rsid w:val="003B2359"/>
    <w:rsid w:val="003B3098"/>
    <w:rsid w:val="003B3244"/>
    <w:rsid w:val="003B32BF"/>
    <w:rsid w:val="003B38AB"/>
    <w:rsid w:val="003B3989"/>
    <w:rsid w:val="003B3AD9"/>
    <w:rsid w:val="003B4223"/>
    <w:rsid w:val="003B4673"/>
    <w:rsid w:val="003B4886"/>
    <w:rsid w:val="003B4C82"/>
    <w:rsid w:val="003B5410"/>
    <w:rsid w:val="003B57C7"/>
    <w:rsid w:val="003B61AC"/>
    <w:rsid w:val="003B6BB0"/>
    <w:rsid w:val="003B7FF5"/>
    <w:rsid w:val="003C005F"/>
    <w:rsid w:val="003C0586"/>
    <w:rsid w:val="003C05FD"/>
    <w:rsid w:val="003C0AB8"/>
    <w:rsid w:val="003C1430"/>
    <w:rsid w:val="003C228D"/>
    <w:rsid w:val="003C2858"/>
    <w:rsid w:val="003C2D74"/>
    <w:rsid w:val="003C3904"/>
    <w:rsid w:val="003C3C9E"/>
    <w:rsid w:val="003C40C4"/>
    <w:rsid w:val="003C4379"/>
    <w:rsid w:val="003C4658"/>
    <w:rsid w:val="003C58F0"/>
    <w:rsid w:val="003C5DF2"/>
    <w:rsid w:val="003C5F20"/>
    <w:rsid w:val="003C647A"/>
    <w:rsid w:val="003C6982"/>
    <w:rsid w:val="003C6B6B"/>
    <w:rsid w:val="003C7E29"/>
    <w:rsid w:val="003C7EB2"/>
    <w:rsid w:val="003D080D"/>
    <w:rsid w:val="003D1BE0"/>
    <w:rsid w:val="003D3478"/>
    <w:rsid w:val="003D360A"/>
    <w:rsid w:val="003D44C8"/>
    <w:rsid w:val="003D4CC1"/>
    <w:rsid w:val="003D4E09"/>
    <w:rsid w:val="003D5137"/>
    <w:rsid w:val="003D5900"/>
    <w:rsid w:val="003D5F1B"/>
    <w:rsid w:val="003D65D7"/>
    <w:rsid w:val="003D66DF"/>
    <w:rsid w:val="003D6F25"/>
    <w:rsid w:val="003E0280"/>
    <w:rsid w:val="003E07DF"/>
    <w:rsid w:val="003E1404"/>
    <w:rsid w:val="003E19FE"/>
    <w:rsid w:val="003E1A46"/>
    <w:rsid w:val="003E226D"/>
    <w:rsid w:val="003E2356"/>
    <w:rsid w:val="003E282C"/>
    <w:rsid w:val="003E2A47"/>
    <w:rsid w:val="003E38D8"/>
    <w:rsid w:val="003E3B5E"/>
    <w:rsid w:val="003E4334"/>
    <w:rsid w:val="003E44AE"/>
    <w:rsid w:val="003E455B"/>
    <w:rsid w:val="003E4825"/>
    <w:rsid w:val="003E4879"/>
    <w:rsid w:val="003E5121"/>
    <w:rsid w:val="003E5186"/>
    <w:rsid w:val="003E66D9"/>
    <w:rsid w:val="003E6766"/>
    <w:rsid w:val="003E6C52"/>
    <w:rsid w:val="003E711F"/>
    <w:rsid w:val="003E7141"/>
    <w:rsid w:val="003E71C1"/>
    <w:rsid w:val="003E7430"/>
    <w:rsid w:val="003E7593"/>
    <w:rsid w:val="003F0BC1"/>
    <w:rsid w:val="003F11E6"/>
    <w:rsid w:val="003F123A"/>
    <w:rsid w:val="003F12A3"/>
    <w:rsid w:val="003F1F3E"/>
    <w:rsid w:val="003F1FA5"/>
    <w:rsid w:val="003F3461"/>
    <w:rsid w:val="003F431A"/>
    <w:rsid w:val="003F4E72"/>
    <w:rsid w:val="003F565A"/>
    <w:rsid w:val="003F5801"/>
    <w:rsid w:val="003F770F"/>
    <w:rsid w:val="004000A0"/>
    <w:rsid w:val="004004F6"/>
    <w:rsid w:val="00400534"/>
    <w:rsid w:val="00400A05"/>
    <w:rsid w:val="00400C0B"/>
    <w:rsid w:val="00400EC4"/>
    <w:rsid w:val="00401293"/>
    <w:rsid w:val="00401513"/>
    <w:rsid w:val="00401589"/>
    <w:rsid w:val="0040195C"/>
    <w:rsid w:val="00401C93"/>
    <w:rsid w:val="00401CF4"/>
    <w:rsid w:val="00401EA4"/>
    <w:rsid w:val="00402243"/>
    <w:rsid w:val="004026AC"/>
    <w:rsid w:val="00402ADB"/>
    <w:rsid w:val="00402E65"/>
    <w:rsid w:val="00403668"/>
    <w:rsid w:val="0040368C"/>
    <w:rsid w:val="0040393E"/>
    <w:rsid w:val="00403B65"/>
    <w:rsid w:val="00403CA4"/>
    <w:rsid w:val="0040423C"/>
    <w:rsid w:val="00404754"/>
    <w:rsid w:val="00405007"/>
    <w:rsid w:val="004054A3"/>
    <w:rsid w:val="00405EA7"/>
    <w:rsid w:val="0040647E"/>
    <w:rsid w:val="00406990"/>
    <w:rsid w:val="00406FE7"/>
    <w:rsid w:val="00407039"/>
    <w:rsid w:val="004071B5"/>
    <w:rsid w:val="004072DF"/>
    <w:rsid w:val="00407AFB"/>
    <w:rsid w:val="0041092F"/>
    <w:rsid w:val="00410B6C"/>
    <w:rsid w:val="0041127B"/>
    <w:rsid w:val="00411617"/>
    <w:rsid w:val="0041174F"/>
    <w:rsid w:val="00412145"/>
    <w:rsid w:val="004122EF"/>
    <w:rsid w:val="00412A55"/>
    <w:rsid w:val="00412AE7"/>
    <w:rsid w:val="004132D3"/>
    <w:rsid w:val="004134BC"/>
    <w:rsid w:val="00413F9E"/>
    <w:rsid w:val="00415B0A"/>
    <w:rsid w:val="00415D89"/>
    <w:rsid w:val="00415E4B"/>
    <w:rsid w:val="00416D77"/>
    <w:rsid w:val="00416EE5"/>
    <w:rsid w:val="004179F6"/>
    <w:rsid w:val="00417F73"/>
    <w:rsid w:val="00420645"/>
    <w:rsid w:val="00420714"/>
    <w:rsid w:val="00420FCF"/>
    <w:rsid w:val="0042137A"/>
    <w:rsid w:val="004213A4"/>
    <w:rsid w:val="00421747"/>
    <w:rsid w:val="00421F33"/>
    <w:rsid w:val="00421FCC"/>
    <w:rsid w:val="0042273F"/>
    <w:rsid w:val="0042288E"/>
    <w:rsid w:val="00422DBD"/>
    <w:rsid w:val="0042384D"/>
    <w:rsid w:val="004242CB"/>
    <w:rsid w:val="0042497B"/>
    <w:rsid w:val="00424BCE"/>
    <w:rsid w:val="00424C7F"/>
    <w:rsid w:val="00424F7C"/>
    <w:rsid w:val="00425227"/>
    <w:rsid w:val="00425D96"/>
    <w:rsid w:val="004261A2"/>
    <w:rsid w:val="0042716B"/>
    <w:rsid w:val="004274AC"/>
    <w:rsid w:val="004275CC"/>
    <w:rsid w:val="00427D84"/>
    <w:rsid w:val="0043121B"/>
    <w:rsid w:val="004317CF"/>
    <w:rsid w:val="004326A9"/>
    <w:rsid w:val="0043304A"/>
    <w:rsid w:val="004330CE"/>
    <w:rsid w:val="00433266"/>
    <w:rsid w:val="004336AD"/>
    <w:rsid w:val="00433BE9"/>
    <w:rsid w:val="00433CDE"/>
    <w:rsid w:val="00434B64"/>
    <w:rsid w:val="00434B96"/>
    <w:rsid w:val="0043527B"/>
    <w:rsid w:val="004359BB"/>
    <w:rsid w:val="00435AE3"/>
    <w:rsid w:val="00435B30"/>
    <w:rsid w:val="00435C3D"/>
    <w:rsid w:val="004365AF"/>
    <w:rsid w:val="00436A73"/>
    <w:rsid w:val="00437E6E"/>
    <w:rsid w:val="004401FF"/>
    <w:rsid w:val="0044070A"/>
    <w:rsid w:val="0044072A"/>
    <w:rsid w:val="00440D2C"/>
    <w:rsid w:val="00440EC1"/>
    <w:rsid w:val="0044100A"/>
    <w:rsid w:val="004417D5"/>
    <w:rsid w:val="00441C97"/>
    <w:rsid w:val="004424FF"/>
    <w:rsid w:val="004426EF"/>
    <w:rsid w:val="00442EAF"/>
    <w:rsid w:val="004431D4"/>
    <w:rsid w:val="004434B5"/>
    <w:rsid w:val="00443D55"/>
    <w:rsid w:val="00443F73"/>
    <w:rsid w:val="00444A1E"/>
    <w:rsid w:val="00445538"/>
    <w:rsid w:val="00445C52"/>
    <w:rsid w:val="004465EE"/>
    <w:rsid w:val="00446C59"/>
    <w:rsid w:val="00447A2C"/>
    <w:rsid w:val="00447D6E"/>
    <w:rsid w:val="004504BB"/>
    <w:rsid w:val="00450C12"/>
    <w:rsid w:val="0045173F"/>
    <w:rsid w:val="00451987"/>
    <w:rsid w:val="00451FA2"/>
    <w:rsid w:val="0045218B"/>
    <w:rsid w:val="00452C17"/>
    <w:rsid w:val="00452EB6"/>
    <w:rsid w:val="0045373F"/>
    <w:rsid w:val="00453EB7"/>
    <w:rsid w:val="0045402D"/>
    <w:rsid w:val="004543D2"/>
    <w:rsid w:val="004544CF"/>
    <w:rsid w:val="0045510F"/>
    <w:rsid w:val="00455911"/>
    <w:rsid w:val="00455BEA"/>
    <w:rsid w:val="00456DE3"/>
    <w:rsid w:val="00457B9C"/>
    <w:rsid w:val="0046057A"/>
    <w:rsid w:val="00460C22"/>
    <w:rsid w:val="00461043"/>
    <w:rsid w:val="004614AA"/>
    <w:rsid w:val="00462491"/>
    <w:rsid w:val="00462ED6"/>
    <w:rsid w:val="00463F0E"/>
    <w:rsid w:val="00464234"/>
    <w:rsid w:val="00464794"/>
    <w:rsid w:val="00464DC1"/>
    <w:rsid w:val="00465712"/>
    <w:rsid w:val="0046591E"/>
    <w:rsid w:val="00465AB4"/>
    <w:rsid w:val="004660A1"/>
    <w:rsid w:val="004661CF"/>
    <w:rsid w:val="00466587"/>
    <w:rsid w:val="00466810"/>
    <w:rsid w:val="004669F0"/>
    <w:rsid w:val="00466B45"/>
    <w:rsid w:val="004672B1"/>
    <w:rsid w:val="00467347"/>
    <w:rsid w:val="004679CB"/>
    <w:rsid w:val="00467D99"/>
    <w:rsid w:val="00467EA2"/>
    <w:rsid w:val="004701D6"/>
    <w:rsid w:val="0047059E"/>
    <w:rsid w:val="004705C6"/>
    <w:rsid w:val="0047134C"/>
    <w:rsid w:val="00471364"/>
    <w:rsid w:val="00471838"/>
    <w:rsid w:val="0047285F"/>
    <w:rsid w:val="0047290F"/>
    <w:rsid w:val="00473140"/>
    <w:rsid w:val="004741AC"/>
    <w:rsid w:val="00474D88"/>
    <w:rsid w:val="00474EE3"/>
    <w:rsid w:val="00476DCE"/>
    <w:rsid w:val="0047744A"/>
    <w:rsid w:val="00477538"/>
    <w:rsid w:val="004779FD"/>
    <w:rsid w:val="00477D40"/>
    <w:rsid w:val="00480934"/>
    <w:rsid w:val="00481416"/>
    <w:rsid w:val="00481440"/>
    <w:rsid w:val="00481821"/>
    <w:rsid w:val="00481A90"/>
    <w:rsid w:val="00481AAE"/>
    <w:rsid w:val="00481CEF"/>
    <w:rsid w:val="00482D89"/>
    <w:rsid w:val="004834B6"/>
    <w:rsid w:val="0048372C"/>
    <w:rsid w:val="00483AE2"/>
    <w:rsid w:val="00484C03"/>
    <w:rsid w:val="00484E77"/>
    <w:rsid w:val="0048566C"/>
    <w:rsid w:val="004856DD"/>
    <w:rsid w:val="00485711"/>
    <w:rsid w:val="004859FD"/>
    <w:rsid w:val="00485DB8"/>
    <w:rsid w:val="004868BD"/>
    <w:rsid w:val="00486C22"/>
    <w:rsid w:val="00486F17"/>
    <w:rsid w:val="004872F0"/>
    <w:rsid w:val="0048763C"/>
    <w:rsid w:val="00487649"/>
    <w:rsid w:val="00487DC0"/>
    <w:rsid w:val="0049021C"/>
    <w:rsid w:val="00490525"/>
    <w:rsid w:val="00490553"/>
    <w:rsid w:val="00490C3C"/>
    <w:rsid w:val="00491262"/>
    <w:rsid w:val="00491724"/>
    <w:rsid w:val="004918A1"/>
    <w:rsid w:val="00491F0D"/>
    <w:rsid w:val="00491F6A"/>
    <w:rsid w:val="00492127"/>
    <w:rsid w:val="0049287F"/>
    <w:rsid w:val="00492ABA"/>
    <w:rsid w:val="00492F47"/>
    <w:rsid w:val="004937C1"/>
    <w:rsid w:val="00494A09"/>
    <w:rsid w:val="00495F8B"/>
    <w:rsid w:val="0049637E"/>
    <w:rsid w:val="00496F7B"/>
    <w:rsid w:val="00497DDC"/>
    <w:rsid w:val="00497EAF"/>
    <w:rsid w:val="004A0C47"/>
    <w:rsid w:val="004A0EAD"/>
    <w:rsid w:val="004A1368"/>
    <w:rsid w:val="004A1D34"/>
    <w:rsid w:val="004A1D6E"/>
    <w:rsid w:val="004A2387"/>
    <w:rsid w:val="004A279E"/>
    <w:rsid w:val="004A33F2"/>
    <w:rsid w:val="004A3AD4"/>
    <w:rsid w:val="004A40D9"/>
    <w:rsid w:val="004A5772"/>
    <w:rsid w:val="004A57EA"/>
    <w:rsid w:val="004A58CA"/>
    <w:rsid w:val="004A5C60"/>
    <w:rsid w:val="004A5D18"/>
    <w:rsid w:val="004A625A"/>
    <w:rsid w:val="004A6CE8"/>
    <w:rsid w:val="004A6F94"/>
    <w:rsid w:val="004A766B"/>
    <w:rsid w:val="004A7B23"/>
    <w:rsid w:val="004B0ACC"/>
    <w:rsid w:val="004B0F1E"/>
    <w:rsid w:val="004B1446"/>
    <w:rsid w:val="004B153D"/>
    <w:rsid w:val="004B1817"/>
    <w:rsid w:val="004B29B4"/>
    <w:rsid w:val="004B2C62"/>
    <w:rsid w:val="004B30AB"/>
    <w:rsid w:val="004B34CD"/>
    <w:rsid w:val="004B3B09"/>
    <w:rsid w:val="004B59DD"/>
    <w:rsid w:val="004B5A8D"/>
    <w:rsid w:val="004B5AE3"/>
    <w:rsid w:val="004B5CE4"/>
    <w:rsid w:val="004B64E1"/>
    <w:rsid w:val="004B6805"/>
    <w:rsid w:val="004B6AD8"/>
    <w:rsid w:val="004B6E57"/>
    <w:rsid w:val="004B711E"/>
    <w:rsid w:val="004B728E"/>
    <w:rsid w:val="004B76F3"/>
    <w:rsid w:val="004B79A5"/>
    <w:rsid w:val="004B79F7"/>
    <w:rsid w:val="004B7BC4"/>
    <w:rsid w:val="004C00D1"/>
    <w:rsid w:val="004C082D"/>
    <w:rsid w:val="004C0F62"/>
    <w:rsid w:val="004C1404"/>
    <w:rsid w:val="004C1C13"/>
    <w:rsid w:val="004C2479"/>
    <w:rsid w:val="004C2692"/>
    <w:rsid w:val="004C2C88"/>
    <w:rsid w:val="004C349D"/>
    <w:rsid w:val="004C36BE"/>
    <w:rsid w:val="004C38ED"/>
    <w:rsid w:val="004C38EF"/>
    <w:rsid w:val="004C3AF0"/>
    <w:rsid w:val="004C4B3B"/>
    <w:rsid w:val="004C521C"/>
    <w:rsid w:val="004C608B"/>
    <w:rsid w:val="004C640F"/>
    <w:rsid w:val="004C66BE"/>
    <w:rsid w:val="004C6866"/>
    <w:rsid w:val="004C69EB"/>
    <w:rsid w:val="004C6EE7"/>
    <w:rsid w:val="004C7215"/>
    <w:rsid w:val="004C7E7E"/>
    <w:rsid w:val="004D004E"/>
    <w:rsid w:val="004D03C2"/>
    <w:rsid w:val="004D0F47"/>
    <w:rsid w:val="004D16F5"/>
    <w:rsid w:val="004D1C56"/>
    <w:rsid w:val="004D233E"/>
    <w:rsid w:val="004D284F"/>
    <w:rsid w:val="004D2B6D"/>
    <w:rsid w:val="004D3678"/>
    <w:rsid w:val="004D44F9"/>
    <w:rsid w:val="004D4CEF"/>
    <w:rsid w:val="004D4DEB"/>
    <w:rsid w:val="004D61EC"/>
    <w:rsid w:val="004D686E"/>
    <w:rsid w:val="004D6B19"/>
    <w:rsid w:val="004D6C52"/>
    <w:rsid w:val="004D6D4D"/>
    <w:rsid w:val="004D6F4A"/>
    <w:rsid w:val="004D75BB"/>
    <w:rsid w:val="004D7D25"/>
    <w:rsid w:val="004E03D2"/>
    <w:rsid w:val="004E0772"/>
    <w:rsid w:val="004E0E08"/>
    <w:rsid w:val="004E12B2"/>
    <w:rsid w:val="004E176E"/>
    <w:rsid w:val="004E212F"/>
    <w:rsid w:val="004E2745"/>
    <w:rsid w:val="004E31BD"/>
    <w:rsid w:val="004E374C"/>
    <w:rsid w:val="004E3917"/>
    <w:rsid w:val="004E4034"/>
    <w:rsid w:val="004E469A"/>
    <w:rsid w:val="004E4AF0"/>
    <w:rsid w:val="004E53C2"/>
    <w:rsid w:val="004E5964"/>
    <w:rsid w:val="004E62C8"/>
    <w:rsid w:val="004E67C9"/>
    <w:rsid w:val="004E7480"/>
    <w:rsid w:val="004E7833"/>
    <w:rsid w:val="004F0039"/>
    <w:rsid w:val="004F0895"/>
    <w:rsid w:val="004F0984"/>
    <w:rsid w:val="004F20D8"/>
    <w:rsid w:val="004F221A"/>
    <w:rsid w:val="004F2483"/>
    <w:rsid w:val="004F254A"/>
    <w:rsid w:val="004F285A"/>
    <w:rsid w:val="004F2E2B"/>
    <w:rsid w:val="004F3214"/>
    <w:rsid w:val="004F3897"/>
    <w:rsid w:val="004F3C60"/>
    <w:rsid w:val="004F3F90"/>
    <w:rsid w:val="004F4630"/>
    <w:rsid w:val="004F4844"/>
    <w:rsid w:val="004F5AE1"/>
    <w:rsid w:val="004F5B59"/>
    <w:rsid w:val="004F5D37"/>
    <w:rsid w:val="004F5F23"/>
    <w:rsid w:val="004F65F8"/>
    <w:rsid w:val="004F68EF"/>
    <w:rsid w:val="004F695A"/>
    <w:rsid w:val="004F7F56"/>
    <w:rsid w:val="0050000B"/>
    <w:rsid w:val="00500140"/>
    <w:rsid w:val="005011CA"/>
    <w:rsid w:val="00501B25"/>
    <w:rsid w:val="00501F98"/>
    <w:rsid w:val="00501FE4"/>
    <w:rsid w:val="005021DB"/>
    <w:rsid w:val="0050280E"/>
    <w:rsid w:val="00502B71"/>
    <w:rsid w:val="00503089"/>
    <w:rsid w:val="00503BD2"/>
    <w:rsid w:val="005047F1"/>
    <w:rsid w:val="005049D4"/>
    <w:rsid w:val="00504AE8"/>
    <w:rsid w:val="00504C5A"/>
    <w:rsid w:val="00504F76"/>
    <w:rsid w:val="005054D0"/>
    <w:rsid w:val="00505C9B"/>
    <w:rsid w:val="00505D37"/>
    <w:rsid w:val="00505E1F"/>
    <w:rsid w:val="005067BA"/>
    <w:rsid w:val="00506DF0"/>
    <w:rsid w:val="00507293"/>
    <w:rsid w:val="00507368"/>
    <w:rsid w:val="00507457"/>
    <w:rsid w:val="005074FD"/>
    <w:rsid w:val="00507BDF"/>
    <w:rsid w:val="00510D7C"/>
    <w:rsid w:val="00510E57"/>
    <w:rsid w:val="00510E75"/>
    <w:rsid w:val="0051146E"/>
    <w:rsid w:val="0051281F"/>
    <w:rsid w:val="00512AB0"/>
    <w:rsid w:val="00512BC9"/>
    <w:rsid w:val="00512CD6"/>
    <w:rsid w:val="00513A3D"/>
    <w:rsid w:val="00513BB2"/>
    <w:rsid w:val="005141BC"/>
    <w:rsid w:val="00514738"/>
    <w:rsid w:val="00514792"/>
    <w:rsid w:val="0051572C"/>
    <w:rsid w:val="00515BBD"/>
    <w:rsid w:val="00515E03"/>
    <w:rsid w:val="005167DE"/>
    <w:rsid w:val="00516C72"/>
    <w:rsid w:val="00517347"/>
    <w:rsid w:val="005179CE"/>
    <w:rsid w:val="00517B34"/>
    <w:rsid w:val="00517C40"/>
    <w:rsid w:val="00517C66"/>
    <w:rsid w:val="00521472"/>
    <w:rsid w:val="00521536"/>
    <w:rsid w:val="00521818"/>
    <w:rsid w:val="0052242C"/>
    <w:rsid w:val="005224E5"/>
    <w:rsid w:val="00522A55"/>
    <w:rsid w:val="00522B55"/>
    <w:rsid w:val="00523632"/>
    <w:rsid w:val="005238C5"/>
    <w:rsid w:val="0052613A"/>
    <w:rsid w:val="00527964"/>
    <w:rsid w:val="00527A90"/>
    <w:rsid w:val="005311A3"/>
    <w:rsid w:val="005313CA"/>
    <w:rsid w:val="0053166E"/>
    <w:rsid w:val="005316C9"/>
    <w:rsid w:val="005323A9"/>
    <w:rsid w:val="00532510"/>
    <w:rsid w:val="00532537"/>
    <w:rsid w:val="0053253F"/>
    <w:rsid w:val="005330B8"/>
    <w:rsid w:val="005331CE"/>
    <w:rsid w:val="00533D97"/>
    <w:rsid w:val="00534213"/>
    <w:rsid w:val="00534AF1"/>
    <w:rsid w:val="00534EA2"/>
    <w:rsid w:val="005353A5"/>
    <w:rsid w:val="00535600"/>
    <w:rsid w:val="00535618"/>
    <w:rsid w:val="00535998"/>
    <w:rsid w:val="00535BF8"/>
    <w:rsid w:val="005366CF"/>
    <w:rsid w:val="00536887"/>
    <w:rsid w:val="00536B6F"/>
    <w:rsid w:val="00537446"/>
    <w:rsid w:val="00537542"/>
    <w:rsid w:val="00537AAC"/>
    <w:rsid w:val="00537CB9"/>
    <w:rsid w:val="00540A5D"/>
    <w:rsid w:val="005428FF"/>
    <w:rsid w:val="00542D60"/>
    <w:rsid w:val="0054309B"/>
    <w:rsid w:val="0054314A"/>
    <w:rsid w:val="005436F6"/>
    <w:rsid w:val="0054430A"/>
    <w:rsid w:val="00544543"/>
    <w:rsid w:val="00544685"/>
    <w:rsid w:val="00544D79"/>
    <w:rsid w:val="00546EB6"/>
    <w:rsid w:val="00547532"/>
    <w:rsid w:val="005475B0"/>
    <w:rsid w:val="005476D1"/>
    <w:rsid w:val="0055090D"/>
    <w:rsid w:val="005509A8"/>
    <w:rsid w:val="005509BB"/>
    <w:rsid w:val="0055102A"/>
    <w:rsid w:val="00551276"/>
    <w:rsid w:val="00551289"/>
    <w:rsid w:val="00551A98"/>
    <w:rsid w:val="00551ECD"/>
    <w:rsid w:val="00552297"/>
    <w:rsid w:val="0055268F"/>
    <w:rsid w:val="00552B3D"/>
    <w:rsid w:val="0055303D"/>
    <w:rsid w:val="00553241"/>
    <w:rsid w:val="005537A1"/>
    <w:rsid w:val="00553868"/>
    <w:rsid w:val="00553926"/>
    <w:rsid w:val="00553C2E"/>
    <w:rsid w:val="00553C92"/>
    <w:rsid w:val="00553DD9"/>
    <w:rsid w:val="00555FE3"/>
    <w:rsid w:val="00556005"/>
    <w:rsid w:val="005567BF"/>
    <w:rsid w:val="005572B5"/>
    <w:rsid w:val="00557652"/>
    <w:rsid w:val="00557987"/>
    <w:rsid w:val="00560399"/>
    <w:rsid w:val="00560922"/>
    <w:rsid w:val="00561684"/>
    <w:rsid w:val="0056179C"/>
    <w:rsid w:val="00561A7C"/>
    <w:rsid w:val="00562314"/>
    <w:rsid w:val="005638F4"/>
    <w:rsid w:val="005640AD"/>
    <w:rsid w:val="005647A8"/>
    <w:rsid w:val="00564C5E"/>
    <w:rsid w:val="00565730"/>
    <w:rsid w:val="0056596F"/>
    <w:rsid w:val="00565DCC"/>
    <w:rsid w:val="0056610C"/>
    <w:rsid w:val="00566243"/>
    <w:rsid w:val="0056626C"/>
    <w:rsid w:val="00566429"/>
    <w:rsid w:val="00566C76"/>
    <w:rsid w:val="00566C92"/>
    <w:rsid w:val="00566E65"/>
    <w:rsid w:val="00567592"/>
    <w:rsid w:val="00567850"/>
    <w:rsid w:val="00570919"/>
    <w:rsid w:val="00570996"/>
    <w:rsid w:val="00571D94"/>
    <w:rsid w:val="00571FCF"/>
    <w:rsid w:val="005723DA"/>
    <w:rsid w:val="00572E6A"/>
    <w:rsid w:val="005732C8"/>
    <w:rsid w:val="005733B0"/>
    <w:rsid w:val="005740EE"/>
    <w:rsid w:val="005741E0"/>
    <w:rsid w:val="00574205"/>
    <w:rsid w:val="00574407"/>
    <w:rsid w:val="005747E6"/>
    <w:rsid w:val="00575A1D"/>
    <w:rsid w:val="00575D1E"/>
    <w:rsid w:val="0057633D"/>
    <w:rsid w:val="00576340"/>
    <w:rsid w:val="00576EC2"/>
    <w:rsid w:val="005771A3"/>
    <w:rsid w:val="0057746F"/>
    <w:rsid w:val="00577D5A"/>
    <w:rsid w:val="00580442"/>
    <w:rsid w:val="00580852"/>
    <w:rsid w:val="005810A0"/>
    <w:rsid w:val="005811B5"/>
    <w:rsid w:val="005813A7"/>
    <w:rsid w:val="005815FC"/>
    <w:rsid w:val="00581D61"/>
    <w:rsid w:val="00582935"/>
    <w:rsid w:val="00582985"/>
    <w:rsid w:val="00582A14"/>
    <w:rsid w:val="00582B98"/>
    <w:rsid w:val="00582BE5"/>
    <w:rsid w:val="005833B8"/>
    <w:rsid w:val="00584287"/>
    <w:rsid w:val="00584289"/>
    <w:rsid w:val="005847EE"/>
    <w:rsid w:val="00584A17"/>
    <w:rsid w:val="0058537E"/>
    <w:rsid w:val="0058549A"/>
    <w:rsid w:val="00585CCB"/>
    <w:rsid w:val="00585D8A"/>
    <w:rsid w:val="00585FC3"/>
    <w:rsid w:val="005861F5"/>
    <w:rsid w:val="00586504"/>
    <w:rsid w:val="00586510"/>
    <w:rsid w:val="00586672"/>
    <w:rsid w:val="00586884"/>
    <w:rsid w:val="00586E6B"/>
    <w:rsid w:val="0058705E"/>
    <w:rsid w:val="005871DF"/>
    <w:rsid w:val="005909D5"/>
    <w:rsid w:val="00590AEC"/>
    <w:rsid w:val="00590F84"/>
    <w:rsid w:val="005911A8"/>
    <w:rsid w:val="00591792"/>
    <w:rsid w:val="00591ADE"/>
    <w:rsid w:val="005920BF"/>
    <w:rsid w:val="005921AB"/>
    <w:rsid w:val="00592709"/>
    <w:rsid w:val="00592D84"/>
    <w:rsid w:val="00592F3F"/>
    <w:rsid w:val="00593F1E"/>
    <w:rsid w:val="00593F50"/>
    <w:rsid w:val="0059463B"/>
    <w:rsid w:val="00595CEE"/>
    <w:rsid w:val="00595F3D"/>
    <w:rsid w:val="00596FFA"/>
    <w:rsid w:val="00597441"/>
    <w:rsid w:val="00597913"/>
    <w:rsid w:val="005A01FD"/>
    <w:rsid w:val="005A0619"/>
    <w:rsid w:val="005A0840"/>
    <w:rsid w:val="005A0AB3"/>
    <w:rsid w:val="005A0B1C"/>
    <w:rsid w:val="005A132F"/>
    <w:rsid w:val="005A3631"/>
    <w:rsid w:val="005A383D"/>
    <w:rsid w:val="005A3F74"/>
    <w:rsid w:val="005A3F7A"/>
    <w:rsid w:val="005A4393"/>
    <w:rsid w:val="005A43DB"/>
    <w:rsid w:val="005A4740"/>
    <w:rsid w:val="005A57E2"/>
    <w:rsid w:val="005A58ED"/>
    <w:rsid w:val="005A5A8D"/>
    <w:rsid w:val="005A69EF"/>
    <w:rsid w:val="005A6C16"/>
    <w:rsid w:val="005A7257"/>
    <w:rsid w:val="005A733A"/>
    <w:rsid w:val="005A7761"/>
    <w:rsid w:val="005A7A71"/>
    <w:rsid w:val="005A7E2B"/>
    <w:rsid w:val="005A7F77"/>
    <w:rsid w:val="005B0A26"/>
    <w:rsid w:val="005B0D20"/>
    <w:rsid w:val="005B0FB4"/>
    <w:rsid w:val="005B1B41"/>
    <w:rsid w:val="005B1CD3"/>
    <w:rsid w:val="005B203A"/>
    <w:rsid w:val="005B2705"/>
    <w:rsid w:val="005B33F2"/>
    <w:rsid w:val="005B4A04"/>
    <w:rsid w:val="005B4C2B"/>
    <w:rsid w:val="005B52BD"/>
    <w:rsid w:val="005B5DFA"/>
    <w:rsid w:val="005B7B54"/>
    <w:rsid w:val="005B7ECF"/>
    <w:rsid w:val="005C0085"/>
    <w:rsid w:val="005C0583"/>
    <w:rsid w:val="005C06EE"/>
    <w:rsid w:val="005C27D0"/>
    <w:rsid w:val="005C2B1F"/>
    <w:rsid w:val="005C320F"/>
    <w:rsid w:val="005C3D87"/>
    <w:rsid w:val="005C3E4F"/>
    <w:rsid w:val="005C3EFD"/>
    <w:rsid w:val="005C43C5"/>
    <w:rsid w:val="005C4BD1"/>
    <w:rsid w:val="005C55D5"/>
    <w:rsid w:val="005C55E7"/>
    <w:rsid w:val="005C5F18"/>
    <w:rsid w:val="005C64C9"/>
    <w:rsid w:val="005C64E2"/>
    <w:rsid w:val="005C6775"/>
    <w:rsid w:val="005C6A67"/>
    <w:rsid w:val="005C6F94"/>
    <w:rsid w:val="005C7567"/>
    <w:rsid w:val="005D06FE"/>
    <w:rsid w:val="005D077C"/>
    <w:rsid w:val="005D0DC6"/>
    <w:rsid w:val="005D28C5"/>
    <w:rsid w:val="005D29D2"/>
    <w:rsid w:val="005D3724"/>
    <w:rsid w:val="005D385E"/>
    <w:rsid w:val="005D3F23"/>
    <w:rsid w:val="005D43EA"/>
    <w:rsid w:val="005D4693"/>
    <w:rsid w:val="005D571E"/>
    <w:rsid w:val="005D572C"/>
    <w:rsid w:val="005D5E51"/>
    <w:rsid w:val="005D60E2"/>
    <w:rsid w:val="005D624F"/>
    <w:rsid w:val="005D714F"/>
    <w:rsid w:val="005D7A80"/>
    <w:rsid w:val="005D7FA6"/>
    <w:rsid w:val="005E0644"/>
    <w:rsid w:val="005E06AD"/>
    <w:rsid w:val="005E08DF"/>
    <w:rsid w:val="005E0FC2"/>
    <w:rsid w:val="005E1456"/>
    <w:rsid w:val="005E15A5"/>
    <w:rsid w:val="005E15E4"/>
    <w:rsid w:val="005E16BF"/>
    <w:rsid w:val="005E2867"/>
    <w:rsid w:val="005E2B7F"/>
    <w:rsid w:val="005E2C7A"/>
    <w:rsid w:val="005E2E4E"/>
    <w:rsid w:val="005E3194"/>
    <w:rsid w:val="005E36A8"/>
    <w:rsid w:val="005E3D51"/>
    <w:rsid w:val="005E440B"/>
    <w:rsid w:val="005E4C18"/>
    <w:rsid w:val="005E5A20"/>
    <w:rsid w:val="005E5A40"/>
    <w:rsid w:val="005E5EB5"/>
    <w:rsid w:val="005E5FFC"/>
    <w:rsid w:val="005E607E"/>
    <w:rsid w:val="005E6407"/>
    <w:rsid w:val="005E669C"/>
    <w:rsid w:val="005E6C17"/>
    <w:rsid w:val="005E76A7"/>
    <w:rsid w:val="005E7D80"/>
    <w:rsid w:val="005E7E6E"/>
    <w:rsid w:val="005E7FBD"/>
    <w:rsid w:val="005F024C"/>
    <w:rsid w:val="005F02EE"/>
    <w:rsid w:val="005F063F"/>
    <w:rsid w:val="005F0BFB"/>
    <w:rsid w:val="005F0C09"/>
    <w:rsid w:val="005F0C79"/>
    <w:rsid w:val="005F10B6"/>
    <w:rsid w:val="005F1402"/>
    <w:rsid w:val="005F1E26"/>
    <w:rsid w:val="005F2620"/>
    <w:rsid w:val="005F2CC3"/>
    <w:rsid w:val="005F2CEC"/>
    <w:rsid w:val="005F3397"/>
    <w:rsid w:val="005F359F"/>
    <w:rsid w:val="005F3956"/>
    <w:rsid w:val="005F4D4B"/>
    <w:rsid w:val="005F588D"/>
    <w:rsid w:val="005F6B90"/>
    <w:rsid w:val="005F731D"/>
    <w:rsid w:val="005F758C"/>
    <w:rsid w:val="005F7FB3"/>
    <w:rsid w:val="006002C0"/>
    <w:rsid w:val="00600991"/>
    <w:rsid w:val="00600AB9"/>
    <w:rsid w:val="00601010"/>
    <w:rsid w:val="006018B5"/>
    <w:rsid w:val="00602026"/>
    <w:rsid w:val="0060239E"/>
    <w:rsid w:val="00602F49"/>
    <w:rsid w:val="00603022"/>
    <w:rsid w:val="00603122"/>
    <w:rsid w:val="006040D6"/>
    <w:rsid w:val="00604760"/>
    <w:rsid w:val="00604A33"/>
    <w:rsid w:val="00605DCF"/>
    <w:rsid w:val="00606034"/>
    <w:rsid w:val="006061C8"/>
    <w:rsid w:val="006062CF"/>
    <w:rsid w:val="00606A56"/>
    <w:rsid w:val="006075B4"/>
    <w:rsid w:val="00607615"/>
    <w:rsid w:val="00607D8B"/>
    <w:rsid w:val="00610507"/>
    <w:rsid w:val="00610858"/>
    <w:rsid w:val="00610D7A"/>
    <w:rsid w:val="006115CD"/>
    <w:rsid w:val="006117C6"/>
    <w:rsid w:val="00611D26"/>
    <w:rsid w:val="00612F86"/>
    <w:rsid w:val="00613E20"/>
    <w:rsid w:val="00613FC9"/>
    <w:rsid w:val="00614BC9"/>
    <w:rsid w:val="00615052"/>
    <w:rsid w:val="0061556C"/>
    <w:rsid w:val="00615628"/>
    <w:rsid w:val="006163FD"/>
    <w:rsid w:val="00617262"/>
    <w:rsid w:val="006172A9"/>
    <w:rsid w:val="00617500"/>
    <w:rsid w:val="00617B2C"/>
    <w:rsid w:val="00617CBA"/>
    <w:rsid w:val="00620275"/>
    <w:rsid w:val="006203CF"/>
    <w:rsid w:val="0062079F"/>
    <w:rsid w:val="00620A5E"/>
    <w:rsid w:val="00620B17"/>
    <w:rsid w:val="00621623"/>
    <w:rsid w:val="00621840"/>
    <w:rsid w:val="00621BE2"/>
    <w:rsid w:val="00621FB7"/>
    <w:rsid w:val="006220C9"/>
    <w:rsid w:val="00623065"/>
    <w:rsid w:val="006238B0"/>
    <w:rsid w:val="0062699A"/>
    <w:rsid w:val="00627016"/>
    <w:rsid w:val="0062707A"/>
    <w:rsid w:val="00627339"/>
    <w:rsid w:val="0062753F"/>
    <w:rsid w:val="006277B8"/>
    <w:rsid w:val="00627814"/>
    <w:rsid w:val="00627A7C"/>
    <w:rsid w:val="00627D16"/>
    <w:rsid w:val="006305FB"/>
    <w:rsid w:val="0063060F"/>
    <w:rsid w:val="0063152F"/>
    <w:rsid w:val="00631E8A"/>
    <w:rsid w:val="00631FE8"/>
    <w:rsid w:val="00632B37"/>
    <w:rsid w:val="006330C9"/>
    <w:rsid w:val="006340F9"/>
    <w:rsid w:val="00634943"/>
    <w:rsid w:val="006349A3"/>
    <w:rsid w:val="00634C10"/>
    <w:rsid w:val="006367BD"/>
    <w:rsid w:val="00636C16"/>
    <w:rsid w:val="00636C77"/>
    <w:rsid w:val="006371A7"/>
    <w:rsid w:val="00637284"/>
    <w:rsid w:val="00637A87"/>
    <w:rsid w:val="00640036"/>
    <w:rsid w:val="006401B7"/>
    <w:rsid w:val="00640D7C"/>
    <w:rsid w:val="00641002"/>
    <w:rsid w:val="00641036"/>
    <w:rsid w:val="00641962"/>
    <w:rsid w:val="00641B84"/>
    <w:rsid w:val="00641C14"/>
    <w:rsid w:val="0064207D"/>
    <w:rsid w:val="0064214D"/>
    <w:rsid w:val="00642B03"/>
    <w:rsid w:val="00642B0F"/>
    <w:rsid w:val="00643CA4"/>
    <w:rsid w:val="00643D71"/>
    <w:rsid w:val="006442C1"/>
    <w:rsid w:val="00644845"/>
    <w:rsid w:val="0064560F"/>
    <w:rsid w:val="00645A8D"/>
    <w:rsid w:val="00645D21"/>
    <w:rsid w:val="006460EC"/>
    <w:rsid w:val="0064680A"/>
    <w:rsid w:val="0064693B"/>
    <w:rsid w:val="00646BE9"/>
    <w:rsid w:val="00646E82"/>
    <w:rsid w:val="00646F70"/>
    <w:rsid w:val="00647805"/>
    <w:rsid w:val="00647B09"/>
    <w:rsid w:val="00647EEE"/>
    <w:rsid w:val="006509AA"/>
    <w:rsid w:val="00651523"/>
    <w:rsid w:val="006516DF"/>
    <w:rsid w:val="00651CCD"/>
    <w:rsid w:val="0065235B"/>
    <w:rsid w:val="0065248D"/>
    <w:rsid w:val="00652602"/>
    <w:rsid w:val="00652817"/>
    <w:rsid w:val="006528C2"/>
    <w:rsid w:val="006530B0"/>
    <w:rsid w:val="0065319F"/>
    <w:rsid w:val="00653343"/>
    <w:rsid w:val="00653AC9"/>
    <w:rsid w:val="00654743"/>
    <w:rsid w:val="00654E2B"/>
    <w:rsid w:val="00654ED0"/>
    <w:rsid w:val="0065550D"/>
    <w:rsid w:val="0065613B"/>
    <w:rsid w:val="00656656"/>
    <w:rsid w:val="00656A1E"/>
    <w:rsid w:val="0065783A"/>
    <w:rsid w:val="00657D6E"/>
    <w:rsid w:val="0066087D"/>
    <w:rsid w:val="00660905"/>
    <w:rsid w:val="0066118A"/>
    <w:rsid w:val="00661425"/>
    <w:rsid w:val="006619BA"/>
    <w:rsid w:val="00661C1F"/>
    <w:rsid w:val="00661CFA"/>
    <w:rsid w:val="00661DB2"/>
    <w:rsid w:val="0066229A"/>
    <w:rsid w:val="006627F8"/>
    <w:rsid w:val="006629AE"/>
    <w:rsid w:val="00662F67"/>
    <w:rsid w:val="0066423E"/>
    <w:rsid w:val="006643D4"/>
    <w:rsid w:val="006644AD"/>
    <w:rsid w:val="00664FED"/>
    <w:rsid w:val="00665B4F"/>
    <w:rsid w:val="00665C09"/>
    <w:rsid w:val="00666010"/>
    <w:rsid w:val="00666DE5"/>
    <w:rsid w:val="00666DFF"/>
    <w:rsid w:val="00667694"/>
    <w:rsid w:val="00667CDE"/>
    <w:rsid w:val="00670657"/>
    <w:rsid w:val="0067087F"/>
    <w:rsid w:val="00670CCE"/>
    <w:rsid w:val="00670EC7"/>
    <w:rsid w:val="00671501"/>
    <w:rsid w:val="006716F2"/>
    <w:rsid w:val="00671ECA"/>
    <w:rsid w:val="00671F2E"/>
    <w:rsid w:val="00672061"/>
    <w:rsid w:val="00672819"/>
    <w:rsid w:val="00672FED"/>
    <w:rsid w:val="006732D6"/>
    <w:rsid w:val="0067358F"/>
    <w:rsid w:val="006746C8"/>
    <w:rsid w:val="006747C0"/>
    <w:rsid w:val="00674D63"/>
    <w:rsid w:val="00674E81"/>
    <w:rsid w:val="0067535D"/>
    <w:rsid w:val="00675D08"/>
    <w:rsid w:val="00676617"/>
    <w:rsid w:val="00676FB4"/>
    <w:rsid w:val="006776D0"/>
    <w:rsid w:val="0067775F"/>
    <w:rsid w:val="00677801"/>
    <w:rsid w:val="00677A08"/>
    <w:rsid w:val="00677D0D"/>
    <w:rsid w:val="006803A1"/>
    <w:rsid w:val="006803C5"/>
    <w:rsid w:val="006803EA"/>
    <w:rsid w:val="006805D9"/>
    <w:rsid w:val="0068063D"/>
    <w:rsid w:val="0068071B"/>
    <w:rsid w:val="006807CD"/>
    <w:rsid w:val="00680C1B"/>
    <w:rsid w:val="00680D8F"/>
    <w:rsid w:val="00681214"/>
    <w:rsid w:val="00681613"/>
    <w:rsid w:val="00681E1A"/>
    <w:rsid w:val="00681F26"/>
    <w:rsid w:val="0068216F"/>
    <w:rsid w:val="00682C43"/>
    <w:rsid w:val="00682D27"/>
    <w:rsid w:val="006830DF"/>
    <w:rsid w:val="00683100"/>
    <w:rsid w:val="0068319C"/>
    <w:rsid w:val="006831A8"/>
    <w:rsid w:val="0068351B"/>
    <w:rsid w:val="0068463F"/>
    <w:rsid w:val="00684856"/>
    <w:rsid w:val="00685631"/>
    <w:rsid w:val="006863C4"/>
    <w:rsid w:val="00686582"/>
    <w:rsid w:val="00686633"/>
    <w:rsid w:val="006868D4"/>
    <w:rsid w:val="0068745D"/>
    <w:rsid w:val="00687C2B"/>
    <w:rsid w:val="00687DFF"/>
    <w:rsid w:val="006900DC"/>
    <w:rsid w:val="0069063F"/>
    <w:rsid w:val="00690660"/>
    <w:rsid w:val="00690D8A"/>
    <w:rsid w:val="006918AC"/>
    <w:rsid w:val="00691BC6"/>
    <w:rsid w:val="0069276F"/>
    <w:rsid w:val="00693C61"/>
    <w:rsid w:val="00694761"/>
    <w:rsid w:val="00695103"/>
    <w:rsid w:val="00695258"/>
    <w:rsid w:val="00695371"/>
    <w:rsid w:val="0069542C"/>
    <w:rsid w:val="006964CC"/>
    <w:rsid w:val="0069677D"/>
    <w:rsid w:val="006975E2"/>
    <w:rsid w:val="0069760F"/>
    <w:rsid w:val="006A0CAA"/>
    <w:rsid w:val="006A1131"/>
    <w:rsid w:val="006A190C"/>
    <w:rsid w:val="006A1F27"/>
    <w:rsid w:val="006A2FA5"/>
    <w:rsid w:val="006A31E8"/>
    <w:rsid w:val="006A360F"/>
    <w:rsid w:val="006A3636"/>
    <w:rsid w:val="006A3AC5"/>
    <w:rsid w:val="006A3DE6"/>
    <w:rsid w:val="006A3F41"/>
    <w:rsid w:val="006A3FC9"/>
    <w:rsid w:val="006A403D"/>
    <w:rsid w:val="006A4348"/>
    <w:rsid w:val="006A48CC"/>
    <w:rsid w:val="006A4C2F"/>
    <w:rsid w:val="006A4EA6"/>
    <w:rsid w:val="006A5009"/>
    <w:rsid w:val="006A636A"/>
    <w:rsid w:val="006A6843"/>
    <w:rsid w:val="006A6EF7"/>
    <w:rsid w:val="006A6F70"/>
    <w:rsid w:val="006A7244"/>
    <w:rsid w:val="006A7C8B"/>
    <w:rsid w:val="006A7ED5"/>
    <w:rsid w:val="006B03CB"/>
    <w:rsid w:val="006B0458"/>
    <w:rsid w:val="006B0577"/>
    <w:rsid w:val="006B0F46"/>
    <w:rsid w:val="006B112B"/>
    <w:rsid w:val="006B1694"/>
    <w:rsid w:val="006B1C8D"/>
    <w:rsid w:val="006B1D2A"/>
    <w:rsid w:val="006B28B8"/>
    <w:rsid w:val="006B29A6"/>
    <w:rsid w:val="006B2BD8"/>
    <w:rsid w:val="006B2DE4"/>
    <w:rsid w:val="006B4DCF"/>
    <w:rsid w:val="006B51C0"/>
    <w:rsid w:val="006B5945"/>
    <w:rsid w:val="006B5F37"/>
    <w:rsid w:val="006B626E"/>
    <w:rsid w:val="006B634F"/>
    <w:rsid w:val="006B6BCA"/>
    <w:rsid w:val="006B6CF9"/>
    <w:rsid w:val="006B7017"/>
    <w:rsid w:val="006B7497"/>
    <w:rsid w:val="006C0218"/>
    <w:rsid w:val="006C06DD"/>
    <w:rsid w:val="006C0A69"/>
    <w:rsid w:val="006C0B36"/>
    <w:rsid w:val="006C0D5F"/>
    <w:rsid w:val="006C134E"/>
    <w:rsid w:val="006C13AB"/>
    <w:rsid w:val="006C1645"/>
    <w:rsid w:val="006C2186"/>
    <w:rsid w:val="006C229B"/>
    <w:rsid w:val="006C24C0"/>
    <w:rsid w:val="006C2CFD"/>
    <w:rsid w:val="006C3A6B"/>
    <w:rsid w:val="006C4846"/>
    <w:rsid w:val="006C52C0"/>
    <w:rsid w:val="006C57A3"/>
    <w:rsid w:val="006C57DF"/>
    <w:rsid w:val="006C5DC1"/>
    <w:rsid w:val="006C5E89"/>
    <w:rsid w:val="006C632A"/>
    <w:rsid w:val="006C66B7"/>
    <w:rsid w:val="006C6ADB"/>
    <w:rsid w:val="006C6B2B"/>
    <w:rsid w:val="006C7024"/>
    <w:rsid w:val="006C74C6"/>
    <w:rsid w:val="006C7873"/>
    <w:rsid w:val="006C7C15"/>
    <w:rsid w:val="006C7F99"/>
    <w:rsid w:val="006D1BC9"/>
    <w:rsid w:val="006D2023"/>
    <w:rsid w:val="006D2F82"/>
    <w:rsid w:val="006D319C"/>
    <w:rsid w:val="006D3B18"/>
    <w:rsid w:val="006D3C3D"/>
    <w:rsid w:val="006D4608"/>
    <w:rsid w:val="006D4B04"/>
    <w:rsid w:val="006D4B52"/>
    <w:rsid w:val="006D4FA7"/>
    <w:rsid w:val="006D5604"/>
    <w:rsid w:val="006D637F"/>
    <w:rsid w:val="006D6B39"/>
    <w:rsid w:val="006D6FF1"/>
    <w:rsid w:val="006D7735"/>
    <w:rsid w:val="006D7913"/>
    <w:rsid w:val="006E034F"/>
    <w:rsid w:val="006E0C6B"/>
    <w:rsid w:val="006E0F5B"/>
    <w:rsid w:val="006E10E6"/>
    <w:rsid w:val="006E1311"/>
    <w:rsid w:val="006E1488"/>
    <w:rsid w:val="006E19EA"/>
    <w:rsid w:val="006E207A"/>
    <w:rsid w:val="006E289E"/>
    <w:rsid w:val="006E339B"/>
    <w:rsid w:val="006E3673"/>
    <w:rsid w:val="006E3F9F"/>
    <w:rsid w:val="006E3FAA"/>
    <w:rsid w:val="006E4046"/>
    <w:rsid w:val="006E4362"/>
    <w:rsid w:val="006E4469"/>
    <w:rsid w:val="006E4649"/>
    <w:rsid w:val="006E4743"/>
    <w:rsid w:val="006E47C8"/>
    <w:rsid w:val="006E51E0"/>
    <w:rsid w:val="006E51EE"/>
    <w:rsid w:val="006E5C0C"/>
    <w:rsid w:val="006E5DCF"/>
    <w:rsid w:val="006E629D"/>
    <w:rsid w:val="006E66FA"/>
    <w:rsid w:val="006E6C67"/>
    <w:rsid w:val="006E712D"/>
    <w:rsid w:val="006E7B66"/>
    <w:rsid w:val="006E7DAF"/>
    <w:rsid w:val="006F0013"/>
    <w:rsid w:val="006F066B"/>
    <w:rsid w:val="006F0C63"/>
    <w:rsid w:val="006F12A1"/>
    <w:rsid w:val="006F1547"/>
    <w:rsid w:val="006F1D4D"/>
    <w:rsid w:val="006F2C90"/>
    <w:rsid w:val="006F3082"/>
    <w:rsid w:val="006F310D"/>
    <w:rsid w:val="006F3A22"/>
    <w:rsid w:val="006F3EDA"/>
    <w:rsid w:val="006F4370"/>
    <w:rsid w:val="006F45BD"/>
    <w:rsid w:val="006F4878"/>
    <w:rsid w:val="006F488F"/>
    <w:rsid w:val="006F4AD3"/>
    <w:rsid w:val="006F4B10"/>
    <w:rsid w:val="006F4D37"/>
    <w:rsid w:val="006F5C13"/>
    <w:rsid w:val="006F5E76"/>
    <w:rsid w:val="006F5FF4"/>
    <w:rsid w:val="006F664B"/>
    <w:rsid w:val="006F68B5"/>
    <w:rsid w:val="006F68B6"/>
    <w:rsid w:val="006F6A6C"/>
    <w:rsid w:val="006F6C47"/>
    <w:rsid w:val="00700166"/>
    <w:rsid w:val="0070020D"/>
    <w:rsid w:val="007002F3"/>
    <w:rsid w:val="007004D5"/>
    <w:rsid w:val="00700E17"/>
    <w:rsid w:val="007018B1"/>
    <w:rsid w:val="00701E8B"/>
    <w:rsid w:val="007023CF"/>
    <w:rsid w:val="007024C1"/>
    <w:rsid w:val="007030D3"/>
    <w:rsid w:val="007032A6"/>
    <w:rsid w:val="007032B3"/>
    <w:rsid w:val="00703760"/>
    <w:rsid w:val="00703D39"/>
    <w:rsid w:val="00704824"/>
    <w:rsid w:val="00704DEE"/>
    <w:rsid w:val="0070539E"/>
    <w:rsid w:val="0070543D"/>
    <w:rsid w:val="0070617F"/>
    <w:rsid w:val="007076E3"/>
    <w:rsid w:val="0070786C"/>
    <w:rsid w:val="0071040A"/>
    <w:rsid w:val="00710667"/>
    <w:rsid w:val="00710A79"/>
    <w:rsid w:val="00710D29"/>
    <w:rsid w:val="00711801"/>
    <w:rsid w:val="007122C6"/>
    <w:rsid w:val="00712414"/>
    <w:rsid w:val="00712C1B"/>
    <w:rsid w:val="00712F23"/>
    <w:rsid w:val="00712FF2"/>
    <w:rsid w:val="0071304A"/>
    <w:rsid w:val="00713751"/>
    <w:rsid w:val="0071434D"/>
    <w:rsid w:val="007143B0"/>
    <w:rsid w:val="00714D6A"/>
    <w:rsid w:val="00715731"/>
    <w:rsid w:val="00716006"/>
    <w:rsid w:val="00716B19"/>
    <w:rsid w:val="007174EF"/>
    <w:rsid w:val="007175ED"/>
    <w:rsid w:val="00717881"/>
    <w:rsid w:val="0071797E"/>
    <w:rsid w:val="0072132D"/>
    <w:rsid w:val="00721D91"/>
    <w:rsid w:val="0072286A"/>
    <w:rsid w:val="00722B69"/>
    <w:rsid w:val="00723565"/>
    <w:rsid w:val="00724835"/>
    <w:rsid w:val="00725019"/>
    <w:rsid w:val="00725864"/>
    <w:rsid w:val="00726CDA"/>
    <w:rsid w:val="00727B4F"/>
    <w:rsid w:val="00727E7B"/>
    <w:rsid w:val="00727FA3"/>
    <w:rsid w:val="00727FEF"/>
    <w:rsid w:val="00730C01"/>
    <w:rsid w:val="00730D19"/>
    <w:rsid w:val="00730DF4"/>
    <w:rsid w:val="00731973"/>
    <w:rsid w:val="00731B3A"/>
    <w:rsid w:val="00731C16"/>
    <w:rsid w:val="00732539"/>
    <w:rsid w:val="00732722"/>
    <w:rsid w:val="00732785"/>
    <w:rsid w:val="00732CDA"/>
    <w:rsid w:val="007334A4"/>
    <w:rsid w:val="00734316"/>
    <w:rsid w:val="007346D7"/>
    <w:rsid w:val="0073565B"/>
    <w:rsid w:val="0073583B"/>
    <w:rsid w:val="0073651E"/>
    <w:rsid w:val="0073732B"/>
    <w:rsid w:val="00737FF4"/>
    <w:rsid w:val="0074113F"/>
    <w:rsid w:val="0074161B"/>
    <w:rsid w:val="0074224B"/>
    <w:rsid w:val="00742C26"/>
    <w:rsid w:val="00742CED"/>
    <w:rsid w:val="00742E07"/>
    <w:rsid w:val="0074369C"/>
    <w:rsid w:val="00743B18"/>
    <w:rsid w:val="007441D6"/>
    <w:rsid w:val="00744457"/>
    <w:rsid w:val="00744823"/>
    <w:rsid w:val="007449A1"/>
    <w:rsid w:val="00744BF1"/>
    <w:rsid w:val="007461CE"/>
    <w:rsid w:val="007462AD"/>
    <w:rsid w:val="0074631D"/>
    <w:rsid w:val="0074738D"/>
    <w:rsid w:val="0074761D"/>
    <w:rsid w:val="00747AC7"/>
    <w:rsid w:val="00747DCD"/>
    <w:rsid w:val="00747F2E"/>
    <w:rsid w:val="007500A3"/>
    <w:rsid w:val="0075025A"/>
    <w:rsid w:val="007508BC"/>
    <w:rsid w:val="00750AD7"/>
    <w:rsid w:val="007516F1"/>
    <w:rsid w:val="00752541"/>
    <w:rsid w:val="00752FB6"/>
    <w:rsid w:val="0075382C"/>
    <w:rsid w:val="00754136"/>
    <w:rsid w:val="00754885"/>
    <w:rsid w:val="00754EAE"/>
    <w:rsid w:val="007553D2"/>
    <w:rsid w:val="0075553E"/>
    <w:rsid w:val="00755786"/>
    <w:rsid w:val="00755CB9"/>
    <w:rsid w:val="007574EC"/>
    <w:rsid w:val="007577BA"/>
    <w:rsid w:val="00757DEB"/>
    <w:rsid w:val="00760205"/>
    <w:rsid w:val="00760367"/>
    <w:rsid w:val="00760E98"/>
    <w:rsid w:val="00761100"/>
    <w:rsid w:val="007616E1"/>
    <w:rsid w:val="00761F6A"/>
    <w:rsid w:val="007628A1"/>
    <w:rsid w:val="00763779"/>
    <w:rsid w:val="00763C78"/>
    <w:rsid w:val="0076459C"/>
    <w:rsid w:val="0076497D"/>
    <w:rsid w:val="00765233"/>
    <w:rsid w:val="007655E3"/>
    <w:rsid w:val="007657B6"/>
    <w:rsid w:val="00765A21"/>
    <w:rsid w:val="00765CEF"/>
    <w:rsid w:val="00765EC5"/>
    <w:rsid w:val="00766EA5"/>
    <w:rsid w:val="00766F4C"/>
    <w:rsid w:val="007670F8"/>
    <w:rsid w:val="00770271"/>
    <w:rsid w:val="00770382"/>
    <w:rsid w:val="0077160E"/>
    <w:rsid w:val="00771B2E"/>
    <w:rsid w:val="00771D6A"/>
    <w:rsid w:val="007722EE"/>
    <w:rsid w:val="0077305D"/>
    <w:rsid w:val="007739F2"/>
    <w:rsid w:val="00774F1C"/>
    <w:rsid w:val="0077521C"/>
    <w:rsid w:val="0077562E"/>
    <w:rsid w:val="00775ABC"/>
    <w:rsid w:val="00775DDF"/>
    <w:rsid w:val="00775E41"/>
    <w:rsid w:val="00776630"/>
    <w:rsid w:val="00776B55"/>
    <w:rsid w:val="00777002"/>
    <w:rsid w:val="007770B3"/>
    <w:rsid w:val="00777747"/>
    <w:rsid w:val="007778A6"/>
    <w:rsid w:val="007810F5"/>
    <w:rsid w:val="007813EA"/>
    <w:rsid w:val="007815D7"/>
    <w:rsid w:val="00781FD9"/>
    <w:rsid w:val="00782738"/>
    <w:rsid w:val="0078280E"/>
    <w:rsid w:val="00783495"/>
    <w:rsid w:val="00783A06"/>
    <w:rsid w:val="00784985"/>
    <w:rsid w:val="00787364"/>
    <w:rsid w:val="007876FC"/>
    <w:rsid w:val="00787A46"/>
    <w:rsid w:val="0079015D"/>
    <w:rsid w:val="007901D7"/>
    <w:rsid w:val="007907D6"/>
    <w:rsid w:val="00791843"/>
    <w:rsid w:val="007919C6"/>
    <w:rsid w:val="00791AA4"/>
    <w:rsid w:val="00791AAC"/>
    <w:rsid w:val="00791DED"/>
    <w:rsid w:val="007928BD"/>
    <w:rsid w:val="00792A9D"/>
    <w:rsid w:val="00792BC4"/>
    <w:rsid w:val="0079335A"/>
    <w:rsid w:val="00793681"/>
    <w:rsid w:val="00793CF6"/>
    <w:rsid w:val="00793D1C"/>
    <w:rsid w:val="007951E3"/>
    <w:rsid w:val="007951FA"/>
    <w:rsid w:val="007960B4"/>
    <w:rsid w:val="00796810"/>
    <w:rsid w:val="00796CAE"/>
    <w:rsid w:val="00796ECA"/>
    <w:rsid w:val="00797162"/>
    <w:rsid w:val="00797DA5"/>
    <w:rsid w:val="007A02CA"/>
    <w:rsid w:val="007A0FC2"/>
    <w:rsid w:val="007A10AC"/>
    <w:rsid w:val="007A10DF"/>
    <w:rsid w:val="007A12E4"/>
    <w:rsid w:val="007A18EE"/>
    <w:rsid w:val="007A2FAF"/>
    <w:rsid w:val="007A36E4"/>
    <w:rsid w:val="007A38C9"/>
    <w:rsid w:val="007A4941"/>
    <w:rsid w:val="007A4947"/>
    <w:rsid w:val="007A4A8B"/>
    <w:rsid w:val="007A4C41"/>
    <w:rsid w:val="007A5D7A"/>
    <w:rsid w:val="007A63A6"/>
    <w:rsid w:val="007A66B9"/>
    <w:rsid w:val="007A68F6"/>
    <w:rsid w:val="007A7441"/>
    <w:rsid w:val="007A7934"/>
    <w:rsid w:val="007A7EB8"/>
    <w:rsid w:val="007B069F"/>
    <w:rsid w:val="007B1C56"/>
    <w:rsid w:val="007B263B"/>
    <w:rsid w:val="007B2CC5"/>
    <w:rsid w:val="007B4101"/>
    <w:rsid w:val="007B43DD"/>
    <w:rsid w:val="007B44F1"/>
    <w:rsid w:val="007B5443"/>
    <w:rsid w:val="007B5568"/>
    <w:rsid w:val="007B5659"/>
    <w:rsid w:val="007B5982"/>
    <w:rsid w:val="007B6491"/>
    <w:rsid w:val="007B67E6"/>
    <w:rsid w:val="007B6A6E"/>
    <w:rsid w:val="007B714A"/>
    <w:rsid w:val="007B77FF"/>
    <w:rsid w:val="007B7E1B"/>
    <w:rsid w:val="007C0448"/>
    <w:rsid w:val="007C04A2"/>
    <w:rsid w:val="007C072C"/>
    <w:rsid w:val="007C0825"/>
    <w:rsid w:val="007C08E8"/>
    <w:rsid w:val="007C0ED5"/>
    <w:rsid w:val="007C10D3"/>
    <w:rsid w:val="007C1543"/>
    <w:rsid w:val="007C1680"/>
    <w:rsid w:val="007C1EB3"/>
    <w:rsid w:val="007C2231"/>
    <w:rsid w:val="007C2541"/>
    <w:rsid w:val="007C364C"/>
    <w:rsid w:val="007C4221"/>
    <w:rsid w:val="007C4282"/>
    <w:rsid w:val="007C473A"/>
    <w:rsid w:val="007C4DC0"/>
    <w:rsid w:val="007C4EB9"/>
    <w:rsid w:val="007C510C"/>
    <w:rsid w:val="007C512C"/>
    <w:rsid w:val="007C52C3"/>
    <w:rsid w:val="007C54D9"/>
    <w:rsid w:val="007C5647"/>
    <w:rsid w:val="007C5812"/>
    <w:rsid w:val="007C5F90"/>
    <w:rsid w:val="007C627A"/>
    <w:rsid w:val="007C69BF"/>
    <w:rsid w:val="007C6BE9"/>
    <w:rsid w:val="007C7718"/>
    <w:rsid w:val="007C7802"/>
    <w:rsid w:val="007C7CF0"/>
    <w:rsid w:val="007C7FC4"/>
    <w:rsid w:val="007D0487"/>
    <w:rsid w:val="007D06AC"/>
    <w:rsid w:val="007D09A9"/>
    <w:rsid w:val="007D0E25"/>
    <w:rsid w:val="007D1D9B"/>
    <w:rsid w:val="007D1EF0"/>
    <w:rsid w:val="007D3846"/>
    <w:rsid w:val="007D414C"/>
    <w:rsid w:val="007D42CD"/>
    <w:rsid w:val="007D48DA"/>
    <w:rsid w:val="007D4A30"/>
    <w:rsid w:val="007D4B05"/>
    <w:rsid w:val="007D4E06"/>
    <w:rsid w:val="007D508E"/>
    <w:rsid w:val="007D556D"/>
    <w:rsid w:val="007D6DCA"/>
    <w:rsid w:val="007D744E"/>
    <w:rsid w:val="007D7D29"/>
    <w:rsid w:val="007D7FBC"/>
    <w:rsid w:val="007E025F"/>
    <w:rsid w:val="007E02AA"/>
    <w:rsid w:val="007E0B6F"/>
    <w:rsid w:val="007E10CE"/>
    <w:rsid w:val="007E113B"/>
    <w:rsid w:val="007E1DA3"/>
    <w:rsid w:val="007E1FF5"/>
    <w:rsid w:val="007E2B40"/>
    <w:rsid w:val="007E2E69"/>
    <w:rsid w:val="007E30A5"/>
    <w:rsid w:val="007E355B"/>
    <w:rsid w:val="007E3DA5"/>
    <w:rsid w:val="007E45FD"/>
    <w:rsid w:val="007E4827"/>
    <w:rsid w:val="007E49AF"/>
    <w:rsid w:val="007E49D5"/>
    <w:rsid w:val="007E4EAF"/>
    <w:rsid w:val="007E50AA"/>
    <w:rsid w:val="007E5494"/>
    <w:rsid w:val="007E5932"/>
    <w:rsid w:val="007E6005"/>
    <w:rsid w:val="007E65AC"/>
    <w:rsid w:val="007E661A"/>
    <w:rsid w:val="007E6725"/>
    <w:rsid w:val="007E692F"/>
    <w:rsid w:val="007E6A42"/>
    <w:rsid w:val="007E6B21"/>
    <w:rsid w:val="007E6BF1"/>
    <w:rsid w:val="007E6F60"/>
    <w:rsid w:val="007E79CD"/>
    <w:rsid w:val="007F0131"/>
    <w:rsid w:val="007F0403"/>
    <w:rsid w:val="007F0CB0"/>
    <w:rsid w:val="007F2178"/>
    <w:rsid w:val="007F221D"/>
    <w:rsid w:val="007F2934"/>
    <w:rsid w:val="007F29FC"/>
    <w:rsid w:val="007F339D"/>
    <w:rsid w:val="007F35FD"/>
    <w:rsid w:val="007F3618"/>
    <w:rsid w:val="007F40B5"/>
    <w:rsid w:val="007F40F1"/>
    <w:rsid w:val="007F4338"/>
    <w:rsid w:val="007F4E49"/>
    <w:rsid w:val="007F59C5"/>
    <w:rsid w:val="007F6AFC"/>
    <w:rsid w:val="007F6FFA"/>
    <w:rsid w:val="007F7EB8"/>
    <w:rsid w:val="008008CA"/>
    <w:rsid w:val="00800A2E"/>
    <w:rsid w:val="00800BD3"/>
    <w:rsid w:val="0080126D"/>
    <w:rsid w:val="00801837"/>
    <w:rsid w:val="0080212C"/>
    <w:rsid w:val="00802397"/>
    <w:rsid w:val="00802FE0"/>
    <w:rsid w:val="00803084"/>
    <w:rsid w:val="00803194"/>
    <w:rsid w:val="0080464A"/>
    <w:rsid w:val="008046A8"/>
    <w:rsid w:val="00805018"/>
    <w:rsid w:val="008050AB"/>
    <w:rsid w:val="00805811"/>
    <w:rsid w:val="00805814"/>
    <w:rsid w:val="00805B76"/>
    <w:rsid w:val="0080638A"/>
    <w:rsid w:val="00806AEC"/>
    <w:rsid w:val="00806EBC"/>
    <w:rsid w:val="0080731F"/>
    <w:rsid w:val="00807ABF"/>
    <w:rsid w:val="00807BDF"/>
    <w:rsid w:val="00810CAF"/>
    <w:rsid w:val="00810D62"/>
    <w:rsid w:val="00810F28"/>
    <w:rsid w:val="00811914"/>
    <w:rsid w:val="00811AB7"/>
    <w:rsid w:val="00811C9D"/>
    <w:rsid w:val="00811DE1"/>
    <w:rsid w:val="0081239E"/>
    <w:rsid w:val="00812501"/>
    <w:rsid w:val="008126A1"/>
    <w:rsid w:val="00812B88"/>
    <w:rsid w:val="00812C15"/>
    <w:rsid w:val="00812D0A"/>
    <w:rsid w:val="008130F1"/>
    <w:rsid w:val="00813857"/>
    <w:rsid w:val="008142E9"/>
    <w:rsid w:val="00814848"/>
    <w:rsid w:val="008159B2"/>
    <w:rsid w:val="00816051"/>
    <w:rsid w:val="00816C56"/>
    <w:rsid w:val="00817430"/>
    <w:rsid w:val="008174A1"/>
    <w:rsid w:val="0081761D"/>
    <w:rsid w:val="00817EBE"/>
    <w:rsid w:val="008206FE"/>
    <w:rsid w:val="00820BE6"/>
    <w:rsid w:val="00820C70"/>
    <w:rsid w:val="008212DA"/>
    <w:rsid w:val="00821354"/>
    <w:rsid w:val="00821548"/>
    <w:rsid w:val="00821C6E"/>
    <w:rsid w:val="00822D51"/>
    <w:rsid w:val="008237F0"/>
    <w:rsid w:val="0082397B"/>
    <w:rsid w:val="00823E42"/>
    <w:rsid w:val="00824479"/>
    <w:rsid w:val="00824688"/>
    <w:rsid w:val="00825330"/>
    <w:rsid w:val="00825EF2"/>
    <w:rsid w:val="00826F28"/>
    <w:rsid w:val="008276E7"/>
    <w:rsid w:val="008278E6"/>
    <w:rsid w:val="00830198"/>
    <w:rsid w:val="0083057B"/>
    <w:rsid w:val="00831864"/>
    <w:rsid w:val="00832496"/>
    <w:rsid w:val="008325BF"/>
    <w:rsid w:val="00833229"/>
    <w:rsid w:val="00833B37"/>
    <w:rsid w:val="00833F19"/>
    <w:rsid w:val="00833F20"/>
    <w:rsid w:val="008340EB"/>
    <w:rsid w:val="00835216"/>
    <w:rsid w:val="00835630"/>
    <w:rsid w:val="00835798"/>
    <w:rsid w:val="00835959"/>
    <w:rsid w:val="00837391"/>
    <w:rsid w:val="00837600"/>
    <w:rsid w:val="00837A6B"/>
    <w:rsid w:val="00840093"/>
    <w:rsid w:val="008401AC"/>
    <w:rsid w:val="00840D9D"/>
    <w:rsid w:val="00840E99"/>
    <w:rsid w:val="008411A7"/>
    <w:rsid w:val="008412BB"/>
    <w:rsid w:val="00841A3A"/>
    <w:rsid w:val="00841CAF"/>
    <w:rsid w:val="00841E62"/>
    <w:rsid w:val="00842982"/>
    <w:rsid w:val="00843730"/>
    <w:rsid w:val="00843F18"/>
    <w:rsid w:val="00844286"/>
    <w:rsid w:val="00844A99"/>
    <w:rsid w:val="0084507A"/>
    <w:rsid w:val="00845553"/>
    <w:rsid w:val="00845B76"/>
    <w:rsid w:val="00845E73"/>
    <w:rsid w:val="00846648"/>
    <w:rsid w:val="00846DD4"/>
    <w:rsid w:val="00846FBA"/>
    <w:rsid w:val="008470FB"/>
    <w:rsid w:val="00847B8A"/>
    <w:rsid w:val="0085009F"/>
    <w:rsid w:val="00850A59"/>
    <w:rsid w:val="0085122E"/>
    <w:rsid w:val="0085189F"/>
    <w:rsid w:val="00851B4E"/>
    <w:rsid w:val="00851E96"/>
    <w:rsid w:val="00853A32"/>
    <w:rsid w:val="00853AC5"/>
    <w:rsid w:val="00853E2A"/>
    <w:rsid w:val="0085459B"/>
    <w:rsid w:val="00854B60"/>
    <w:rsid w:val="008551BD"/>
    <w:rsid w:val="008552C5"/>
    <w:rsid w:val="008555CE"/>
    <w:rsid w:val="00855E5C"/>
    <w:rsid w:val="008564F8"/>
    <w:rsid w:val="00856837"/>
    <w:rsid w:val="00857B4C"/>
    <w:rsid w:val="00857E7E"/>
    <w:rsid w:val="008606AA"/>
    <w:rsid w:val="00861567"/>
    <w:rsid w:val="00861C08"/>
    <w:rsid w:val="00862497"/>
    <w:rsid w:val="0086295C"/>
    <w:rsid w:val="00863577"/>
    <w:rsid w:val="008637A0"/>
    <w:rsid w:val="00863A02"/>
    <w:rsid w:val="00863B38"/>
    <w:rsid w:val="00865015"/>
    <w:rsid w:val="008655F8"/>
    <w:rsid w:val="00865AC6"/>
    <w:rsid w:val="00865D8D"/>
    <w:rsid w:val="00865DC7"/>
    <w:rsid w:val="00865EDE"/>
    <w:rsid w:val="00866060"/>
    <w:rsid w:val="0086640C"/>
    <w:rsid w:val="00866632"/>
    <w:rsid w:val="0086665D"/>
    <w:rsid w:val="00866FD1"/>
    <w:rsid w:val="0086722D"/>
    <w:rsid w:val="008678B0"/>
    <w:rsid w:val="008714DF"/>
    <w:rsid w:val="0087157C"/>
    <w:rsid w:val="00871C80"/>
    <w:rsid w:val="00872181"/>
    <w:rsid w:val="008721A3"/>
    <w:rsid w:val="0087253B"/>
    <w:rsid w:val="008728FE"/>
    <w:rsid w:val="00872CEB"/>
    <w:rsid w:val="008733D1"/>
    <w:rsid w:val="008738B7"/>
    <w:rsid w:val="00873EB4"/>
    <w:rsid w:val="0087415B"/>
    <w:rsid w:val="00874AE0"/>
    <w:rsid w:val="00874BD1"/>
    <w:rsid w:val="00875308"/>
    <w:rsid w:val="00875AC6"/>
    <w:rsid w:val="00875AF5"/>
    <w:rsid w:val="00875DD8"/>
    <w:rsid w:val="00875EC3"/>
    <w:rsid w:val="00876813"/>
    <w:rsid w:val="008768CE"/>
    <w:rsid w:val="008769BB"/>
    <w:rsid w:val="008770F9"/>
    <w:rsid w:val="00877557"/>
    <w:rsid w:val="008777BE"/>
    <w:rsid w:val="00877B74"/>
    <w:rsid w:val="00877F8E"/>
    <w:rsid w:val="0088030F"/>
    <w:rsid w:val="00880472"/>
    <w:rsid w:val="00880B4A"/>
    <w:rsid w:val="00881539"/>
    <w:rsid w:val="00881641"/>
    <w:rsid w:val="00881D6F"/>
    <w:rsid w:val="00883401"/>
    <w:rsid w:val="0088359F"/>
    <w:rsid w:val="008836D1"/>
    <w:rsid w:val="00883779"/>
    <w:rsid w:val="00883AA1"/>
    <w:rsid w:val="00884A1B"/>
    <w:rsid w:val="00885492"/>
    <w:rsid w:val="00886563"/>
    <w:rsid w:val="008869A3"/>
    <w:rsid w:val="00886B49"/>
    <w:rsid w:val="00886FE5"/>
    <w:rsid w:val="00887DB5"/>
    <w:rsid w:val="008902F6"/>
    <w:rsid w:val="008905B6"/>
    <w:rsid w:val="00890935"/>
    <w:rsid w:val="0089109E"/>
    <w:rsid w:val="00891338"/>
    <w:rsid w:val="00891465"/>
    <w:rsid w:val="00892259"/>
    <w:rsid w:val="0089250A"/>
    <w:rsid w:val="00892636"/>
    <w:rsid w:val="00893036"/>
    <w:rsid w:val="0089388F"/>
    <w:rsid w:val="0089475A"/>
    <w:rsid w:val="00894CC2"/>
    <w:rsid w:val="00895B6D"/>
    <w:rsid w:val="00895DA1"/>
    <w:rsid w:val="00895ECB"/>
    <w:rsid w:val="0089652B"/>
    <w:rsid w:val="00896776"/>
    <w:rsid w:val="008967C3"/>
    <w:rsid w:val="00896F9B"/>
    <w:rsid w:val="00897078"/>
    <w:rsid w:val="00897471"/>
    <w:rsid w:val="008976BA"/>
    <w:rsid w:val="00897C92"/>
    <w:rsid w:val="008A0D0A"/>
    <w:rsid w:val="008A1470"/>
    <w:rsid w:val="008A1D9F"/>
    <w:rsid w:val="008A2325"/>
    <w:rsid w:val="008A25B0"/>
    <w:rsid w:val="008A2FBC"/>
    <w:rsid w:val="008A3594"/>
    <w:rsid w:val="008A3BB2"/>
    <w:rsid w:val="008A457C"/>
    <w:rsid w:val="008A47A9"/>
    <w:rsid w:val="008A4863"/>
    <w:rsid w:val="008A5243"/>
    <w:rsid w:val="008A62C0"/>
    <w:rsid w:val="008A6404"/>
    <w:rsid w:val="008A700D"/>
    <w:rsid w:val="008A71F1"/>
    <w:rsid w:val="008A7CF6"/>
    <w:rsid w:val="008B0105"/>
    <w:rsid w:val="008B03A2"/>
    <w:rsid w:val="008B0578"/>
    <w:rsid w:val="008B147F"/>
    <w:rsid w:val="008B18B7"/>
    <w:rsid w:val="008B1F21"/>
    <w:rsid w:val="008B24FD"/>
    <w:rsid w:val="008B2503"/>
    <w:rsid w:val="008B2CC4"/>
    <w:rsid w:val="008B31E4"/>
    <w:rsid w:val="008B3631"/>
    <w:rsid w:val="008B50C1"/>
    <w:rsid w:val="008B51DA"/>
    <w:rsid w:val="008B5A93"/>
    <w:rsid w:val="008B5E8C"/>
    <w:rsid w:val="008B5F84"/>
    <w:rsid w:val="008B612D"/>
    <w:rsid w:val="008B61BE"/>
    <w:rsid w:val="008B62E2"/>
    <w:rsid w:val="008B654F"/>
    <w:rsid w:val="008B6570"/>
    <w:rsid w:val="008B6C74"/>
    <w:rsid w:val="008B73B0"/>
    <w:rsid w:val="008B7441"/>
    <w:rsid w:val="008B76CB"/>
    <w:rsid w:val="008C066D"/>
    <w:rsid w:val="008C0757"/>
    <w:rsid w:val="008C0A11"/>
    <w:rsid w:val="008C0BFE"/>
    <w:rsid w:val="008C0CE0"/>
    <w:rsid w:val="008C1844"/>
    <w:rsid w:val="008C1D75"/>
    <w:rsid w:val="008C224B"/>
    <w:rsid w:val="008C2419"/>
    <w:rsid w:val="008C2683"/>
    <w:rsid w:val="008C3213"/>
    <w:rsid w:val="008C37E5"/>
    <w:rsid w:val="008C3904"/>
    <w:rsid w:val="008C392B"/>
    <w:rsid w:val="008C4106"/>
    <w:rsid w:val="008C43CB"/>
    <w:rsid w:val="008C4E0D"/>
    <w:rsid w:val="008C551D"/>
    <w:rsid w:val="008C575F"/>
    <w:rsid w:val="008C5769"/>
    <w:rsid w:val="008C5CDE"/>
    <w:rsid w:val="008C5F1D"/>
    <w:rsid w:val="008C65CF"/>
    <w:rsid w:val="008C69C0"/>
    <w:rsid w:val="008C6A7F"/>
    <w:rsid w:val="008C6E50"/>
    <w:rsid w:val="008C72EE"/>
    <w:rsid w:val="008D08A2"/>
    <w:rsid w:val="008D0D7E"/>
    <w:rsid w:val="008D13C5"/>
    <w:rsid w:val="008D1586"/>
    <w:rsid w:val="008D196B"/>
    <w:rsid w:val="008D206A"/>
    <w:rsid w:val="008D28CD"/>
    <w:rsid w:val="008D3AB3"/>
    <w:rsid w:val="008D40E9"/>
    <w:rsid w:val="008D493A"/>
    <w:rsid w:val="008D4A22"/>
    <w:rsid w:val="008D4CFD"/>
    <w:rsid w:val="008D525C"/>
    <w:rsid w:val="008D61A9"/>
    <w:rsid w:val="008D6231"/>
    <w:rsid w:val="008D6F18"/>
    <w:rsid w:val="008D725F"/>
    <w:rsid w:val="008D730B"/>
    <w:rsid w:val="008D75E3"/>
    <w:rsid w:val="008D7678"/>
    <w:rsid w:val="008D7F67"/>
    <w:rsid w:val="008E024D"/>
    <w:rsid w:val="008E0470"/>
    <w:rsid w:val="008E0A36"/>
    <w:rsid w:val="008E0E76"/>
    <w:rsid w:val="008E0FE8"/>
    <w:rsid w:val="008E33DD"/>
    <w:rsid w:val="008E3488"/>
    <w:rsid w:val="008E364D"/>
    <w:rsid w:val="008E3B29"/>
    <w:rsid w:val="008E3E10"/>
    <w:rsid w:val="008E42F7"/>
    <w:rsid w:val="008E45E4"/>
    <w:rsid w:val="008E47A9"/>
    <w:rsid w:val="008E494B"/>
    <w:rsid w:val="008E4970"/>
    <w:rsid w:val="008E5C4A"/>
    <w:rsid w:val="008E6677"/>
    <w:rsid w:val="008E67A5"/>
    <w:rsid w:val="008E67D9"/>
    <w:rsid w:val="008E6DEE"/>
    <w:rsid w:val="008E7AFA"/>
    <w:rsid w:val="008F023A"/>
    <w:rsid w:val="008F0597"/>
    <w:rsid w:val="008F10B6"/>
    <w:rsid w:val="008F164B"/>
    <w:rsid w:val="008F1F16"/>
    <w:rsid w:val="008F1FBB"/>
    <w:rsid w:val="008F2026"/>
    <w:rsid w:val="008F24A4"/>
    <w:rsid w:val="008F259E"/>
    <w:rsid w:val="008F2823"/>
    <w:rsid w:val="008F328F"/>
    <w:rsid w:val="008F3849"/>
    <w:rsid w:val="008F39BD"/>
    <w:rsid w:val="008F4079"/>
    <w:rsid w:val="008F53CF"/>
    <w:rsid w:val="008F6D72"/>
    <w:rsid w:val="008F6E20"/>
    <w:rsid w:val="008F7061"/>
    <w:rsid w:val="008F706F"/>
    <w:rsid w:val="008F7688"/>
    <w:rsid w:val="008F78F3"/>
    <w:rsid w:val="0090001E"/>
    <w:rsid w:val="00900F33"/>
    <w:rsid w:val="00901713"/>
    <w:rsid w:val="00902864"/>
    <w:rsid w:val="00902B1F"/>
    <w:rsid w:val="00903477"/>
    <w:rsid w:val="00903EEA"/>
    <w:rsid w:val="00903F36"/>
    <w:rsid w:val="00905CFA"/>
    <w:rsid w:val="00906027"/>
    <w:rsid w:val="00906476"/>
    <w:rsid w:val="0090660D"/>
    <w:rsid w:val="00907030"/>
    <w:rsid w:val="009079BB"/>
    <w:rsid w:val="00907BA6"/>
    <w:rsid w:val="00907C68"/>
    <w:rsid w:val="00907D84"/>
    <w:rsid w:val="00910A73"/>
    <w:rsid w:val="00910A98"/>
    <w:rsid w:val="009114F6"/>
    <w:rsid w:val="0091168B"/>
    <w:rsid w:val="00911779"/>
    <w:rsid w:val="0091192B"/>
    <w:rsid w:val="00911FC2"/>
    <w:rsid w:val="0091219E"/>
    <w:rsid w:val="009125AF"/>
    <w:rsid w:val="00912ADF"/>
    <w:rsid w:val="00912CF4"/>
    <w:rsid w:val="00913206"/>
    <w:rsid w:val="00913E94"/>
    <w:rsid w:val="00913F88"/>
    <w:rsid w:val="00916FF8"/>
    <w:rsid w:val="0091775A"/>
    <w:rsid w:val="00917C50"/>
    <w:rsid w:val="00917DDC"/>
    <w:rsid w:val="009206FB"/>
    <w:rsid w:val="00921F89"/>
    <w:rsid w:val="009224FE"/>
    <w:rsid w:val="00922EAE"/>
    <w:rsid w:val="0092305B"/>
    <w:rsid w:val="00923893"/>
    <w:rsid w:val="00923A81"/>
    <w:rsid w:val="00923F7D"/>
    <w:rsid w:val="00923FEE"/>
    <w:rsid w:val="00924504"/>
    <w:rsid w:val="0092533C"/>
    <w:rsid w:val="00925689"/>
    <w:rsid w:val="009260BA"/>
    <w:rsid w:val="00926D1F"/>
    <w:rsid w:val="00926F95"/>
    <w:rsid w:val="0092717A"/>
    <w:rsid w:val="00927BE7"/>
    <w:rsid w:val="00927F65"/>
    <w:rsid w:val="0093097C"/>
    <w:rsid w:val="009309C3"/>
    <w:rsid w:val="00930D50"/>
    <w:rsid w:val="00930F84"/>
    <w:rsid w:val="009314B7"/>
    <w:rsid w:val="009315BE"/>
    <w:rsid w:val="00931836"/>
    <w:rsid w:val="00932034"/>
    <w:rsid w:val="009326C7"/>
    <w:rsid w:val="00932BB6"/>
    <w:rsid w:val="00932E08"/>
    <w:rsid w:val="009348E8"/>
    <w:rsid w:val="00934914"/>
    <w:rsid w:val="0093491F"/>
    <w:rsid w:val="00934CAF"/>
    <w:rsid w:val="00935491"/>
    <w:rsid w:val="0093619E"/>
    <w:rsid w:val="009364F8"/>
    <w:rsid w:val="00936AE2"/>
    <w:rsid w:val="00936D0B"/>
    <w:rsid w:val="0093744E"/>
    <w:rsid w:val="009378EB"/>
    <w:rsid w:val="00937B64"/>
    <w:rsid w:val="00940C3C"/>
    <w:rsid w:val="00940E0B"/>
    <w:rsid w:val="009423A8"/>
    <w:rsid w:val="00942933"/>
    <w:rsid w:val="00942E1F"/>
    <w:rsid w:val="0094343F"/>
    <w:rsid w:val="00943A33"/>
    <w:rsid w:val="00943B2E"/>
    <w:rsid w:val="0094437E"/>
    <w:rsid w:val="00944BFD"/>
    <w:rsid w:val="00944D62"/>
    <w:rsid w:val="00945248"/>
    <w:rsid w:val="00945766"/>
    <w:rsid w:val="00945BFA"/>
    <w:rsid w:val="0094626D"/>
    <w:rsid w:val="009468CD"/>
    <w:rsid w:val="00946909"/>
    <w:rsid w:val="00946A8A"/>
    <w:rsid w:val="009474ED"/>
    <w:rsid w:val="009476D5"/>
    <w:rsid w:val="009478FC"/>
    <w:rsid w:val="00947A60"/>
    <w:rsid w:val="0095079E"/>
    <w:rsid w:val="009508B2"/>
    <w:rsid w:val="009524C5"/>
    <w:rsid w:val="009532C1"/>
    <w:rsid w:val="00953741"/>
    <w:rsid w:val="00953815"/>
    <w:rsid w:val="00954D94"/>
    <w:rsid w:val="0095517C"/>
    <w:rsid w:val="00955727"/>
    <w:rsid w:val="00955892"/>
    <w:rsid w:val="00955B95"/>
    <w:rsid w:val="00955BDD"/>
    <w:rsid w:val="00955FF6"/>
    <w:rsid w:val="00956019"/>
    <w:rsid w:val="00956E25"/>
    <w:rsid w:val="009571AC"/>
    <w:rsid w:val="00957A77"/>
    <w:rsid w:val="00957A9A"/>
    <w:rsid w:val="0096085C"/>
    <w:rsid w:val="009617C5"/>
    <w:rsid w:val="0096199A"/>
    <w:rsid w:val="00961D1C"/>
    <w:rsid w:val="00962BB5"/>
    <w:rsid w:val="0096321F"/>
    <w:rsid w:val="009632AC"/>
    <w:rsid w:val="00963478"/>
    <w:rsid w:val="009639ED"/>
    <w:rsid w:val="00963D02"/>
    <w:rsid w:val="0096410A"/>
    <w:rsid w:val="00964653"/>
    <w:rsid w:val="009650E9"/>
    <w:rsid w:val="0096560E"/>
    <w:rsid w:val="0096591C"/>
    <w:rsid w:val="00966959"/>
    <w:rsid w:val="00966A21"/>
    <w:rsid w:val="009671E6"/>
    <w:rsid w:val="009677E9"/>
    <w:rsid w:val="00967C14"/>
    <w:rsid w:val="009700B8"/>
    <w:rsid w:val="00970D04"/>
    <w:rsid w:val="009710BE"/>
    <w:rsid w:val="0097122C"/>
    <w:rsid w:val="00971556"/>
    <w:rsid w:val="00971A03"/>
    <w:rsid w:val="00972100"/>
    <w:rsid w:val="0097242E"/>
    <w:rsid w:val="009725E0"/>
    <w:rsid w:val="009729AB"/>
    <w:rsid w:val="00973224"/>
    <w:rsid w:val="0097334D"/>
    <w:rsid w:val="00974345"/>
    <w:rsid w:val="00975519"/>
    <w:rsid w:val="00975557"/>
    <w:rsid w:val="00976107"/>
    <w:rsid w:val="009764B8"/>
    <w:rsid w:val="00977F03"/>
    <w:rsid w:val="009802E7"/>
    <w:rsid w:val="00980585"/>
    <w:rsid w:val="00980897"/>
    <w:rsid w:val="00980BB0"/>
    <w:rsid w:val="0098106C"/>
    <w:rsid w:val="0098155E"/>
    <w:rsid w:val="009815D5"/>
    <w:rsid w:val="00981B60"/>
    <w:rsid w:val="009824B0"/>
    <w:rsid w:val="00982664"/>
    <w:rsid w:val="009827F0"/>
    <w:rsid w:val="009829EC"/>
    <w:rsid w:val="00982B67"/>
    <w:rsid w:val="00982B68"/>
    <w:rsid w:val="00982BD8"/>
    <w:rsid w:val="00983279"/>
    <w:rsid w:val="009835AD"/>
    <w:rsid w:val="009836A1"/>
    <w:rsid w:val="0098407F"/>
    <w:rsid w:val="00984733"/>
    <w:rsid w:val="009849EA"/>
    <w:rsid w:val="00985280"/>
    <w:rsid w:val="0098575C"/>
    <w:rsid w:val="009862BF"/>
    <w:rsid w:val="00986377"/>
    <w:rsid w:val="00986504"/>
    <w:rsid w:val="0098739B"/>
    <w:rsid w:val="0098748C"/>
    <w:rsid w:val="00987E4D"/>
    <w:rsid w:val="009900CA"/>
    <w:rsid w:val="0099066A"/>
    <w:rsid w:val="0099075D"/>
    <w:rsid w:val="00990817"/>
    <w:rsid w:val="00990E58"/>
    <w:rsid w:val="00991510"/>
    <w:rsid w:val="00991616"/>
    <w:rsid w:val="00991C19"/>
    <w:rsid w:val="009922F2"/>
    <w:rsid w:val="00992D66"/>
    <w:rsid w:val="00993E11"/>
    <w:rsid w:val="009948C1"/>
    <w:rsid w:val="0099610B"/>
    <w:rsid w:val="00996501"/>
    <w:rsid w:val="00996903"/>
    <w:rsid w:val="00996BC3"/>
    <w:rsid w:val="00996D86"/>
    <w:rsid w:val="00997399"/>
    <w:rsid w:val="009975BB"/>
    <w:rsid w:val="00997868"/>
    <w:rsid w:val="009978E6"/>
    <w:rsid w:val="00997FDD"/>
    <w:rsid w:val="009A009C"/>
    <w:rsid w:val="009A0631"/>
    <w:rsid w:val="009A08D4"/>
    <w:rsid w:val="009A0C5B"/>
    <w:rsid w:val="009A0CB1"/>
    <w:rsid w:val="009A1C68"/>
    <w:rsid w:val="009A242D"/>
    <w:rsid w:val="009A2528"/>
    <w:rsid w:val="009A2AAD"/>
    <w:rsid w:val="009A3BBA"/>
    <w:rsid w:val="009A3BED"/>
    <w:rsid w:val="009A3D09"/>
    <w:rsid w:val="009A452E"/>
    <w:rsid w:val="009A47CC"/>
    <w:rsid w:val="009A4ED1"/>
    <w:rsid w:val="009A59FD"/>
    <w:rsid w:val="009A5B31"/>
    <w:rsid w:val="009A5C7C"/>
    <w:rsid w:val="009A6274"/>
    <w:rsid w:val="009A6A01"/>
    <w:rsid w:val="009A72DF"/>
    <w:rsid w:val="009A7907"/>
    <w:rsid w:val="009A790D"/>
    <w:rsid w:val="009A7BFA"/>
    <w:rsid w:val="009A7D4A"/>
    <w:rsid w:val="009A7D9F"/>
    <w:rsid w:val="009B0690"/>
    <w:rsid w:val="009B1901"/>
    <w:rsid w:val="009B1A67"/>
    <w:rsid w:val="009B1D03"/>
    <w:rsid w:val="009B224D"/>
    <w:rsid w:val="009B2270"/>
    <w:rsid w:val="009B2467"/>
    <w:rsid w:val="009B3307"/>
    <w:rsid w:val="009B3540"/>
    <w:rsid w:val="009B3962"/>
    <w:rsid w:val="009B3FEB"/>
    <w:rsid w:val="009B4278"/>
    <w:rsid w:val="009B44DA"/>
    <w:rsid w:val="009B4E58"/>
    <w:rsid w:val="009B4F93"/>
    <w:rsid w:val="009B5649"/>
    <w:rsid w:val="009B5AB2"/>
    <w:rsid w:val="009B5B11"/>
    <w:rsid w:val="009C0284"/>
    <w:rsid w:val="009C0AFE"/>
    <w:rsid w:val="009C20E8"/>
    <w:rsid w:val="009C2252"/>
    <w:rsid w:val="009C2CD0"/>
    <w:rsid w:val="009C2D23"/>
    <w:rsid w:val="009C36F2"/>
    <w:rsid w:val="009C3BFE"/>
    <w:rsid w:val="009C402C"/>
    <w:rsid w:val="009C49F7"/>
    <w:rsid w:val="009C4E49"/>
    <w:rsid w:val="009C54E3"/>
    <w:rsid w:val="009C5509"/>
    <w:rsid w:val="009C60AA"/>
    <w:rsid w:val="009C651D"/>
    <w:rsid w:val="009C7392"/>
    <w:rsid w:val="009C7F71"/>
    <w:rsid w:val="009C7F7C"/>
    <w:rsid w:val="009D04BF"/>
    <w:rsid w:val="009D0E03"/>
    <w:rsid w:val="009D1B0B"/>
    <w:rsid w:val="009D2411"/>
    <w:rsid w:val="009D2E28"/>
    <w:rsid w:val="009D34B5"/>
    <w:rsid w:val="009D4D7D"/>
    <w:rsid w:val="009D5053"/>
    <w:rsid w:val="009D5373"/>
    <w:rsid w:val="009D553C"/>
    <w:rsid w:val="009D56F1"/>
    <w:rsid w:val="009D5CED"/>
    <w:rsid w:val="009D6884"/>
    <w:rsid w:val="009D6CBA"/>
    <w:rsid w:val="009D6CEC"/>
    <w:rsid w:val="009D6D1F"/>
    <w:rsid w:val="009D7067"/>
    <w:rsid w:val="009D758B"/>
    <w:rsid w:val="009D79A1"/>
    <w:rsid w:val="009D7AAC"/>
    <w:rsid w:val="009D7D09"/>
    <w:rsid w:val="009D7F43"/>
    <w:rsid w:val="009E008F"/>
    <w:rsid w:val="009E00AC"/>
    <w:rsid w:val="009E017C"/>
    <w:rsid w:val="009E0CB8"/>
    <w:rsid w:val="009E1907"/>
    <w:rsid w:val="009E2396"/>
    <w:rsid w:val="009E2C07"/>
    <w:rsid w:val="009E334B"/>
    <w:rsid w:val="009E3389"/>
    <w:rsid w:val="009E34F6"/>
    <w:rsid w:val="009E3DD4"/>
    <w:rsid w:val="009E4B9E"/>
    <w:rsid w:val="009E4C6D"/>
    <w:rsid w:val="009E63DB"/>
    <w:rsid w:val="009E65A6"/>
    <w:rsid w:val="009E6779"/>
    <w:rsid w:val="009E6DBE"/>
    <w:rsid w:val="009E720E"/>
    <w:rsid w:val="009E728A"/>
    <w:rsid w:val="009E7412"/>
    <w:rsid w:val="009E75BB"/>
    <w:rsid w:val="009E7F01"/>
    <w:rsid w:val="009F02C1"/>
    <w:rsid w:val="009F0C28"/>
    <w:rsid w:val="009F0F33"/>
    <w:rsid w:val="009F107D"/>
    <w:rsid w:val="009F16B9"/>
    <w:rsid w:val="009F27D8"/>
    <w:rsid w:val="009F295E"/>
    <w:rsid w:val="009F2D46"/>
    <w:rsid w:val="009F41B8"/>
    <w:rsid w:val="009F4316"/>
    <w:rsid w:val="009F4488"/>
    <w:rsid w:val="009F4600"/>
    <w:rsid w:val="009F4749"/>
    <w:rsid w:val="009F494B"/>
    <w:rsid w:val="009F4C4F"/>
    <w:rsid w:val="009F4D2D"/>
    <w:rsid w:val="009F50F1"/>
    <w:rsid w:val="009F5301"/>
    <w:rsid w:val="009F5D4A"/>
    <w:rsid w:val="009F62B1"/>
    <w:rsid w:val="009F64D5"/>
    <w:rsid w:val="009F67AA"/>
    <w:rsid w:val="009F6A42"/>
    <w:rsid w:val="009F7717"/>
    <w:rsid w:val="009F78A4"/>
    <w:rsid w:val="009F7E2A"/>
    <w:rsid w:val="009F7E64"/>
    <w:rsid w:val="00A00F06"/>
    <w:rsid w:val="00A012FF"/>
    <w:rsid w:val="00A013C6"/>
    <w:rsid w:val="00A01457"/>
    <w:rsid w:val="00A017B0"/>
    <w:rsid w:val="00A01EC4"/>
    <w:rsid w:val="00A028E7"/>
    <w:rsid w:val="00A042C3"/>
    <w:rsid w:val="00A0489B"/>
    <w:rsid w:val="00A061D9"/>
    <w:rsid w:val="00A06573"/>
    <w:rsid w:val="00A069E9"/>
    <w:rsid w:val="00A06A26"/>
    <w:rsid w:val="00A06DA3"/>
    <w:rsid w:val="00A06DAA"/>
    <w:rsid w:val="00A072E6"/>
    <w:rsid w:val="00A078F0"/>
    <w:rsid w:val="00A07DD1"/>
    <w:rsid w:val="00A103EC"/>
    <w:rsid w:val="00A10C5E"/>
    <w:rsid w:val="00A11252"/>
    <w:rsid w:val="00A116CB"/>
    <w:rsid w:val="00A11714"/>
    <w:rsid w:val="00A119F8"/>
    <w:rsid w:val="00A12A5A"/>
    <w:rsid w:val="00A137A3"/>
    <w:rsid w:val="00A138C3"/>
    <w:rsid w:val="00A13BB9"/>
    <w:rsid w:val="00A13FDB"/>
    <w:rsid w:val="00A1414E"/>
    <w:rsid w:val="00A14AD1"/>
    <w:rsid w:val="00A14FF9"/>
    <w:rsid w:val="00A15294"/>
    <w:rsid w:val="00A15416"/>
    <w:rsid w:val="00A157A5"/>
    <w:rsid w:val="00A15A80"/>
    <w:rsid w:val="00A15A9E"/>
    <w:rsid w:val="00A15AAD"/>
    <w:rsid w:val="00A1608E"/>
    <w:rsid w:val="00A20003"/>
    <w:rsid w:val="00A208E5"/>
    <w:rsid w:val="00A20B32"/>
    <w:rsid w:val="00A21D68"/>
    <w:rsid w:val="00A21DB1"/>
    <w:rsid w:val="00A2227B"/>
    <w:rsid w:val="00A22765"/>
    <w:rsid w:val="00A22978"/>
    <w:rsid w:val="00A22AA0"/>
    <w:rsid w:val="00A238CC"/>
    <w:rsid w:val="00A23FC8"/>
    <w:rsid w:val="00A24501"/>
    <w:rsid w:val="00A246D6"/>
    <w:rsid w:val="00A24CE9"/>
    <w:rsid w:val="00A264B4"/>
    <w:rsid w:val="00A267E4"/>
    <w:rsid w:val="00A2696E"/>
    <w:rsid w:val="00A26D12"/>
    <w:rsid w:val="00A26D33"/>
    <w:rsid w:val="00A270E3"/>
    <w:rsid w:val="00A27285"/>
    <w:rsid w:val="00A3001E"/>
    <w:rsid w:val="00A30D10"/>
    <w:rsid w:val="00A31495"/>
    <w:rsid w:val="00A31898"/>
    <w:rsid w:val="00A32F3B"/>
    <w:rsid w:val="00A335B3"/>
    <w:rsid w:val="00A33977"/>
    <w:rsid w:val="00A33B14"/>
    <w:rsid w:val="00A33CC6"/>
    <w:rsid w:val="00A346CC"/>
    <w:rsid w:val="00A348AD"/>
    <w:rsid w:val="00A34C04"/>
    <w:rsid w:val="00A34D78"/>
    <w:rsid w:val="00A35190"/>
    <w:rsid w:val="00A3559E"/>
    <w:rsid w:val="00A35D0A"/>
    <w:rsid w:val="00A36FC6"/>
    <w:rsid w:val="00A3748C"/>
    <w:rsid w:val="00A3785D"/>
    <w:rsid w:val="00A405AC"/>
    <w:rsid w:val="00A40BC5"/>
    <w:rsid w:val="00A40DA8"/>
    <w:rsid w:val="00A40FFA"/>
    <w:rsid w:val="00A4134B"/>
    <w:rsid w:val="00A41768"/>
    <w:rsid w:val="00A41A14"/>
    <w:rsid w:val="00A41D43"/>
    <w:rsid w:val="00A41E26"/>
    <w:rsid w:val="00A41E98"/>
    <w:rsid w:val="00A423E4"/>
    <w:rsid w:val="00A427CA"/>
    <w:rsid w:val="00A43281"/>
    <w:rsid w:val="00A4332A"/>
    <w:rsid w:val="00A4340D"/>
    <w:rsid w:val="00A4397B"/>
    <w:rsid w:val="00A439BD"/>
    <w:rsid w:val="00A43D21"/>
    <w:rsid w:val="00A44841"/>
    <w:rsid w:val="00A46548"/>
    <w:rsid w:val="00A4667E"/>
    <w:rsid w:val="00A46B44"/>
    <w:rsid w:val="00A47A04"/>
    <w:rsid w:val="00A502F4"/>
    <w:rsid w:val="00A50E32"/>
    <w:rsid w:val="00A51012"/>
    <w:rsid w:val="00A52252"/>
    <w:rsid w:val="00A522A4"/>
    <w:rsid w:val="00A52B4F"/>
    <w:rsid w:val="00A53009"/>
    <w:rsid w:val="00A5340D"/>
    <w:rsid w:val="00A5362D"/>
    <w:rsid w:val="00A53E36"/>
    <w:rsid w:val="00A5407A"/>
    <w:rsid w:val="00A55662"/>
    <w:rsid w:val="00A55974"/>
    <w:rsid w:val="00A559F3"/>
    <w:rsid w:val="00A55F43"/>
    <w:rsid w:val="00A5762B"/>
    <w:rsid w:val="00A57D73"/>
    <w:rsid w:val="00A600F3"/>
    <w:rsid w:val="00A6031D"/>
    <w:rsid w:val="00A60B21"/>
    <w:rsid w:val="00A6132D"/>
    <w:rsid w:val="00A6138A"/>
    <w:rsid w:val="00A61761"/>
    <w:rsid w:val="00A61FF4"/>
    <w:rsid w:val="00A62297"/>
    <w:rsid w:val="00A629C7"/>
    <w:rsid w:val="00A62C43"/>
    <w:rsid w:val="00A62EAE"/>
    <w:rsid w:val="00A633B3"/>
    <w:rsid w:val="00A6360D"/>
    <w:rsid w:val="00A64050"/>
    <w:rsid w:val="00A64C30"/>
    <w:rsid w:val="00A6517F"/>
    <w:rsid w:val="00A65946"/>
    <w:rsid w:val="00A65EC1"/>
    <w:rsid w:val="00A6641E"/>
    <w:rsid w:val="00A6709B"/>
    <w:rsid w:val="00A672DF"/>
    <w:rsid w:val="00A675D7"/>
    <w:rsid w:val="00A67B49"/>
    <w:rsid w:val="00A67E29"/>
    <w:rsid w:val="00A7016C"/>
    <w:rsid w:val="00A7038D"/>
    <w:rsid w:val="00A7059B"/>
    <w:rsid w:val="00A712B9"/>
    <w:rsid w:val="00A716BB"/>
    <w:rsid w:val="00A71B53"/>
    <w:rsid w:val="00A71C3C"/>
    <w:rsid w:val="00A71C7B"/>
    <w:rsid w:val="00A72A14"/>
    <w:rsid w:val="00A72D4B"/>
    <w:rsid w:val="00A732F2"/>
    <w:rsid w:val="00A73356"/>
    <w:rsid w:val="00A73483"/>
    <w:rsid w:val="00A7489B"/>
    <w:rsid w:val="00A749BD"/>
    <w:rsid w:val="00A753A7"/>
    <w:rsid w:val="00A7543B"/>
    <w:rsid w:val="00A75CF2"/>
    <w:rsid w:val="00A76942"/>
    <w:rsid w:val="00A76C18"/>
    <w:rsid w:val="00A76C8E"/>
    <w:rsid w:val="00A76F08"/>
    <w:rsid w:val="00A7712F"/>
    <w:rsid w:val="00A775EC"/>
    <w:rsid w:val="00A77CFB"/>
    <w:rsid w:val="00A801BE"/>
    <w:rsid w:val="00A805EB"/>
    <w:rsid w:val="00A80EDC"/>
    <w:rsid w:val="00A80FAE"/>
    <w:rsid w:val="00A81255"/>
    <w:rsid w:val="00A82ADA"/>
    <w:rsid w:val="00A82C0E"/>
    <w:rsid w:val="00A8335F"/>
    <w:rsid w:val="00A835C7"/>
    <w:rsid w:val="00A838A2"/>
    <w:rsid w:val="00A83A1E"/>
    <w:rsid w:val="00A83EEF"/>
    <w:rsid w:val="00A83EF8"/>
    <w:rsid w:val="00A84CF5"/>
    <w:rsid w:val="00A84E56"/>
    <w:rsid w:val="00A859C1"/>
    <w:rsid w:val="00A85E4E"/>
    <w:rsid w:val="00A87181"/>
    <w:rsid w:val="00A873C4"/>
    <w:rsid w:val="00A876FA"/>
    <w:rsid w:val="00A87FAA"/>
    <w:rsid w:val="00A90058"/>
    <w:rsid w:val="00A906C7"/>
    <w:rsid w:val="00A90E18"/>
    <w:rsid w:val="00A90E49"/>
    <w:rsid w:val="00A91535"/>
    <w:rsid w:val="00A91D8B"/>
    <w:rsid w:val="00A91F41"/>
    <w:rsid w:val="00A9304D"/>
    <w:rsid w:val="00A94337"/>
    <w:rsid w:val="00A9489F"/>
    <w:rsid w:val="00A94D02"/>
    <w:rsid w:val="00A94EFC"/>
    <w:rsid w:val="00A9517E"/>
    <w:rsid w:val="00A96093"/>
    <w:rsid w:val="00AA0420"/>
    <w:rsid w:val="00AA0A8E"/>
    <w:rsid w:val="00AA0CC9"/>
    <w:rsid w:val="00AA1610"/>
    <w:rsid w:val="00AA3195"/>
    <w:rsid w:val="00AA35EA"/>
    <w:rsid w:val="00AA366F"/>
    <w:rsid w:val="00AA37C6"/>
    <w:rsid w:val="00AA3C7B"/>
    <w:rsid w:val="00AA3F55"/>
    <w:rsid w:val="00AA4EDB"/>
    <w:rsid w:val="00AA5B35"/>
    <w:rsid w:val="00AA5DEE"/>
    <w:rsid w:val="00AA6031"/>
    <w:rsid w:val="00AA69AC"/>
    <w:rsid w:val="00AA6F69"/>
    <w:rsid w:val="00AA70D3"/>
    <w:rsid w:val="00AA74CA"/>
    <w:rsid w:val="00AA7601"/>
    <w:rsid w:val="00AA791A"/>
    <w:rsid w:val="00AA7C63"/>
    <w:rsid w:val="00AB0049"/>
    <w:rsid w:val="00AB05DD"/>
    <w:rsid w:val="00AB0998"/>
    <w:rsid w:val="00AB1094"/>
    <w:rsid w:val="00AB1470"/>
    <w:rsid w:val="00AB1D91"/>
    <w:rsid w:val="00AB1EB2"/>
    <w:rsid w:val="00AB1EDE"/>
    <w:rsid w:val="00AB22DC"/>
    <w:rsid w:val="00AB2508"/>
    <w:rsid w:val="00AB2759"/>
    <w:rsid w:val="00AB2F6C"/>
    <w:rsid w:val="00AB36EB"/>
    <w:rsid w:val="00AB3A75"/>
    <w:rsid w:val="00AB3F40"/>
    <w:rsid w:val="00AB41F1"/>
    <w:rsid w:val="00AB425F"/>
    <w:rsid w:val="00AB45D7"/>
    <w:rsid w:val="00AB4D68"/>
    <w:rsid w:val="00AB4D6F"/>
    <w:rsid w:val="00AB51B7"/>
    <w:rsid w:val="00AB57A3"/>
    <w:rsid w:val="00AB5837"/>
    <w:rsid w:val="00AB5EE3"/>
    <w:rsid w:val="00AB5FF2"/>
    <w:rsid w:val="00AB6477"/>
    <w:rsid w:val="00AB7008"/>
    <w:rsid w:val="00AB72DA"/>
    <w:rsid w:val="00AB75AB"/>
    <w:rsid w:val="00AB7622"/>
    <w:rsid w:val="00AB7C52"/>
    <w:rsid w:val="00AC0068"/>
    <w:rsid w:val="00AC00B2"/>
    <w:rsid w:val="00AC03EF"/>
    <w:rsid w:val="00AC06DB"/>
    <w:rsid w:val="00AC0A85"/>
    <w:rsid w:val="00AC110F"/>
    <w:rsid w:val="00AC15CE"/>
    <w:rsid w:val="00AC17D6"/>
    <w:rsid w:val="00AC1994"/>
    <w:rsid w:val="00AC19AD"/>
    <w:rsid w:val="00AC1BFF"/>
    <w:rsid w:val="00AC322B"/>
    <w:rsid w:val="00AC34FC"/>
    <w:rsid w:val="00AC3B2A"/>
    <w:rsid w:val="00AC3D30"/>
    <w:rsid w:val="00AC41B5"/>
    <w:rsid w:val="00AC4B93"/>
    <w:rsid w:val="00AC5073"/>
    <w:rsid w:val="00AC5577"/>
    <w:rsid w:val="00AC563D"/>
    <w:rsid w:val="00AC572E"/>
    <w:rsid w:val="00AC5912"/>
    <w:rsid w:val="00AC5ED6"/>
    <w:rsid w:val="00AC5FA8"/>
    <w:rsid w:val="00AC614B"/>
    <w:rsid w:val="00AC7443"/>
    <w:rsid w:val="00AC7A9C"/>
    <w:rsid w:val="00AD001B"/>
    <w:rsid w:val="00AD05EA"/>
    <w:rsid w:val="00AD06C0"/>
    <w:rsid w:val="00AD0A69"/>
    <w:rsid w:val="00AD0BA6"/>
    <w:rsid w:val="00AD13C1"/>
    <w:rsid w:val="00AD16D5"/>
    <w:rsid w:val="00AD2344"/>
    <w:rsid w:val="00AD29E7"/>
    <w:rsid w:val="00AD31D4"/>
    <w:rsid w:val="00AD3A47"/>
    <w:rsid w:val="00AD3E0E"/>
    <w:rsid w:val="00AD41FB"/>
    <w:rsid w:val="00AD43A2"/>
    <w:rsid w:val="00AD46A9"/>
    <w:rsid w:val="00AD4BE7"/>
    <w:rsid w:val="00AD5644"/>
    <w:rsid w:val="00AD57E1"/>
    <w:rsid w:val="00AD5E96"/>
    <w:rsid w:val="00AD60E4"/>
    <w:rsid w:val="00AD624B"/>
    <w:rsid w:val="00AD64BC"/>
    <w:rsid w:val="00AD6A17"/>
    <w:rsid w:val="00AD778B"/>
    <w:rsid w:val="00AD7CFA"/>
    <w:rsid w:val="00AD7D37"/>
    <w:rsid w:val="00AE0B72"/>
    <w:rsid w:val="00AE0DA6"/>
    <w:rsid w:val="00AE0E17"/>
    <w:rsid w:val="00AE0FA2"/>
    <w:rsid w:val="00AE112D"/>
    <w:rsid w:val="00AE16E1"/>
    <w:rsid w:val="00AE1FC0"/>
    <w:rsid w:val="00AE2B9C"/>
    <w:rsid w:val="00AE35B5"/>
    <w:rsid w:val="00AE3EDB"/>
    <w:rsid w:val="00AE3F7E"/>
    <w:rsid w:val="00AE413A"/>
    <w:rsid w:val="00AE4975"/>
    <w:rsid w:val="00AE52A4"/>
    <w:rsid w:val="00AE5739"/>
    <w:rsid w:val="00AE5D31"/>
    <w:rsid w:val="00AE6404"/>
    <w:rsid w:val="00AE657B"/>
    <w:rsid w:val="00AE671E"/>
    <w:rsid w:val="00AE69FB"/>
    <w:rsid w:val="00AE6C28"/>
    <w:rsid w:val="00AE6DB6"/>
    <w:rsid w:val="00AE7166"/>
    <w:rsid w:val="00AE764A"/>
    <w:rsid w:val="00AE7E03"/>
    <w:rsid w:val="00AF0BE6"/>
    <w:rsid w:val="00AF11E6"/>
    <w:rsid w:val="00AF12A7"/>
    <w:rsid w:val="00AF1663"/>
    <w:rsid w:val="00AF1720"/>
    <w:rsid w:val="00AF1DA1"/>
    <w:rsid w:val="00AF2767"/>
    <w:rsid w:val="00AF2942"/>
    <w:rsid w:val="00AF2C81"/>
    <w:rsid w:val="00AF3225"/>
    <w:rsid w:val="00AF3692"/>
    <w:rsid w:val="00AF4BBB"/>
    <w:rsid w:val="00AF4F45"/>
    <w:rsid w:val="00AF53B0"/>
    <w:rsid w:val="00AF5A0B"/>
    <w:rsid w:val="00AF6A14"/>
    <w:rsid w:val="00AF7114"/>
    <w:rsid w:val="00AF798E"/>
    <w:rsid w:val="00B00967"/>
    <w:rsid w:val="00B0128B"/>
    <w:rsid w:val="00B0156E"/>
    <w:rsid w:val="00B0179B"/>
    <w:rsid w:val="00B017D2"/>
    <w:rsid w:val="00B019BC"/>
    <w:rsid w:val="00B01A73"/>
    <w:rsid w:val="00B023EB"/>
    <w:rsid w:val="00B02E5D"/>
    <w:rsid w:val="00B03609"/>
    <w:rsid w:val="00B0372E"/>
    <w:rsid w:val="00B0394B"/>
    <w:rsid w:val="00B04018"/>
    <w:rsid w:val="00B046ED"/>
    <w:rsid w:val="00B05356"/>
    <w:rsid w:val="00B05733"/>
    <w:rsid w:val="00B05C8F"/>
    <w:rsid w:val="00B05E9A"/>
    <w:rsid w:val="00B0678D"/>
    <w:rsid w:val="00B067D8"/>
    <w:rsid w:val="00B06CC3"/>
    <w:rsid w:val="00B06F18"/>
    <w:rsid w:val="00B070D8"/>
    <w:rsid w:val="00B07A19"/>
    <w:rsid w:val="00B103D8"/>
    <w:rsid w:val="00B10D53"/>
    <w:rsid w:val="00B10E5B"/>
    <w:rsid w:val="00B11007"/>
    <w:rsid w:val="00B116AC"/>
    <w:rsid w:val="00B12053"/>
    <w:rsid w:val="00B12161"/>
    <w:rsid w:val="00B123E6"/>
    <w:rsid w:val="00B12941"/>
    <w:rsid w:val="00B12A01"/>
    <w:rsid w:val="00B12B9B"/>
    <w:rsid w:val="00B13FFA"/>
    <w:rsid w:val="00B143D8"/>
    <w:rsid w:val="00B15D05"/>
    <w:rsid w:val="00B165FF"/>
    <w:rsid w:val="00B16678"/>
    <w:rsid w:val="00B16BF0"/>
    <w:rsid w:val="00B16E8D"/>
    <w:rsid w:val="00B171CF"/>
    <w:rsid w:val="00B176EC"/>
    <w:rsid w:val="00B17BFE"/>
    <w:rsid w:val="00B2016F"/>
    <w:rsid w:val="00B208D1"/>
    <w:rsid w:val="00B23A75"/>
    <w:rsid w:val="00B23D86"/>
    <w:rsid w:val="00B23E19"/>
    <w:rsid w:val="00B2467E"/>
    <w:rsid w:val="00B24AB8"/>
    <w:rsid w:val="00B25133"/>
    <w:rsid w:val="00B25A9F"/>
    <w:rsid w:val="00B25BB6"/>
    <w:rsid w:val="00B26122"/>
    <w:rsid w:val="00B267F7"/>
    <w:rsid w:val="00B26D87"/>
    <w:rsid w:val="00B278F9"/>
    <w:rsid w:val="00B27B7B"/>
    <w:rsid w:val="00B3027A"/>
    <w:rsid w:val="00B30440"/>
    <w:rsid w:val="00B30542"/>
    <w:rsid w:val="00B30DC3"/>
    <w:rsid w:val="00B31AAC"/>
    <w:rsid w:val="00B3224D"/>
    <w:rsid w:val="00B32873"/>
    <w:rsid w:val="00B32B4B"/>
    <w:rsid w:val="00B337D2"/>
    <w:rsid w:val="00B33ED3"/>
    <w:rsid w:val="00B34FA9"/>
    <w:rsid w:val="00B350F3"/>
    <w:rsid w:val="00B35791"/>
    <w:rsid w:val="00B357BE"/>
    <w:rsid w:val="00B35FC2"/>
    <w:rsid w:val="00B3619B"/>
    <w:rsid w:val="00B36681"/>
    <w:rsid w:val="00B36839"/>
    <w:rsid w:val="00B36EB4"/>
    <w:rsid w:val="00B36F29"/>
    <w:rsid w:val="00B378B2"/>
    <w:rsid w:val="00B40007"/>
    <w:rsid w:val="00B4053E"/>
    <w:rsid w:val="00B405B6"/>
    <w:rsid w:val="00B40835"/>
    <w:rsid w:val="00B409A5"/>
    <w:rsid w:val="00B409BB"/>
    <w:rsid w:val="00B40B03"/>
    <w:rsid w:val="00B40E0E"/>
    <w:rsid w:val="00B40FE2"/>
    <w:rsid w:val="00B412C7"/>
    <w:rsid w:val="00B41AA1"/>
    <w:rsid w:val="00B41EB6"/>
    <w:rsid w:val="00B42154"/>
    <w:rsid w:val="00B42224"/>
    <w:rsid w:val="00B425B2"/>
    <w:rsid w:val="00B42C82"/>
    <w:rsid w:val="00B42ED3"/>
    <w:rsid w:val="00B43B80"/>
    <w:rsid w:val="00B43E16"/>
    <w:rsid w:val="00B4407B"/>
    <w:rsid w:val="00B44AAA"/>
    <w:rsid w:val="00B4601F"/>
    <w:rsid w:val="00B46097"/>
    <w:rsid w:val="00B46926"/>
    <w:rsid w:val="00B469EB"/>
    <w:rsid w:val="00B46BBC"/>
    <w:rsid w:val="00B471EF"/>
    <w:rsid w:val="00B472FE"/>
    <w:rsid w:val="00B47344"/>
    <w:rsid w:val="00B476E4"/>
    <w:rsid w:val="00B47C63"/>
    <w:rsid w:val="00B5070A"/>
    <w:rsid w:val="00B508EB"/>
    <w:rsid w:val="00B514E6"/>
    <w:rsid w:val="00B52465"/>
    <w:rsid w:val="00B5334B"/>
    <w:rsid w:val="00B53CAA"/>
    <w:rsid w:val="00B54191"/>
    <w:rsid w:val="00B54305"/>
    <w:rsid w:val="00B54FE5"/>
    <w:rsid w:val="00B5544B"/>
    <w:rsid w:val="00B5566B"/>
    <w:rsid w:val="00B56CEF"/>
    <w:rsid w:val="00B570D6"/>
    <w:rsid w:val="00B576DC"/>
    <w:rsid w:val="00B5791C"/>
    <w:rsid w:val="00B57C1E"/>
    <w:rsid w:val="00B6007E"/>
    <w:rsid w:val="00B60F8E"/>
    <w:rsid w:val="00B61726"/>
    <w:rsid w:val="00B62224"/>
    <w:rsid w:val="00B62348"/>
    <w:rsid w:val="00B623F0"/>
    <w:rsid w:val="00B62B6C"/>
    <w:rsid w:val="00B62E02"/>
    <w:rsid w:val="00B63E6A"/>
    <w:rsid w:val="00B642BD"/>
    <w:rsid w:val="00B649FD"/>
    <w:rsid w:val="00B64C98"/>
    <w:rsid w:val="00B651C0"/>
    <w:rsid w:val="00B653F5"/>
    <w:rsid w:val="00B656FF"/>
    <w:rsid w:val="00B66014"/>
    <w:rsid w:val="00B661BB"/>
    <w:rsid w:val="00B6685A"/>
    <w:rsid w:val="00B66B0D"/>
    <w:rsid w:val="00B66E33"/>
    <w:rsid w:val="00B674B7"/>
    <w:rsid w:val="00B674D5"/>
    <w:rsid w:val="00B70573"/>
    <w:rsid w:val="00B70793"/>
    <w:rsid w:val="00B70918"/>
    <w:rsid w:val="00B71274"/>
    <w:rsid w:val="00B7134D"/>
    <w:rsid w:val="00B71986"/>
    <w:rsid w:val="00B71FC5"/>
    <w:rsid w:val="00B729C9"/>
    <w:rsid w:val="00B72C3D"/>
    <w:rsid w:val="00B7323F"/>
    <w:rsid w:val="00B7354D"/>
    <w:rsid w:val="00B73EEC"/>
    <w:rsid w:val="00B74D28"/>
    <w:rsid w:val="00B753C8"/>
    <w:rsid w:val="00B756EF"/>
    <w:rsid w:val="00B7592B"/>
    <w:rsid w:val="00B75B31"/>
    <w:rsid w:val="00B75E21"/>
    <w:rsid w:val="00B765E8"/>
    <w:rsid w:val="00B76697"/>
    <w:rsid w:val="00B76870"/>
    <w:rsid w:val="00B76CA9"/>
    <w:rsid w:val="00B76D37"/>
    <w:rsid w:val="00B77216"/>
    <w:rsid w:val="00B775D6"/>
    <w:rsid w:val="00B77997"/>
    <w:rsid w:val="00B77A8E"/>
    <w:rsid w:val="00B80266"/>
    <w:rsid w:val="00B8055D"/>
    <w:rsid w:val="00B80699"/>
    <w:rsid w:val="00B8094F"/>
    <w:rsid w:val="00B80AEB"/>
    <w:rsid w:val="00B80B5F"/>
    <w:rsid w:val="00B816F1"/>
    <w:rsid w:val="00B819E8"/>
    <w:rsid w:val="00B81D59"/>
    <w:rsid w:val="00B823D4"/>
    <w:rsid w:val="00B825F2"/>
    <w:rsid w:val="00B834C4"/>
    <w:rsid w:val="00B83C1C"/>
    <w:rsid w:val="00B83C7B"/>
    <w:rsid w:val="00B83FE8"/>
    <w:rsid w:val="00B84547"/>
    <w:rsid w:val="00B84651"/>
    <w:rsid w:val="00B846DA"/>
    <w:rsid w:val="00B84A45"/>
    <w:rsid w:val="00B8525C"/>
    <w:rsid w:val="00B8534D"/>
    <w:rsid w:val="00B85BD2"/>
    <w:rsid w:val="00B86BC9"/>
    <w:rsid w:val="00B86E1C"/>
    <w:rsid w:val="00B87AE8"/>
    <w:rsid w:val="00B87BD1"/>
    <w:rsid w:val="00B87E24"/>
    <w:rsid w:val="00B87F2E"/>
    <w:rsid w:val="00B90637"/>
    <w:rsid w:val="00B90A4A"/>
    <w:rsid w:val="00B90E0F"/>
    <w:rsid w:val="00B91903"/>
    <w:rsid w:val="00B9349A"/>
    <w:rsid w:val="00B94C66"/>
    <w:rsid w:val="00B94E4C"/>
    <w:rsid w:val="00B94EF1"/>
    <w:rsid w:val="00B9530E"/>
    <w:rsid w:val="00B9542F"/>
    <w:rsid w:val="00B95571"/>
    <w:rsid w:val="00B95DE0"/>
    <w:rsid w:val="00BA0935"/>
    <w:rsid w:val="00BA0AD2"/>
    <w:rsid w:val="00BA0F43"/>
    <w:rsid w:val="00BA0FFD"/>
    <w:rsid w:val="00BA10BC"/>
    <w:rsid w:val="00BA131B"/>
    <w:rsid w:val="00BA13E6"/>
    <w:rsid w:val="00BA163A"/>
    <w:rsid w:val="00BA18F5"/>
    <w:rsid w:val="00BA1F3B"/>
    <w:rsid w:val="00BA2BC2"/>
    <w:rsid w:val="00BA2DDD"/>
    <w:rsid w:val="00BA3165"/>
    <w:rsid w:val="00BA3177"/>
    <w:rsid w:val="00BA3D5D"/>
    <w:rsid w:val="00BA3E85"/>
    <w:rsid w:val="00BA3FA0"/>
    <w:rsid w:val="00BA4526"/>
    <w:rsid w:val="00BA4DC4"/>
    <w:rsid w:val="00BA4EAF"/>
    <w:rsid w:val="00BA4F49"/>
    <w:rsid w:val="00BA5165"/>
    <w:rsid w:val="00BA52C2"/>
    <w:rsid w:val="00BA5D44"/>
    <w:rsid w:val="00BA638D"/>
    <w:rsid w:val="00BA683E"/>
    <w:rsid w:val="00BA6998"/>
    <w:rsid w:val="00BA6FE7"/>
    <w:rsid w:val="00BA7715"/>
    <w:rsid w:val="00BA7AA4"/>
    <w:rsid w:val="00BA7FAA"/>
    <w:rsid w:val="00BB012A"/>
    <w:rsid w:val="00BB0143"/>
    <w:rsid w:val="00BB0E02"/>
    <w:rsid w:val="00BB1412"/>
    <w:rsid w:val="00BB1725"/>
    <w:rsid w:val="00BB1C48"/>
    <w:rsid w:val="00BB1D47"/>
    <w:rsid w:val="00BB1E4C"/>
    <w:rsid w:val="00BB1E92"/>
    <w:rsid w:val="00BB1FC1"/>
    <w:rsid w:val="00BB2110"/>
    <w:rsid w:val="00BB2AB8"/>
    <w:rsid w:val="00BB2ADC"/>
    <w:rsid w:val="00BB2FBA"/>
    <w:rsid w:val="00BB328B"/>
    <w:rsid w:val="00BB33E5"/>
    <w:rsid w:val="00BB3423"/>
    <w:rsid w:val="00BB3556"/>
    <w:rsid w:val="00BB43D6"/>
    <w:rsid w:val="00BB4541"/>
    <w:rsid w:val="00BB4954"/>
    <w:rsid w:val="00BB4A2C"/>
    <w:rsid w:val="00BB5623"/>
    <w:rsid w:val="00BB57D3"/>
    <w:rsid w:val="00BB59B5"/>
    <w:rsid w:val="00BB61CA"/>
    <w:rsid w:val="00BB6481"/>
    <w:rsid w:val="00BB66CB"/>
    <w:rsid w:val="00BB6794"/>
    <w:rsid w:val="00BB7838"/>
    <w:rsid w:val="00BB7E78"/>
    <w:rsid w:val="00BC0A8A"/>
    <w:rsid w:val="00BC0E25"/>
    <w:rsid w:val="00BC1247"/>
    <w:rsid w:val="00BC2071"/>
    <w:rsid w:val="00BC218E"/>
    <w:rsid w:val="00BC2316"/>
    <w:rsid w:val="00BC2C96"/>
    <w:rsid w:val="00BC32E8"/>
    <w:rsid w:val="00BC372C"/>
    <w:rsid w:val="00BC39BC"/>
    <w:rsid w:val="00BC39DC"/>
    <w:rsid w:val="00BC430A"/>
    <w:rsid w:val="00BC4B4E"/>
    <w:rsid w:val="00BC4F8E"/>
    <w:rsid w:val="00BC5018"/>
    <w:rsid w:val="00BC5184"/>
    <w:rsid w:val="00BC5B19"/>
    <w:rsid w:val="00BC614A"/>
    <w:rsid w:val="00BC70B1"/>
    <w:rsid w:val="00BC74E0"/>
    <w:rsid w:val="00BC78C6"/>
    <w:rsid w:val="00BC7A41"/>
    <w:rsid w:val="00BC7D8D"/>
    <w:rsid w:val="00BD0781"/>
    <w:rsid w:val="00BD0A9C"/>
    <w:rsid w:val="00BD0F28"/>
    <w:rsid w:val="00BD138E"/>
    <w:rsid w:val="00BD167B"/>
    <w:rsid w:val="00BD1724"/>
    <w:rsid w:val="00BD1DAB"/>
    <w:rsid w:val="00BD1E18"/>
    <w:rsid w:val="00BD242B"/>
    <w:rsid w:val="00BD2EB0"/>
    <w:rsid w:val="00BD2F1C"/>
    <w:rsid w:val="00BD2FC6"/>
    <w:rsid w:val="00BD3CE8"/>
    <w:rsid w:val="00BD3D20"/>
    <w:rsid w:val="00BD4186"/>
    <w:rsid w:val="00BD4512"/>
    <w:rsid w:val="00BD4A57"/>
    <w:rsid w:val="00BD4E57"/>
    <w:rsid w:val="00BD53A9"/>
    <w:rsid w:val="00BD57B2"/>
    <w:rsid w:val="00BD5A2B"/>
    <w:rsid w:val="00BD5FA5"/>
    <w:rsid w:val="00BD60EA"/>
    <w:rsid w:val="00BD639B"/>
    <w:rsid w:val="00BD688C"/>
    <w:rsid w:val="00BD6E2B"/>
    <w:rsid w:val="00BD701B"/>
    <w:rsid w:val="00BD70D5"/>
    <w:rsid w:val="00BD7D70"/>
    <w:rsid w:val="00BE0E6D"/>
    <w:rsid w:val="00BE16E6"/>
    <w:rsid w:val="00BE1DFA"/>
    <w:rsid w:val="00BE23B1"/>
    <w:rsid w:val="00BE26FB"/>
    <w:rsid w:val="00BE2911"/>
    <w:rsid w:val="00BE2C02"/>
    <w:rsid w:val="00BE2C2A"/>
    <w:rsid w:val="00BE322E"/>
    <w:rsid w:val="00BE335E"/>
    <w:rsid w:val="00BE43CD"/>
    <w:rsid w:val="00BE44B0"/>
    <w:rsid w:val="00BE4887"/>
    <w:rsid w:val="00BE52F3"/>
    <w:rsid w:val="00BE557E"/>
    <w:rsid w:val="00BE5D4D"/>
    <w:rsid w:val="00BE6248"/>
    <w:rsid w:val="00BE6CFB"/>
    <w:rsid w:val="00BE6F2F"/>
    <w:rsid w:val="00BE73C8"/>
    <w:rsid w:val="00BE74A5"/>
    <w:rsid w:val="00BE7C80"/>
    <w:rsid w:val="00BF001D"/>
    <w:rsid w:val="00BF031A"/>
    <w:rsid w:val="00BF06F7"/>
    <w:rsid w:val="00BF079B"/>
    <w:rsid w:val="00BF0C89"/>
    <w:rsid w:val="00BF17FB"/>
    <w:rsid w:val="00BF183A"/>
    <w:rsid w:val="00BF1928"/>
    <w:rsid w:val="00BF1942"/>
    <w:rsid w:val="00BF1A4E"/>
    <w:rsid w:val="00BF1E63"/>
    <w:rsid w:val="00BF1ED6"/>
    <w:rsid w:val="00BF2144"/>
    <w:rsid w:val="00BF2614"/>
    <w:rsid w:val="00BF26F7"/>
    <w:rsid w:val="00BF28DE"/>
    <w:rsid w:val="00BF2F0C"/>
    <w:rsid w:val="00BF326A"/>
    <w:rsid w:val="00BF33A8"/>
    <w:rsid w:val="00BF374F"/>
    <w:rsid w:val="00BF4359"/>
    <w:rsid w:val="00BF4523"/>
    <w:rsid w:val="00BF519F"/>
    <w:rsid w:val="00BF5247"/>
    <w:rsid w:val="00BF575F"/>
    <w:rsid w:val="00BF62D7"/>
    <w:rsid w:val="00BF78C4"/>
    <w:rsid w:val="00BF78EB"/>
    <w:rsid w:val="00C002B6"/>
    <w:rsid w:val="00C0080D"/>
    <w:rsid w:val="00C00CBF"/>
    <w:rsid w:val="00C01217"/>
    <w:rsid w:val="00C01665"/>
    <w:rsid w:val="00C018E1"/>
    <w:rsid w:val="00C01D90"/>
    <w:rsid w:val="00C028F8"/>
    <w:rsid w:val="00C0362B"/>
    <w:rsid w:val="00C03960"/>
    <w:rsid w:val="00C03BA6"/>
    <w:rsid w:val="00C03DDF"/>
    <w:rsid w:val="00C03FEA"/>
    <w:rsid w:val="00C04269"/>
    <w:rsid w:val="00C0487D"/>
    <w:rsid w:val="00C048BB"/>
    <w:rsid w:val="00C04DB5"/>
    <w:rsid w:val="00C054C4"/>
    <w:rsid w:val="00C05C9F"/>
    <w:rsid w:val="00C05CCE"/>
    <w:rsid w:val="00C05E31"/>
    <w:rsid w:val="00C06B40"/>
    <w:rsid w:val="00C1012F"/>
    <w:rsid w:val="00C1039A"/>
    <w:rsid w:val="00C10C37"/>
    <w:rsid w:val="00C10DC8"/>
    <w:rsid w:val="00C10FEB"/>
    <w:rsid w:val="00C11230"/>
    <w:rsid w:val="00C1143C"/>
    <w:rsid w:val="00C11B72"/>
    <w:rsid w:val="00C11C08"/>
    <w:rsid w:val="00C11D72"/>
    <w:rsid w:val="00C12344"/>
    <w:rsid w:val="00C124D6"/>
    <w:rsid w:val="00C125BA"/>
    <w:rsid w:val="00C125EA"/>
    <w:rsid w:val="00C12FC6"/>
    <w:rsid w:val="00C132FB"/>
    <w:rsid w:val="00C133AC"/>
    <w:rsid w:val="00C133D6"/>
    <w:rsid w:val="00C1340B"/>
    <w:rsid w:val="00C13C4B"/>
    <w:rsid w:val="00C149E1"/>
    <w:rsid w:val="00C14ACE"/>
    <w:rsid w:val="00C152FA"/>
    <w:rsid w:val="00C15751"/>
    <w:rsid w:val="00C1587F"/>
    <w:rsid w:val="00C15C5B"/>
    <w:rsid w:val="00C15EAB"/>
    <w:rsid w:val="00C162B1"/>
    <w:rsid w:val="00C16473"/>
    <w:rsid w:val="00C16640"/>
    <w:rsid w:val="00C16672"/>
    <w:rsid w:val="00C167D1"/>
    <w:rsid w:val="00C16BED"/>
    <w:rsid w:val="00C16F7F"/>
    <w:rsid w:val="00C17234"/>
    <w:rsid w:val="00C17338"/>
    <w:rsid w:val="00C175BD"/>
    <w:rsid w:val="00C17659"/>
    <w:rsid w:val="00C176CB"/>
    <w:rsid w:val="00C17D63"/>
    <w:rsid w:val="00C201D1"/>
    <w:rsid w:val="00C2028F"/>
    <w:rsid w:val="00C20CA7"/>
    <w:rsid w:val="00C21244"/>
    <w:rsid w:val="00C21836"/>
    <w:rsid w:val="00C2275F"/>
    <w:rsid w:val="00C22813"/>
    <w:rsid w:val="00C22D10"/>
    <w:rsid w:val="00C2404C"/>
    <w:rsid w:val="00C24647"/>
    <w:rsid w:val="00C24FF7"/>
    <w:rsid w:val="00C255EB"/>
    <w:rsid w:val="00C2598B"/>
    <w:rsid w:val="00C25B69"/>
    <w:rsid w:val="00C26F64"/>
    <w:rsid w:val="00C271D3"/>
    <w:rsid w:val="00C271DE"/>
    <w:rsid w:val="00C27946"/>
    <w:rsid w:val="00C27CFA"/>
    <w:rsid w:val="00C30D04"/>
    <w:rsid w:val="00C31D8E"/>
    <w:rsid w:val="00C32697"/>
    <w:rsid w:val="00C3337F"/>
    <w:rsid w:val="00C34176"/>
    <w:rsid w:val="00C34CA4"/>
    <w:rsid w:val="00C35161"/>
    <w:rsid w:val="00C3549D"/>
    <w:rsid w:val="00C35A78"/>
    <w:rsid w:val="00C35F1A"/>
    <w:rsid w:val="00C35F73"/>
    <w:rsid w:val="00C36167"/>
    <w:rsid w:val="00C361BA"/>
    <w:rsid w:val="00C36718"/>
    <w:rsid w:val="00C36BA8"/>
    <w:rsid w:val="00C36C03"/>
    <w:rsid w:val="00C37418"/>
    <w:rsid w:val="00C40244"/>
    <w:rsid w:val="00C40CAE"/>
    <w:rsid w:val="00C41107"/>
    <w:rsid w:val="00C4132B"/>
    <w:rsid w:val="00C41490"/>
    <w:rsid w:val="00C42B32"/>
    <w:rsid w:val="00C42B4E"/>
    <w:rsid w:val="00C42D15"/>
    <w:rsid w:val="00C43DA2"/>
    <w:rsid w:val="00C44693"/>
    <w:rsid w:val="00C446E5"/>
    <w:rsid w:val="00C44987"/>
    <w:rsid w:val="00C4522F"/>
    <w:rsid w:val="00C45E5B"/>
    <w:rsid w:val="00C4654B"/>
    <w:rsid w:val="00C46EEE"/>
    <w:rsid w:val="00C47038"/>
    <w:rsid w:val="00C47306"/>
    <w:rsid w:val="00C47402"/>
    <w:rsid w:val="00C4789F"/>
    <w:rsid w:val="00C50B54"/>
    <w:rsid w:val="00C50C2F"/>
    <w:rsid w:val="00C50D89"/>
    <w:rsid w:val="00C5160A"/>
    <w:rsid w:val="00C51B71"/>
    <w:rsid w:val="00C51DF8"/>
    <w:rsid w:val="00C51FBC"/>
    <w:rsid w:val="00C52B1A"/>
    <w:rsid w:val="00C52B62"/>
    <w:rsid w:val="00C5353B"/>
    <w:rsid w:val="00C54479"/>
    <w:rsid w:val="00C54745"/>
    <w:rsid w:val="00C54AF7"/>
    <w:rsid w:val="00C54D9C"/>
    <w:rsid w:val="00C54DFE"/>
    <w:rsid w:val="00C54E56"/>
    <w:rsid w:val="00C5619F"/>
    <w:rsid w:val="00C56B33"/>
    <w:rsid w:val="00C56C3A"/>
    <w:rsid w:val="00C60479"/>
    <w:rsid w:val="00C60A25"/>
    <w:rsid w:val="00C60ECD"/>
    <w:rsid w:val="00C61220"/>
    <w:rsid w:val="00C62436"/>
    <w:rsid w:val="00C6273E"/>
    <w:rsid w:val="00C62B1B"/>
    <w:rsid w:val="00C6359B"/>
    <w:rsid w:val="00C63B2D"/>
    <w:rsid w:val="00C63B79"/>
    <w:rsid w:val="00C64165"/>
    <w:rsid w:val="00C643DE"/>
    <w:rsid w:val="00C6512A"/>
    <w:rsid w:val="00C651DE"/>
    <w:rsid w:val="00C65226"/>
    <w:rsid w:val="00C65291"/>
    <w:rsid w:val="00C659B8"/>
    <w:rsid w:val="00C65E14"/>
    <w:rsid w:val="00C66700"/>
    <w:rsid w:val="00C66B04"/>
    <w:rsid w:val="00C66BE5"/>
    <w:rsid w:val="00C66EF5"/>
    <w:rsid w:val="00C672AF"/>
    <w:rsid w:val="00C6753F"/>
    <w:rsid w:val="00C677E8"/>
    <w:rsid w:val="00C67CAB"/>
    <w:rsid w:val="00C70534"/>
    <w:rsid w:val="00C7098D"/>
    <w:rsid w:val="00C70AA5"/>
    <w:rsid w:val="00C7162D"/>
    <w:rsid w:val="00C71707"/>
    <w:rsid w:val="00C717B3"/>
    <w:rsid w:val="00C71A18"/>
    <w:rsid w:val="00C726A0"/>
    <w:rsid w:val="00C728BA"/>
    <w:rsid w:val="00C7319B"/>
    <w:rsid w:val="00C74145"/>
    <w:rsid w:val="00C741BC"/>
    <w:rsid w:val="00C76BA1"/>
    <w:rsid w:val="00C76D3B"/>
    <w:rsid w:val="00C7762C"/>
    <w:rsid w:val="00C80668"/>
    <w:rsid w:val="00C80E1D"/>
    <w:rsid w:val="00C80EE8"/>
    <w:rsid w:val="00C82BCC"/>
    <w:rsid w:val="00C82C3D"/>
    <w:rsid w:val="00C82DD7"/>
    <w:rsid w:val="00C83556"/>
    <w:rsid w:val="00C842B7"/>
    <w:rsid w:val="00C84E56"/>
    <w:rsid w:val="00C84F03"/>
    <w:rsid w:val="00C8533B"/>
    <w:rsid w:val="00C85A65"/>
    <w:rsid w:val="00C85AC0"/>
    <w:rsid w:val="00C85B9F"/>
    <w:rsid w:val="00C85D2A"/>
    <w:rsid w:val="00C863DF"/>
    <w:rsid w:val="00C87011"/>
    <w:rsid w:val="00C87639"/>
    <w:rsid w:val="00C87B36"/>
    <w:rsid w:val="00C87C18"/>
    <w:rsid w:val="00C87DFC"/>
    <w:rsid w:val="00C909DC"/>
    <w:rsid w:val="00C90DA0"/>
    <w:rsid w:val="00C90DF9"/>
    <w:rsid w:val="00C917D5"/>
    <w:rsid w:val="00C92BB7"/>
    <w:rsid w:val="00C92E93"/>
    <w:rsid w:val="00C9312E"/>
    <w:rsid w:val="00C93223"/>
    <w:rsid w:val="00C93BF3"/>
    <w:rsid w:val="00C94580"/>
    <w:rsid w:val="00C9482C"/>
    <w:rsid w:val="00C94C8C"/>
    <w:rsid w:val="00C957E4"/>
    <w:rsid w:val="00C95E42"/>
    <w:rsid w:val="00C96516"/>
    <w:rsid w:val="00C9670F"/>
    <w:rsid w:val="00C96A9B"/>
    <w:rsid w:val="00C9723C"/>
    <w:rsid w:val="00C972A9"/>
    <w:rsid w:val="00C97AF4"/>
    <w:rsid w:val="00CA004D"/>
    <w:rsid w:val="00CA04C6"/>
    <w:rsid w:val="00CA10FB"/>
    <w:rsid w:val="00CA1765"/>
    <w:rsid w:val="00CA18C0"/>
    <w:rsid w:val="00CA2F1B"/>
    <w:rsid w:val="00CA3483"/>
    <w:rsid w:val="00CA3BF0"/>
    <w:rsid w:val="00CA4030"/>
    <w:rsid w:val="00CA4475"/>
    <w:rsid w:val="00CA4828"/>
    <w:rsid w:val="00CA4945"/>
    <w:rsid w:val="00CA4E6F"/>
    <w:rsid w:val="00CA50A1"/>
    <w:rsid w:val="00CA5192"/>
    <w:rsid w:val="00CA5B16"/>
    <w:rsid w:val="00CA6658"/>
    <w:rsid w:val="00CA67DA"/>
    <w:rsid w:val="00CA6E55"/>
    <w:rsid w:val="00CA70C3"/>
    <w:rsid w:val="00CA7277"/>
    <w:rsid w:val="00CA7828"/>
    <w:rsid w:val="00CA796D"/>
    <w:rsid w:val="00CA7A6F"/>
    <w:rsid w:val="00CA7A72"/>
    <w:rsid w:val="00CA7E80"/>
    <w:rsid w:val="00CB00C4"/>
    <w:rsid w:val="00CB0712"/>
    <w:rsid w:val="00CB2B1C"/>
    <w:rsid w:val="00CB3465"/>
    <w:rsid w:val="00CB3783"/>
    <w:rsid w:val="00CB3CAD"/>
    <w:rsid w:val="00CB3FBB"/>
    <w:rsid w:val="00CB42A1"/>
    <w:rsid w:val="00CB4442"/>
    <w:rsid w:val="00CB5653"/>
    <w:rsid w:val="00CB587C"/>
    <w:rsid w:val="00CB5F1F"/>
    <w:rsid w:val="00CB60EB"/>
    <w:rsid w:val="00CB68F8"/>
    <w:rsid w:val="00CB6EA2"/>
    <w:rsid w:val="00CB72CB"/>
    <w:rsid w:val="00CB759C"/>
    <w:rsid w:val="00CC0181"/>
    <w:rsid w:val="00CC0660"/>
    <w:rsid w:val="00CC0869"/>
    <w:rsid w:val="00CC1108"/>
    <w:rsid w:val="00CC120B"/>
    <w:rsid w:val="00CC163A"/>
    <w:rsid w:val="00CC1939"/>
    <w:rsid w:val="00CC1B6F"/>
    <w:rsid w:val="00CC1FC3"/>
    <w:rsid w:val="00CC2143"/>
    <w:rsid w:val="00CC21BF"/>
    <w:rsid w:val="00CC3596"/>
    <w:rsid w:val="00CC35E9"/>
    <w:rsid w:val="00CC3603"/>
    <w:rsid w:val="00CC3A23"/>
    <w:rsid w:val="00CC3FC6"/>
    <w:rsid w:val="00CC4047"/>
    <w:rsid w:val="00CC4AC8"/>
    <w:rsid w:val="00CC4CE5"/>
    <w:rsid w:val="00CC6319"/>
    <w:rsid w:val="00CC6860"/>
    <w:rsid w:val="00CC6F6D"/>
    <w:rsid w:val="00CC738A"/>
    <w:rsid w:val="00CC7900"/>
    <w:rsid w:val="00CC7A65"/>
    <w:rsid w:val="00CC7D31"/>
    <w:rsid w:val="00CD07B4"/>
    <w:rsid w:val="00CD1C91"/>
    <w:rsid w:val="00CD1D83"/>
    <w:rsid w:val="00CD2249"/>
    <w:rsid w:val="00CD225A"/>
    <w:rsid w:val="00CD292B"/>
    <w:rsid w:val="00CD2CA0"/>
    <w:rsid w:val="00CD2E77"/>
    <w:rsid w:val="00CD355B"/>
    <w:rsid w:val="00CD36E2"/>
    <w:rsid w:val="00CD3793"/>
    <w:rsid w:val="00CD39A7"/>
    <w:rsid w:val="00CD4471"/>
    <w:rsid w:val="00CD456F"/>
    <w:rsid w:val="00CD5315"/>
    <w:rsid w:val="00CD6412"/>
    <w:rsid w:val="00CD67E5"/>
    <w:rsid w:val="00CD68E8"/>
    <w:rsid w:val="00CD69D4"/>
    <w:rsid w:val="00CD7211"/>
    <w:rsid w:val="00CE0BAF"/>
    <w:rsid w:val="00CE10DD"/>
    <w:rsid w:val="00CE1BC2"/>
    <w:rsid w:val="00CE1E2C"/>
    <w:rsid w:val="00CE2001"/>
    <w:rsid w:val="00CE29B4"/>
    <w:rsid w:val="00CE3614"/>
    <w:rsid w:val="00CE383B"/>
    <w:rsid w:val="00CE3C65"/>
    <w:rsid w:val="00CE4C5F"/>
    <w:rsid w:val="00CE5100"/>
    <w:rsid w:val="00CE5B0F"/>
    <w:rsid w:val="00CE6898"/>
    <w:rsid w:val="00CE74AD"/>
    <w:rsid w:val="00CE7E2E"/>
    <w:rsid w:val="00CE7EA3"/>
    <w:rsid w:val="00CF05D1"/>
    <w:rsid w:val="00CF05E6"/>
    <w:rsid w:val="00CF12F8"/>
    <w:rsid w:val="00CF13EC"/>
    <w:rsid w:val="00CF169A"/>
    <w:rsid w:val="00CF282E"/>
    <w:rsid w:val="00CF2C9A"/>
    <w:rsid w:val="00CF2CFA"/>
    <w:rsid w:val="00CF31F4"/>
    <w:rsid w:val="00CF3668"/>
    <w:rsid w:val="00CF45A5"/>
    <w:rsid w:val="00CF461D"/>
    <w:rsid w:val="00CF49BB"/>
    <w:rsid w:val="00CF4FCA"/>
    <w:rsid w:val="00CF5596"/>
    <w:rsid w:val="00CF5FE6"/>
    <w:rsid w:val="00CF6BC6"/>
    <w:rsid w:val="00CF7138"/>
    <w:rsid w:val="00CF74F8"/>
    <w:rsid w:val="00CF7906"/>
    <w:rsid w:val="00CF7A73"/>
    <w:rsid w:val="00CF7F7C"/>
    <w:rsid w:val="00D009F5"/>
    <w:rsid w:val="00D00C97"/>
    <w:rsid w:val="00D012D6"/>
    <w:rsid w:val="00D01971"/>
    <w:rsid w:val="00D01AD2"/>
    <w:rsid w:val="00D01BF5"/>
    <w:rsid w:val="00D01E32"/>
    <w:rsid w:val="00D02621"/>
    <w:rsid w:val="00D0289D"/>
    <w:rsid w:val="00D0308F"/>
    <w:rsid w:val="00D03239"/>
    <w:rsid w:val="00D0354F"/>
    <w:rsid w:val="00D03580"/>
    <w:rsid w:val="00D0466B"/>
    <w:rsid w:val="00D04AC4"/>
    <w:rsid w:val="00D05376"/>
    <w:rsid w:val="00D053B6"/>
    <w:rsid w:val="00D0594E"/>
    <w:rsid w:val="00D059BA"/>
    <w:rsid w:val="00D060AF"/>
    <w:rsid w:val="00D06420"/>
    <w:rsid w:val="00D06798"/>
    <w:rsid w:val="00D075A4"/>
    <w:rsid w:val="00D076B3"/>
    <w:rsid w:val="00D07FF1"/>
    <w:rsid w:val="00D10264"/>
    <w:rsid w:val="00D10A65"/>
    <w:rsid w:val="00D12216"/>
    <w:rsid w:val="00D128AA"/>
    <w:rsid w:val="00D13868"/>
    <w:rsid w:val="00D13D6C"/>
    <w:rsid w:val="00D13F50"/>
    <w:rsid w:val="00D14260"/>
    <w:rsid w:val="00D14AE5"/>
    <w:rsid w:val="00D14E5E"/>
    <w:rsid w:val="00D14EDB"/>
    <w:rsid w:val="00D16207"/>
    <w:rsid w:val="00D16D3F"/>
    <w:rsid w:val="00D173FB"/>
    <w:rsid w:val="00D174E6"/>
    <w:rsid w:val="00D17F14"/>
    <w:rsid w:val="00D2017A"/>
    <w:rsid w:val="00D20193"/>
    <w:rsid w:val="00D20511"/>
    <w:rsid w:val="00D209F6"/>
    <w:rsid w:val="00D21359"/>
    <w:rsid w:val="00D21773"/>
    <w:rsid w:val="00D21BE3"/>
    <w:rsid w:val="00D222AE"/>
    <w:rsid w:val="00D22592"/>
    <w:rsid w:val="00D22E9C"/>
    <w:rsid w:val="00D23003"/>
    <w:rsid w:val="00D23CA6"/>
    <w:rsid w:val="00D2430B"/>
    <w:rsid w:val="00D24E47"/>
    <w:rsid w:val="00D24E5F"/>
    <w:rsid w:val="00D250C3"/>
    <w:rsid w:val="00D25222"/>
    <w:rsid w:val="00D2555C"/>
    <w:rsid w:val="00D2624D"/>
    <w:rsid w:val="00D271ED"/>
    <w:rsid w:val="00D27278"/>
    <w:rsid w:val="00D274DB"/>
    <w:rsid w:val="00D27573"/>
    <w:rsid w:val="00D30740"/>
    <w:rsid w:val="00D30908"/>
    <w:rsid w:val="00D30955"/>
    <w:rsid w:val="00D30A19"/>
    <w:rsid w:val="00D30C6D"/>
    <w:rsid w:val="00D30CA5"/>
    <w:rsid w:val="00D30DC8"/>
    <w:rsid w:val="00D30F99"/>
    <w:rsid w:val="00D310FF"/>
    <w:rsid w:val="00D31E26"/>
    <w:rsid w:val="00D324CB"/>
    <w:rsid w:val="00D32EFC"/>
    <w:rsid w:val="00D33001"/>
    <w:rsid w:val="00D3306D"/>
    <w:rsid w:val="00D3381C"/>
    <w:rsid w:val="00D3395D"/>
    <w:rsid w:val="00D33D50"/>
    <w:rsid w:val="00D33F32"/>
    <w:rsid w:val="00D3437E"/>
    <w:rsid w:val="00D34909"/>
    <w:rsid w:val="00D3560A"/>
    <w:rsid w:val="00D357BA"/>
    <w:rsid w:val="00D35F70"/>
    <w:rsid w:val="00D36194"/>
    <w:rsid w:val="00D36282"/>
    <w:rsid w:val="00D362D6"/>
    <w:rsid w:val="00D36BEA"/>
    <w:rsid w:val="00D37AEB"/>
    <w:rsid w:val="00D40A15"/>
    <w:rsid w:val="00D40EF8"/>
    <w:rsid w:val="00D41B7E"/>
    <w:rsid w:val="00D41EDE"/>
    <w:rsid w:val="00D43053"/>
    <w:rsid w:val="00D431EF"/>
    <w:rsid w:val="00D437D5"/>
    <w:rsid w:val="00D43F38"/>
    <w:rsid w:val="00D45CD3"/>
    <w:rsid w:val="00D4620D"/>
    <w:rsid w:val="00D46975"/>
    <w:rsid w:val="00D47249"/>
    <w:rsid w:val="00D4782A"/>
    <w:rsid w:val="00D47CF4"/>
    <w:rsid w:val="00D47D50"/>
    <w:rsid w:val="00D47F77"/>
    <w:rsid w:val="00D503D6"/>
    <w:rsid w:val="00D504D8"/>
    <w:rsid w:val="00D50741"/>
    <w:rsid w:val="00D50771"/>
    <w:rsid w:val="00D5128A"/>
    <w:rsid w:val="00D5143B"/>
    <w:rsid w:val="00D5184E"/>
    <w:rsid w:val="00D5277F"/>
    <w:rsid w:val="00D52A28"/>
    <w:rsid w:val="00D53490"/>
    <w:rsid w:val="00D53C1B"/>
    <w:rsid w:val="00D54B46"/>
    <w:rsid w:val="00D55A90"/>
    <w:rsid w:val="00D55C9A"/>
    <w:rsid w:val="00D5643A"/>
    <w:rsid w:val="00D56513"/>
    <w:rsid w:val="00D56AA6"/>
    <w:rsid w:val="00D56DF8"/>
    <w:rsid w:val="00D57782"/>
    <w:rsid w:val="00D57C31"/>
    <w:rsid w:val="00D57FEE"/>
    <w:rsid w:val="00D601CD"/>
    <w:rsid w:val="00D60892"/>
    <w:rsid w:val="00D613B9"/>
    <w:rsid w:val="00D6194B"/>
    <w:rsid w:val="00D61D7C"/>
    <w:rsid w:val="00D6213B"/>
    <w:rsid w:val="00D62998"/>
    <w:rsid w:val="00D62C14"/>
    <w:rsid w:val="00D6396D"/>
    <w:rsid w:val="00D63CDA"/>
    <w:rsid w:val="00D6477A"/>
    <w:rsid w:val="00D64F3A"/>
    <w:rsid w:val="00D6515D"/>
    <w:rsid w:val="00D655D6"/>
    <w:rsid w:val="00D65786"/>
    <w:rsid w:val="00D65805"/>
    <w:rsid w:val="00D66082"/>
    <w:rsid w:val="00D6675B"/>
    <w:rsid w:val="00D66D81"/>
    <w:rsid w:val="00D66F90"/>
    <w:rsid w:val="00D6706A"/>
    <w:rsid w:val="00D672B3"/>
    <w:rsid w:val="00D6747B"/>
    <w:rsid w:val="00D67CC8"/>
    <w:rsid w:val="00D67E6A"/>
    <w:rsid w:val="00D70217"/>
    <w:rsid w:val="00D7045E"/>
    <w:rsid w:val="00D708A2"/>
    <w:rsid w:val="00D70B26"/>
    <w:rsid w:val="00D7103E"/>
    <w:rsid w:val="00D7130E"/>
    <w:rsid w:val="00D71ED1"/>
    <w:rsid w:val="00D71FE6"/>
    <w:rsid w:val="00D72649"/>
    <w:rsid w:val="00D72667"/>
    <w:rsid w:val="00D72EB0"/>
    <w:rsid w:val="00D73A41"/>
    <w:rsid w:val="00D744BC"/>
    <w:rsid w:val="00D74B66"/>
    <w:rsid w:val="00D74D58"/>
    <w:rsid w:val="00D74DE0"/>
    <w:rsid w:val="00D75328"/>
    <w:rsid w:val="00D75CB4"/>
    <w:rsid w:val="00D75DE1"/>
    <w:rsid w:val="00D760D1"/>
    <w:rsid w:val="00D765D6"/>
    <w:rsid w:val="00D76F2B"/>
    <w:rsid w:val="00D7750F"/>
    <w:rsid w:val="00D77F4E"/>
    <w:rsid w:val="00D804FF"/>
    <w:rsid w:val="00D805C6"/>
    <w:rsid w:val="00D810F9"/>
    <w:rsid w:val="00D81ACD"/>
    <w:rsid w:val="00D81BD7"/>
    <w:rsid w:val="00D81F64"/>
    <w:rsid w:val="00D823D6"/>
    <w:rsid w:val="00D82E0D"/>
    <w:rsid w:val="00D834EC"/>
    <w:rsid w:val="00D840F4"/>
    <w:rsid w:val="00D849AF"/>
    <w:rsid w:val="00D84F72"/>
    <w:rsid w:val="00D857B3"/>
    <w:rsid w:val="00D8598B"/>
    <w:rsid w:val="00D86068"/>
    <w:rsid w:val="00D86D00"/>
    <w:rsid w:val="00D873C6"/>
    <w:rsid w:val="00D87A92"/>
    <w:rsid w:val="00D87D1A"/>
    <w:rsid w:val="00D90E30"/>
    <w:rsid w:val="00D914BD"/>
    <w:rsid w:val="00D9152B"/>
    <w:rsid w:val="00D91A29"/>
    <w:rsid w:val="00D92131"/>
    <w:rsid w:val="00D924E3"/>
    <w:rsid w:val="00D929D2"/>
    <w:rsid w:val="00D937B8"/>
    <w:rsid w:val="00D93897"/>
    <w:rsid w:val="00D93EC9"/>
    <w:rsid w:val="00D941E4"/>
    <w:rsid w:val="00D94C2D"/>
    <w:rsid w:val="00D95864"/>
    <w:rsid w:val="00D965C0"/>
    <w:rsid w:val="00D974B5"/>
    <w:rsid w:val="00D97897"/>
    <w:rsid w:val="00DA0007"/>
    <w:rsid w:val="00DA0A41"/>
    <w:rsid w:val="00DA11AD"/>
    <w:rsid w:val="00DA1A93"/>
    <w:rsid w:val="00DA25C4"/>
    <w:rsid w:val="00DA2BF9"/>
    <w:rsid w:val="00DA2E56"/>
    <w:rsid w:val="00DA33B5"/>
    <w:rsid w:val="00DA3667"/>
    <w:rsid w:val="00DA3985"/>
    <w:rsid w:val="00DA3EB1"/>
    <w:rsid w:val="00DA42A0"/>
    <w:rsid w:val="00DA4755"/>
    <w:rsid w:val="00DA4939"/>
    <w:rsid w:val="00DA4AB1"/>
    <w:rsid w:val="00DA5B92"/>
    <w:rsid w:val="00DA6366"/>
    <w:rsid w:val="00DA67C7"/>
    <w:rsid w:val="00DA68EB"/>
    <w:rsid w:val="00DA6907"/>
    <w:rsid w:val="00DA6AA5"/>
    <w:rsid w:val="00DA6F6D"/>
    <w:rsid w:val="00DA7081"/>
    <w:rsid w:val="00DA7DCF"/>
    <w:rsid w:val="00DA7EC2"/>
    <w:rsid w:val="00DB0152"/>
    <w:rsid w:val="00DB038B"/>
    <w:rsid w:val="00DB07D1"/>
    <w:rsid w:val="00DB082B"/>
    <w:rsid w:val="00DB0D16"/>
    <w:rsid w:val="00DB1162"/>
    <w:rsid w:val="00DB1504"/>
    <w:rsid w:val="00DB159E"/>
    <w:rsid w:val="00DB198E"/>
    <w:rsid w:val="00DB1E83"/>
    <w:rsid w:val="00DB2003"/>
    <w:rsid w:val="00DB26F0"/>
    <w:rsid w:val="00DB2FD8"/>
    <w:rsid w:val="00DB3BD3"/>
    <w:rsid w:val="00DB43F3"/>
    <w:rsid w:val="00DB448F"/>
    <w:rsid w:val="00DB4984"/>
    <w:rsid w:val="00DB49D1"/>
    <w:rsid w:val="00DB4C47"/>
    <w:rsid w:val="00DB4F7E"/>
    <w:rsid w:val="00DB556A"/>
    <w:rsid w:val="00DB5C81"/>
    <w:rsid w:val="00DB5D74"/>
    <w:rsid w:val="00DB5F9C"/>
    <w:rsid w:val="00DB6E17"/>
    <w:rsid w:val="00DB77F7"/>
    <w:rsid w:val="00DC03CB"/>
    <w:rsid w:val="00DC0BD0"/>
    <w:rsid w:val="00DC0FA7"/>
    <w:rsid w:val="00DC3094"/>
    <w:rsid w:val="00DC3631"/>
    <w:rsid w:val="00DC3DB4"/>
    <w:rsid w:val="00DC4FE4"/>
    <w:rsid w:val="00DC65AF"/>
    <w:rsid w:val="00DC66D8"/>
    <w:rsid w:val="00DC6C21"/>
    <w:rsid w:val="00DC71A3"/>
    <w:rsid w:val="00DC778D"/>
    <w:rsid w:val="00DC792D"/>
    <w:rsid w:val="00DC7979"/>
    <w:rsid w:val="00DC7AAD"/>
    <w:rsid w:val="00DC7FB7"/>
    <w:rsid w:val="00DD09DE"/>
    <w:rsid w:val="00DD10EE"/>
    <w:rsid w:val="00DD1FFD"/>
    <w:rsid w:val="00DD26CF"/>
    <w:rsid w:val="00DD2A1B"/>
    <w:rsid w:val="00DD2DA9"/>
    <w:rsid w:val="00DD318C"/>
    <w:rsid w:val="00DD331F"/>
    <w:rsid w:val="00DD33C5"/>
    <w:rsid w:val="00DD3A4A"/>
    <w:rsid w:val="00DD3E88"/>
    <w:rsid w:val="00DD3F2C"/>
    <w:rsid w:val="00DD41FC"/>
    <w:rsid w:val="00DD4389"/>
    <w:rsid w:val="00DD447C"/>
    <w:rsid w:val="00DD490E"/>
    <w:rsid w:val="00DD5FE7"/>
    <w:rsid w:val="00DD6448"/>
    <w:rsid w:val="00DD65D7"/>
    <w:rsid w:val="00DD687C"/>
    <w:rsid w:val="00DD6CB8"/>
    <w:rsid w:val="00DD74E9"/>
    <w:rsid w:val="00DE1170"/>
    <w:rsid w:val="00DE117F"/>
    <w:rsid w:val="00DE162C"/>
    <w:rsid w:val="00DE3037"/>
    <w:rsid w:val="00DE371F"/>
    <w:rsid w:val="00DE3B30"/>
    <w:rsid w:val="00DE3C91"/>
    <w:rsid w:val="00DE3F6B"/>
    <w:rsid w:val="00DE513C"/>
    <w:rsid w:val="00DE5479"/>
    <w:rsid w:val="00DE5C6F"/>
    <w:rsid w:val="00DE5D49"/>
    <w:rsid w:val="00DE6018"/>
    <w:rsid w:val="00DE6562"/>
    <w:rsid w:val="00DE6C2E"/>
    <w:rsid w:val="00DE6EE2"/>
    <w:rsid w:val="00DE71B6"/>
    <w:rsid w:val="00DE7B63"/>
    <w:rsid w:val="00DE7BDA"/>
    <w:rsid w:val="00DF1284"/>
    <w:rsid w:val="00DF1692"/>
    <w:rsid w:val="00DF1A75"/>
    <w:rsid w:val="00DF24BE"/>
    <w:rsid w:val="00DF2815"/>
    <w:rsid w:val="00DF35B1"/>
    <w:rsid w:val="00DF3614"/>
    <w:rsid w:val="00DF3ACB"/>
    <w:rsid w:val="00DF44F1"/>
    <w:rsid w:val="00DF4582"/>
    <w:rsid w:val="00DF4BA6"/>
    <w:rsid w:val="00DF5220"/>
    <w:rsid w:val="00DF5305"/>
    <w:rsid w:val="00DF53BF"/>
    <w:rsid w:val="00DF5E18"/>
    <w:rsid w:val="00DF616D"/>
    <w:rsid w:val="00DF650C"/>
    <w:rsid w:val="00DF699E"/>
    <w:rsid w:val="00DF6FD6"/>
    <w:rsid w:val="00DF79F8"/>
    <w:rsid w:val="00DF7F6B"/>
    <w:rsid w:val="00E00232"/>
    <w:rsid w:val="00E00517"/>
    <w:rsid w:val="00E01335"/>
    <w:rsid w:val="00E01740"/>
    <w:rsid w:val="00E01B5E"/>
    <w:rsid w:val="00E0251F"/>
    <w:rsid w:val="00E02D26"/>
    <w:rsid w:val="00E0342B"/>
    <w:rsid w:val="00E0353E"/>
    <w:rsid w:val="00E037FD"/>
    <w:rsid w:val="00E0387E"/>
    <w:rsid w:val="00E03978"/>
    <w:rsid w:val="00E03AA3"/>
    <w:rsid w:val="00E04654"/>
    <w:rsid w:val="00E049F7"/>
    <w:rsid w:val="00E05810"/>
    <w:rsid w:val="00E05E80"/>
    <w:rsid w:val="00E061E1"/>
    <w:rsid w:val="00E0635A"/>
    <w:rsid w:val="00E06551"/>
    <w:rsid w:val="00E06617"/>
    <w:rsid w:val="00E067B5"/>
    <w:rsid w:val="00E075B1"/>
    <w:rsid w:val="00E0777D"/>
    <w:rsid w:val="00E10495"/>
    <w:rsid w:val="00E1086B"/>
    <w:rsid w:val="00E109AC"/>
    <w:rsid w:val="00E10D15"/>
    <w:rsid w:val="00E1168A"/>
    <w:rsid w:val="00E118F1"/>
    <w:rsid w:val="00E11E9A"/>
    <w:rsid w:val="00E1215C"/>
    <w:rsid w:val="00E12A13"/>
    <w:rsid w:val="00E1374F"/>
    <w:rsid w:val="00E13A97"/>
    <w:rsid w:val="00E14101"/>
    <w:rsid w:val="00E14492"/>
    <w:rsid w:val="00E14718"/>
    <w:rsid w:val="00E149D7"/>
    <w:rsid w:val="00E14A95"/>
    <w:rsid w:val="00E15159"/>
    <w:rsid w:val="00E1546F"/>
    <w:rsid w:val="00E15484"/>
    <w:rsid w:val="00E15E24"/>
    <w:rsid w:val="00E161DF"/>
    <w:rsid w:val="00E16381"/>
    <w:rsid w:val="00E168BD"/>
    <w:rsid w:val="00E16A74"/>
    <w:rsid w:val="00E170D0"/>
    <w:rsid w:val="00E176F9"/>
    <w:rsid w:val="00E17CA7"/>
    <w:rsid w:val="00E2023F"/>
    <w:rsid w:val="00E20BBD"/>
    <w:rsid w:val="00E2107C"/>
    <w:rsid w:val="00E213AF"/>
    <w:rsid w:val="00E219D0"/>
    <w:rsid w:val="00E225DE"/>
    <w:rsid w:val="00E2292A"/>
    <w:rsid w:val="00E23423"/>
    <w:rsid w:val="00E2482E"/>
    <w:rsid w:val="00E24874"/>
    <w:rsid w:val="00E24C18"/>
    <w:rsid w:val="00E25736"/>
    <w:rsid w:val="00E25C4C"/>
    <w:rsid w:val="00E25F5B"/>
    <w:rsid w:val="00E2634A"/>
    <w:rsid w:val="00E26468"/>
    <w:rsid w:val="00E26A00"/>
    <w:rsid w:val="00E26D78"/>
    <w:rsid w:val="00E26F2B"/>
    <w:rsid w:val="00E27991"/>
    <w:rsid w:val="00E27A9C"/>
    <w:rsid w:val="00E27D9D"/>
    <w:rsid w:val="00E30277"/>
    <w:rsid w:val="00E3049C"/>
    <w:rsid w:val="00E304F2"/>
    <w:rsid w:val="00E30DB1"/>
    <w:rsid w:val="00E30F9E"/>
    <w:rsid w:val="00E312C5"/>
    <w:rsid w:val="00E314C3"/>
    <w:rsid w:val="00E31CE6"/>
    <w:rsid w:val="00E32A36"/>
    <w:rsid w:val="00E32B4B"/>
    <w:rsid w:val="00E3327A"/>
    <w:rsid w:val="00E33662"/>
    <w:rsid w:val="00E34197"/>
    <w:rsid w:val="00E34A10"/>
    <w:rsid w:val="00E34D37"/>
    <w:rsid w:val="00E353EA"/>
    <w:rsid w:val="00E3574F"/>
    <w:rsid w:val="00E358A8"/>
    <w:rsid w:val="00E35AB4"/>
    <w:rsid w:val="00E37375"/>
    <w:rsid w:val="00E37388"/>
    <w:rsid w:val="00E37396"/>
    <w:rsid w:val="00E375DA"/>
    <w:rsid w:val="00E37B10"/>
    <w:rsid w:val="00E400A8"/>
    <w:rsid w:val="00E402F6"/>
    <w:rsid w:val="00E40397"/>
    <w:rsid w:val="00E4088E"/>
    <w:rsid w:val="00E40BF3"/>
    <w:rsid w:val="00E40F66"/>
    <w:rsid w:val="00E41315"/>
    <w:rsid w:val="00E42181"/>
    <w:rsid w:val="00E42D9D"/>
    <w:rsid w:val="00E43533"/>
    <w:rsid w:val="00E43838"/>
    <w:rsid w:val="00E43B6C"/>
    <w:rsid w:val="00E44623"/>
    <w:rsid w:val="00E44D34"/>
    <w:rsid w:val="00E45DCB"/>
    <w:rsid w:val="00E4605C"/>
    <w:rsid w:val="00E463A6"/>
    <w:rsid w:val="00E46AFF"/>
    <w:rsid w:val="00E47273"/>
    <w:rsid w:val="00E4727C"/>
    <w:rsid w:val="00E47386"/>
    <w:rsid w:val="00E47C03"/>
    <w:rsid w:val="00E50060"/>
    <w:rsid w:val="00E50319"/>
    <w:rsid w:val="00E506B2"/>
    <w:rsid w:val="00E5093E"/>
    <w:rsid w:val="00E5155E"/>
    <w:rsid w:val="00E51EBD"/>
    <w:rsid w:val="00E52169"/>
    <w:rsid w:val="00E521D2"/>
    <w:rsid w:val="00E526A9"/>
    <w:rsid w:val="00E53287"/>
    <w:rsid w:val="00E5347A"/>
    <w:rsid w:val="00E535C2"/>
    <w:rsid w:val="00E53606"/>
    <w:rsid w:val="00E53F99"/>
    <w:rsid w:val="00E54D94"/>
    <w:rsid w:val="00E552DF"/>
    <w:rsid w:val="00E55CAA"/>
    <w:rsid w:val="00E569A7"/>
    <w:rsid w:val="00E56A28"/>
    <w:rsid w:val="00E56FE2"/>
    <w:rsid w:val="00E5700E"/>
    <w:rsid w:val="00E57342"/>
    <w:rsid w:val="00E603AA"/>
    <w:rsid w:val="00E60B5A"/>
    <w:rsid w:val="00E613FE"/>
    <w:rsid w:val="00E617F7"/>
    <w:rsid w:val="00E6187D"/>
    <w:rsid w:val="00E6189D"/>
    <w:rsid w:val="00E6277B"/>
    <w:rsid w:val="00E62AD4"/>
    <w:rsid w:val="00E62BF7"/>
    <w:rsid w:val="00E62F86"/>
    <w:rsid w:val="00E63504"/>
    <w:rsid w:val="00E63653"/>
    <w:rsid w:val="00E642E4"/>
    <w:rsid w:val="00E64AF1"/>
    <w:rsid w:val="00E65228"/>
    <w:rsid w:val="00E65B2C"/>
    <w:rsid w:val="00E66B2D"/>
    <w:rsid w:val="00E66D01"/>
    <w:rsid w:val="00E675EF"/>
    <w:rsid w:val="00E705EC"/>
    <w:rsid w:val="00E70D7E"/>
    <w:rsid w:val="00E70D85"/>
    <w:rsid w:val="00E71337"/>
    <w:rsid w:val="00E71BFB"/>
    <w:rsid w:val="00E71BFD"/>
    <w:rsid w:val="00E71E8B"/>
    <w:rsid w:val="00E72B04"/>
    <w:rsid w:val="00E73DD0"/>
    <w:rsid w:val="00E75C3F"/>
    <w:rsid w:val="00E75DDE"/>
    <w:rsid w:val="00E760F9"/>
    <w:rsid w:val="00E76E3B"/>
    <w:rsid w:val="00E76EFA"/>
    <w:rsid w:val="00E76F62"/>
    <w:rsid w:val="00E77423"/>
    <w:rsid w:val="00E7748F"/>
    <w:rsid w:val="00E7752B"/>
    <w:rsid w:val="00E77878"/>
    <w:rsid w:val="00E77F52"/>
    <w:rsid w:val="00E80B85"/>
    <w:rsid w:val="00E80F4C"/>
    <w:rsid w:val="00E81786"/>
    <w:rsid w:val="00E8196A"/>
    <w:rsid w:val="00E81AB8"/>
    <w:rsid w:val="00E81AE0"/>
    <w:rsid w:val="00E81D67"/>
    <w:rsid w:val="00E82857"/>
    <w:rsid w:val="00E82D54"/>
    <w:rsid w:val="00E8335D"/>
    <w:rsid w:val="00E8365B"/>
    <w:rsid w:val="00E84778"/>
    <w:rsid w:val="00E84BDA"/>
    <w:rsid w:val="00E84FDF"/>
    <w:rsid w:val="00E850E3"/>
    <w:rsid w:val="00E856D3"/>
    <w:rsid w:val="00E858B5"/>
    <w:rsid w:val="00E85B49"/>
    <w:rsid w:val="00E85C27"/>
    <w:rsid w:val="00E8602E"/>
    <w:rsid w:val="00E8641E"/>
    <w:rsid w:val="00E86598"/>
    <w:rsid w:val="00E86A28"/>
    <w:rsid w:val="00E86A70"/>
    <w:rsid w:val="00E86B40"/>
    <w:rsid w:val="00E86C1B"/>
    <w:rsid w:val="00E87E8D"/>
    <w:rsid w:val="00E90C57"/>
    <w:rsid w:val="00E91267"/>
    <w:rsid w:val="00E920A5"/>
    <w:rsid w:val="00E92772"/>
    <w:rsid w:val="00E93417"/>
    <w:rsid w:val="00E9474C"/>
    <w:rsid w:val="00E94961"/>
    <w:rsid w:val="00E95151"/>
    <w:rsid w:val="00E9520E"/>
    <w:rsid w:val="00E95427"/>
    <w:rsid w:val="00E9602E"/>
    <w:rsid w:val="00E96346"/>
    <w:rsid w:val="00E969DC"/>
    <w:rsid w:val="00E96F71"/>
    <w:rsid w:val="00E96FDB"/>
    <w:rsid w:val="00E97F4A"/>
    <w:rsid w:val="00EA0301"/>
    <w:rsid w:val="00EA062D"/>
    <w:rsid w:val="00EA07D8"/>
    <w:rsid w:val="00EA0CBE"/>
    <w:rsid w:val="00EA1DC9"/>
    <w:rsid w:val="00EA23A4"/>
    <w:rsid w:val="00EA2601"/>
    <w:rsid w:val="00EA2F43"/>
    <w:rsid w:val="00EA3251"/>
    <w:rsid w:val="00EA3CAB"/>
    <w:rsid w:val="00EA4045"/>
    <w:rsid w:val="00EA4396"/>
    <w:rsid w:val="00EA4940"/>
    <w:rsid w:val="00EA5426"/>
    <w:rsid w:val="00EA550D"/>
    <w:rsid w:val="00EA57E3"/>
    <w:rsid w:val="00EA714E"/>
    <w:rsid w:val="00EA7319"/>
    <w:rsid w:val="00EA7450"/>
    <w:rsid w:val="00EA7515"/>
    <w:rsid w:val="00EA7F6E"/>
    <w:rsid w:val="00EB0012"/>
    <w:rsid w:val="00EB015C"/>
    <w:rsid w:val="00EB0399"/>
    <w:rsid w:val="00EB070A"/>
    <w:rsid w:val="00EB08E7"/>
    <w:rsid w:val="00EB0B29"/>
    <w:rsid w:val="00EB0F5C"/>
    <w:rsid w:val="00EB0FA3"/>
    <w:rsid w:val="00EB169B"/>
    <w:rsid w:val="00EB1DBC"/>
    <w:rsid w:val="00EB1DBE"/>
    <w:rsid w:val="00EB249F"/>
    <w:rsid w:val="00EB28FB"/>
    <w:rsid w:val="00EB2BE0"/>
    <w:rsid w:val="00EB2D4C"/>
    <w:rsid w:val="00EB2ED4"/>
    <w:rsid w:val="00EB3480"/>
    <w:rsid w:val="00EB3A65"/>
    <w:rsid w:val="00EB3E84"/>
    <w:rsid w:val="00EB454D"/>
    <w:rsid w:val="00EB4550"/>
    <w:rsid w:val="00EB4F0F"/>
    <w:rsid w:val="00EB533F"/>
    <w:rsid w:val="00EB5481"/>
    <w:rsid w:val="00EB5F2F"/>
    <w:rsid w:val="00EB5F5B"/>
    <w:rsid w:val="00EB5F77"/>
    <w:rsid w:val="00EB68AC"/>
    <w:rsid w:val="00EB6AE4"/>
    <w:rsid w:val="00EB6B49"/>
    <w:rsid w:val="00EB6B5D"/>
    <w:rsid w:val="00EB756E"/>
    <w:rsid w:val="00EB7E38"/>
    <w:rsid w:val="00EC05EF"/>
    <w:rsid w:val="00EC0E2D"/>
    <w:rsid w:val="00EC1758"/>
    <w:rsid w:val="00EC1B76"/>
    <w:rsid w:val="00EC2122"/>
    <w:rsid w:val="00EC21E0"/>
    <w:rsid w:val="00EC24DF"/>
    <w:rsid w:val="00EC2FEE"/>
    <w:rsid w:val="00EC3968"/>
    <w:rsid w:val="00EC3995"/>
    <w:rsid w:val="00EC434B"/>
    <w:rsid w:val="00EC48B9"/>
    <w:rsid w:val="00EC48F5"/>
    <w:rsid w:val="00EC4E1A"/>
    <w:rsid w:val="00EC4E2F"/>
    <w:rsid w:val="00EC5423"/>
    <w:rsid w:val="00EC5748"/>
    <w:rsid w:val="00EC6344"/>
    <w:rsid w:val="00EC650B"/>
    <w:rsid w:val="00EC7574"/>
    <w:rsid w:val="00ED02B1"/>
    <w:rsid w:val="00ED02DE"/>
    <w:rsid w:val="00ED0EE6"/>
    <w:rsid w:val="00ED12CE"/>
    <w:rsid w:val="00ED133D"/>
    <w:rsid w:val="00ED185B"/>
    <w:rsid w:val="00ED215F"/>
    <w:rsid w:val="00ED21D3"/>
    <w:rsid w:val="00ED2ED7"/>
    <w:rsid w:val="00ED313B"/>
    <w:rsid w:val="00ED3331"/>
    <w:rsid w:val="00ED443A"/>
    <w:rsid w:val="00ED508A"/>
    <w:rsid w:val="00ED550E"/>
    <w:rsid w:val="00ED59F4"/>
    <w:rsid w:val="00ED62AA"/>
    <w:rsid w:val="00ED6668"/>
    <w:rsid w:val="00ED6881"/>
    <w:rsid w:val="00ED6AD6"/>
    <w:rsid w:val="00ED6CA8"/>
    <w:rsid w:val="00ED718D"/>
    <w:rsid w:val="00ED71DE"/>
    <w:rsid w:val="00ED7790"/>
    <w:rsid w:val="00ED7F69"/>
    <w:rsid w:val="00EE009E"/>
    <w:rsid w:val="00EE0206"/>
    <w:rsid w:val="00EE0238"/>
    <w:rsid w:val="00EE0714"/>
    <w:rsid w:val="00EE0A84"/>
    <w:rsid w:val="00EE175E"/>
    <w:rsid w:val="00EE1C4A"/>
    <w:rsid w:val="00EE2A5C"/>
    <w:rsid w:val="00EE2D09"/>
    <w:rsid w:val="00EE33F1"/>
    <w:rsid w:val="00EE42AB"/>
    <w:rsid w:val="00EE49ED"/>
    <w:rsid w:val="00EE4A5D"/>
    <w:rsid w:val="00EE4FBA"/>
    <w:rsid w:val="00EE5736"/>
    <w:rsid w:val="00EE581B"/>
    <w:rsid w:val="00EE5B7E"/>
    <w:rsid w:val="00EE6178"/>
    <w:rsid w:val="00EE6328"/>
    <w:rsid w:val="00EE66A6"/>
    <w:rsid w:val="00EE780B"/>
    <w:rsid w:val="00EE79CE"/>
    <w:rsid w:val="00EE7BC7"/>
    <w:rsid w:val="00EE7DCA"/>
    <w:rsid w:val="00EF00B3"/>
    <w:rsid w:val="00EF08F4"/>
    <w:rsid w:val="00EF11D1"/>
    <w:rsid w:val="00EF1C3A"/>
    <w:rsid w:val="00EF20AF"/>
    <w:rsid w:val="00EF258F"/>
    <w:rsid w:val="00EF2755"/>
    <w:rsid w:val="00EF28D0"/>
    <w:rsid w:val="00EF2B57"/>
    <w:rsid w:val="00EF3069"/>
    <w:rsid w:val="00EF3549"/>
    <w:rsid w:val="00EF3C6D"/>
    <w:rsid w:val="00EF3DBC"/>
    <w:rsid w:val="00EF46FB"/>
    <w:rsid w:val="00EF47CA"/>
    <w:rsid w:val="00EF482F"/>
    <w:rsid w:val="00EF4E82"/>
    <w:rsid w:val="00EF5242"/>
    <w:rsid w:val="00EF52A1"/>
    <w:rsid w:val="00EF558F"/>
    <w:rsid w:val="00EF5DF5"/>
    <w:rsid w:val="00EF5FCF"/>
    <w:rsid w:val="00EF630B"/>
    <w:rsid w:val="00EF7045"/>
    <w:rsid w:val="00EF72DF"/>
    <w:rsid w:val="00F00399"/>
    <w:rsid w:val="00F00F64"/>
    <w:rsid w:val="00F0130E"/>
    <w:rsid w:val="00F01AC6"/>
    <w:rsid w:val="00F02320"/>
    <w:rsid w:val="00F025F0"/>
    <w:rsid w:val="00F026E8"/>
    <w:rsid w:val="00F027E8"/>
    <w:rsid w:val="00F02A4A"/>
    <w:rsid w:val="00F04291"/>
    <w:rsid w:val="00F04476"/>
    <w:rsid w:val="00F048BE"/>
    <w:rsid w:val="00F04EB1"/>
    <w:rsid w:val="00F05547"/>
    <w:rsid w:val="00F05561"/>
    <w:rsid w:val="00F06DFC"/>
    <w:rsid w:val="00F06E65"/>
    <w:rsid w:val="00F06EB8"/>
    <w:rsid w:val="00F07260"/>
    <w:rsid w:val="00F07B1C"/>
    <w:rsid w:val="00F07F4F"/>
    <w:rsid w:val="00F1021C"/>
    <w:rsid w:val="00F1058B"/>
    <w:rsid w:val="00F106A2"/>
    <w:rsid w:val="00F10D02"/>
    <w:rsid w:val="00F10E0C"/>
    <w:rsid w:val="00F10EBF"/>
    <w:rsid w:val="00F11233"/>
    <w:rsid w:val="00F11316"/>
    <w:rsid w:val="00F120D1"/>
    <w:rsid w:val="00F12163"/>
    <w:rsid w:val="00F1216C"/>
    <w:rsid w:val="00F12B79"/>
    <w:rsid w:val="00F1302E"/>
    <w:rsid w:val="00F132A3"/>
    <w:rsid w:val="00F132E2"/>
    <w:rsid w:val="00F13461"/>
    <w:rsid w:val="00F13CFB"/>
    <w:rsid w:val="00F14AE9"/>
    <w:rsid w:val="00F1526D"/>
    <w:rsid w:val="00F15732"/>
    <w:rsid w:val="00F16A36"/>
    <w:rsid w:val="00F16CCF"/>
    <w:rsid w:val="00F17630"/>
    <w:rsid w:val="00F17740"/>
    <w:rsid w:val="00F177D5"/>
    <w:rsid w:val="00F17B07"/>
    <w:rsid w:val="00F17DBC"/>
    <w:rsid w:val="00F17DC9"/>
    <w:rsid w:val="00F17F5B"/>
    <w:rsid w:val="00F17F81"/>
    <w:rsid w:val="00F200F5"/>
    <w:rsid w:val="00F20169"/>
    <w:rsid w:val="00F20625"/>
    <w:rsid w:val="00F21F7E"/>
    <w:rsid w:val="00F21FF7"/>
    <w:rsid w:val="00F22D8C"/>
    <w:rsid w:val="00F23030"/>
    <w:rsid w:val="00F23111"/>
    <w:rsid w:val="00F23D84"/>
    <w:rsid w:val="00F2426A"/>
    <w:rsid w:val="00F2484F"/>
    <w:rsid w:val="00F24EE2"/>
    <w:rsid w:val="00F2517E"/>
    <w:rsid w:val="00F25878"/>
    <w:rsid w:val="00F25DE9"/>
    <w:rsid w:val="00F261B3"/>
    <w:rsid w:val="00F262A8"/>
    <w:rsid w:val="00F268E6"/>
    <w:rsid w:val="00F2718B"/>
    <w:rsid w:val="00F27849"/>
    <w:rsid w:val="00F3023C"/>
    <w:rsid w:val="00F307D9"/>
    <w:rsid w:val="00F30E36"/>
    <w:rsid w:val="00F318D6"/>
    <w:rsid w:val="00F31A80"/>
    <w:rsid w:val="00F328FA"/>
    <w:rsid w:val="00F32AF8"/>
    <w:rsid w:val="00F32BDE"/>
    <w:rsid w:val="00F32D75"/>
    <w:rsid w:val="00F32FEE"/>
    <w:rsid w:val="00F341AD"/>
    <w:rsid w:val="00F345E6"/>
    <w:rsid w:val="00F347BB"/>
    <w:rsid w:val="00F34CCB"/>
    <w:rsid w:val="00F34F0A"/>
    <w:rsid w:val="00F3527E"/>
    <w:rsid w:val="00F35322"/>
    <w:rsid w:val="00F35409"/>
    <w:rsid w:val="00F357E0"/>
    <w:rsid w:val="00F35827"/>
    <w:rsid w:val="00F35A70"/>
    <w:rsid w:val="00F35DEE"/>
    <w:rsid w:val="00F36E9F"/>
    <w:rsid w:val="00F3710E"/>
    <w:rsid w:val="00F371B3"/>
    <w:rsid w:val="00F374E0"/>
    <w:rsid w:val="00F37567"/>
    <w:rsid w:val="00F37B31"/>
    <w:rsid w:val="00F37F41"/>
    <w:rsid w:val="00F40488"/>
    <w:rsid w:val="00F40A1B"/>
    <w:rsid w:val="00F40E06"/>
    <w:rsid w:val="00F4200F"/>
    <w:rsid w:val="00F42070"/>
    <w:rsid w:val="00F421A3"/>
    <w:rsid w:val="00F4334F"/>
    <w:rsid w:val="00F43533"/>
    <w:rsid w:val="00F43DA6"/>
    <w:rsid w:val="00F457E4"/>
    <w:rsid w:val="00F45C77"/>
    <w:rsid w:val="00F46BF5"/>
    <w:rsid w:val="00F47173"/>
    <w:rsid w:val="00F47D05"/>
    <w:rsid w:val="00F50CD3"/>
    <w:rsid w:val="00F512D9"/>
    <w:rsid w:val="00F5182A"/>
    <w:rsid w:val="00F51D8C"/>
    <w:rsid w:val="00F522B1"/>
    <w:rsid w:val="00F53AB3"/>
    <w:rsid w:val="00F552C4"/>
    <w:rsid w:val="00F55A22"/>
    <w:rsid w:val="00F57020"/>
    <w:rsid w:val="00F57165"/>
    <w:rsid w:val="00F57BDE"/>
    <w:rsid w:val="00F60549"/>
    <w:rsid w:val="00F6064F"/>
    <w:rsid w:val="00F612A7"/>
    <w:rsid w:val="00F62853"/>
    <w:rsid w:val="00F63056"/>
    <w:rsid w:val="00F6374A"/>
    <w:rsid w:val="00F64260"/>
    <w:rsid w:val="00F64320"/>
    <w:rsid w:val="00F64F71"/>
    <w:rsid w:val="00F64FCA"/>
    <w:rsid w:val="00F650E2"/>
    <w:rsid w:val="00F65182"/>
    <w:rsid w:val="00F65AAA"/>
    <w:rsid w:val="00F66AD6"/>
    <w:rsid w:val="00F66CF0"/>
    <w:rsid w:val="00F674C4"/>
    <w:rsid w:val="00F70552"/>
    <w:rsid w:val="00F70C6A"/>
    <w:rsid w:val="00F70C6E"/>
    <w:rsid w:val="00F7146D"/>
    <w:rsid w:val="00F7179F"/>
    <w:rsid w:val="00F7191B"/>
    <w:rsid w:val="00F722BF"/>
    <w:rsid w:val="00F731D3"/>
    <w:rsid w:val="00F7332D"/>
    <w:rsid w:val="00F75EBA"/>
    <w:rsid w:val="00F76125"/>
    <w:rsid w:val="00F770A3"/>
    <w:rsid w:val="00F77E27"/>
    <w:rsid w:val="00F80435"/>
    <w:rsid w:val="00F80522"/>
    <w:rsid w:val="00F80DDA"/>
    <w:rsid w:val="00F815B7"/>
    <w:rsid w:val="00F81817"/>
    <w:rsid w:val="00F81A96"/>
    <w:rsid w:val="00F81B1A"/>
    <w:rsid w:val="00F8292B"/>
    <w:rsid w:val="00F82C7D"/>
    <w:rsid w:val="00F8308F"/>
    <w:rsid w:val="00F8312A"/>
    <w:rsid w:val="00F83E43"/>
    <w:rsid w:val="00F842BB"/>
    <w:rsid w:val="00F8480A"/>
    <w:rsid w:val="00F8657D"/>
    <w:rsid w:val="00F86DE0"/>
    <w:rsid w:val="00F86DE2"/>
    <w:rsid w:val="00F86E41"/>
    <w:rsid w:val="00F8709B"/>
    <w:rsid w:val="00F871FB"/>
    <w:rsid w:val="00F876FE"/>
    <w:rsid w:val="00F87CB7"/>
    <w:rsid w:val="00F90174"/>
    <w:rsid w:val="00F90179"/>
    <w:rsid w:val="00F90B63"/>
    <w:rsid w:val="00F91A31"/>
    <w:rsid w:val="00F91C79"/>
    <w:rsid w:val="00F91D7D"/>
    <w:rsid w:val="00F9234A"/>
    <w:rsid w:val="00F92757"/>
    <w:rsid w:val="00F92AE5"/>
    <w:rsid w:val="00F92E7C"/>
    <w:rsid w:val="00F937FB"/>
    <w:rsid w:val="00F9384B"/>
    <w:rsid w:val="00F9388E"/>
    <w:rsid w:val="00F942A6"/>
    <w:rsid w:val="00F944C2"/>
    <w:rsid w:val="00F94C4B"/>
    <w:rsid w:val="00F95223"/>
    <w:rsid w:val="00F9563D"/>
    <w:rsid w:val="00F95654"/>
    <w:rsid w:val="00F95754"/>
    <w:rsid w:val="00F95BC5"/>
    <w:rsid w:val="00F95E75"/>
    <w:rsid w:val="00F96C77"/>
    <w:rsid w:val="00F97052"/>
    <w:rsid w:val="00F9722F"/>
    <w:rsid w:val="00F97DDE"/>
    <w:rsid w:val="00FA0022"/>
    <w:rsid w:val="00FA022A"/>
    <w:rsid w:val="00FA04C5"/>
    <w:rsid w:val="00FA0DBD"/>
    <w:rsid w:val="00FA1566"/>
    <w:rsid w:val="00FA1969"/>
    <w:rsid w:val="00FA1C06"/>
    <w:rsid w:val="00FA252A"/>
    <w:rsid w:val="00FA2724"/>
    <w:rsid w:val="00FA3414"/>
    <w:rsid w:val="00FA37A6"/>
    <w:rsid w:val="00FA37FD"/>
    <w:rsid w:val="00FA4429"/>
    <w:rsid w:val="00FA4840"/>
    <w:rsid w:val="00FA4D55"/>
    <w:rsid w:val="00FA54AE"/>
    <w:rsid w:val="00FA6791"/>
    <w:rsid w:val="00FA6E58"/>
    <w:rsid w:val="00FA726F"/>
    <w:rsid w:val="00FA73C8"/>
    <w:rsid w:val="00FA75A0"/>
    <w:rsid w:val="00FA7E07"/>
    <w:rsid w:val="00FB02A4"/>
    <w:rsid w:val="00FB0527"/>
    <w:rsid w:val="00FB05B9"/>
    <w:rsid w:val="00FB0C6B"/>
    <w:rsid w:val="00FB2CAD"/>
    <w:rsid w:val="00FB42C0"/>
    <w:rsid w:val="00FB5C61"/>
    <w:rsid w:val="00FB5D94"/>
    <w:rsid w:val="00FB6C90"/>
    <w:rsid w:val="00FB6DB7"/>
    <w:rsid w:val="00FB77C9"/>
    <w:rsid w:val="00FB7B77"/>
    <w:rsid w:val="00FC0878"/>
    <w:rsid w:val="00FC1005"/>
    <w:rsid w:val="00FC1423"/>
    <w:rsid w:val="00FC1B08"/>
    <w:rsid w:val="00FC20F5"/>
    <w:rsid w:val="00FC298C"/>
    <w:rsid w:val="00FC362A"/>
    <w:rsid w:val="00FC3700"/>
    <w:rsid w:val="00FC44D7"/>
    <w:rsid w:val="00FC502F"/>
    <w:rsid w:val="00FC52C8"/>
    <w:rsid w:val="00FC552E"/>
    <w:rsid w:val="00FC6406"/>
    <w:rsid w:val="00FC6E94"/>
    <w:rsid w:val="00FC705B"/>
    <w:rsid w:val="00FC771A"/>
    <w:rsid w:val="00FC7F20"/>
    <w:rsid w:val="00FD0417"/>
    <w:rsid w:val="00FD067F"/>
    <w:rsid w:val="00FD0A2D"/>
    <w:rsid w:val="00FD0D84"/>
    <w:rsid w:val="00FD1784"/>
    <w:rsid w:val="00FD18F6"/>
    <w:rsid w:val="00FD1BA4"/>
    <w:rsid w:val="00FD1C25"/>
    <w:rsid w:val="00FD2259"/>
    <w:rsid w:val="00FD2515"/>
    <w:rsid w:val="00FD2751"/>
    <w:rsid w:val="00FD34F3"/>
    <w:rsid w:val="00FD4658"/>
    <w:rsid w:val="00FD5662"/>
    <w:rsid w:val="00FD58A0"/>
    <w:rsid w:val="00FD5AB3"/>
    <w:rsid w:val="00FD5AF0"/>
    <w:rsid w:val="00FD5CA7"/>
    <w:rsid w:val="00FD5FE7"/>
    <w:rsid w:val="00FD6094"/>
    <w:rsid w:val="00FD6A57"/>
    <w:rsid w:val="00FD6C87"/>
    <w:rsid w:val="00FD6D1A"/>
    <w:rsid w:val="00FD6D2B"/>
    <w:rsid w:val="00FD7350"/>
    <w:rsid w:val="00FD78F5"/>
    <w:rsid w:val="00FE04AA"/>
    <w:rsid w:val="00FE0B45"/>
    <w:rsid w:val="00FE0DA1"/>
    <w:rsid w:val="00FE10A6"/>
    <w:rsid w:val="00FE120D"/>
    <w:rsid w:val="00FE12BC"/>
    <w:rsid w:val="00FE1FCE"/>
    <w:rsid w:val="00FE2479"/>
    <w:rsid w:val="00FE28CA"/>
    <w:rsid w:val="00FE2C3D"/>
    <w:rsid w:val="00FE3093"/>
    <w:rsid w:val="00FE380A"/>
    <w:rsid w:val="00FE3D5D"/>
    <w:rsid w:val="00FE4316"/>
    <w:rsid w:val="00FE497D"/>
    <w:rsid w:val="00FE4A6F"/>
    <w:rsid w:val="00FE4D6D"/>
    <w:rsid w:val="00FE4FA8"/>
    <w:rsid w:val="00FE637D"/>
    <w:rsid w:val="00FE657D"/>
    <w:rsid w:val="00FE697C"/>
    <w:rsid w:val="00FE6D1A"/>
    <w:rsid w:val="00FE736D"/>
    <w:rsid w:val="00FE752E"/>
    <w:rsid w:val="00FE784A"/>
    <w:rsid w:val="00FE7A1E"/>
    <w:rsid w:val="00FE7D93"/>
    <w:rsid w:val="00FF0C4B"/>
    <w:rsid w:val="00FF1142"/>
    <w:rsid w:val="00FF17D5"/>
    <w:rsid w:val="00FF1A2D"/>
    <w:rsid w:val="00FF1CEA"/>
    <w:rsid w:val="00FF3126"/>
    <w:rsid w:val="00FF3279"/>
    <w:rsid w:val="00FF385D"/>
    <w:rsid w:val="00FF5AA6"/>
    <w:rsid w:val="00FF613D"/>
    <w:rsid w:val="00FF61D1"/>
    <w:rsid w:val="00FF69C9"/>
    <w:rsid w:val="00FF6E26"/>
    <w:rsid w:val="00FF7187"/>
    <w:rsid w:val="00FF7379"/>
    <w:rsid w:val="00FF7D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5E6"/>
    <w:pPr>
      <w:jc w:val="both"/>
    </w:pPr>
    <w:rPr>
      <w:rFonts w:ascii="Arial" w:hAnsi="Arial"/>
      <w:sz w:val="24"/>
    </w:rPr>
  </w:style>
  <w:style w:type="paragraph" w:styleId="Heading1">
    <w:name w:val="heading 1"/>
    <w:basedOn w:val="Normal"/>
    <w:next w:val="EYBodytextwithparaspace"/>
    <w:link w:val="Heading1Char"/>
    <w:rsid w:val="008738B7"/>
    <w:pPr>
      <w:keepNext/>
      <w:numPr>
        <w:numId w:val="22"/>
      </w:numPr>
      <w:autoSpaceDE w:val="0"/>
      <w:autoSpaceDN w:val="0"/>
      <w:adjustRightInd w:val="0"/>
      <w:spacing w:after="240" w:line="240" w:lineRule="auto"/>
      <w:jc w:val="left"/>
      <w:outlineLvl w:val="0"/>
    </w:pPr>
    <w:rPr>
      <w:rFonts w:eastAsia="Times New Roman" w:cs="Arial"/>
      <w:b/>
      <w:bCs/>
      <w:sz w:val="36"/>
      <w:szCs w:val="24"/>
    </w:rPr>
  </w:style>
  <w:style w:type="paragraph" w:styleId="Heading2">
    <w:name w:val="heading 2"/>
    <w:basedOn w:val="Normal"/>
    <w:next w:val="EYBodytextwithparaspace"/>
    <w:link w:val="Heading2Char"/>
    <w:rsid w:val="00220789"/>
    <w:pPr>
      <w:keepNext/>
      <w:numPr>
        <w:ilvl w:val="1"/>
        <w:numId w:val="22"/>
      </w:numPr>
      <w:autoSpaceDE w:val="0"/>
      <w:autoSpaceDN w:val="0"/>
      <w:adjustRightInd w:val="0"/>
      <w:spacing w:after="120" w:line="240" w:lineRule="auto"/>
      <w:jc w:val="left"/>
      <w:outlineLvl w:val="1"/>
    </w:pPr>
    <w:rPr>
      <w:rFonts w:eastAsia="Times New Roman" w:cs="Arial"/>
      <w:b/>
      <w:bCs/>
      <w:iCs/>
      <w:sz w:val="28"/>
      <w:szCs w:val="20"/>
    </w:rPr>
  </w:style>
  <w:style w:type="paragraph" w:styleId="Heading3">
    <w:name w:val="heading 3"/>
    <w:basedOn w:val="Normal"/>
    <w:next w:val="EYBodytextwithparaspace"/>
    <w:link w:val="Heading3Char"/>
    <w:rsid w:val="00220789"/>
    <w:pPr>
      <w:keepNext/>
      <w:numPr>
        <w:ilvl w:val="2"/>
        <w:numId w:val="22"/>
      </w:numPr>
      <w:autoSpaceDE w:val="0"/>
      <w:autoSpaceDN w:val="0"/>
      <w:adjustRightInd w:val="0"/>
      <w:spacing w:after="120" w:line="240" w:lineRule="auto"/>
      <w:jc w:val="left"/>
      <w:outlineLvl w:val="2"/>
    </w:pPr>
    <w:rPr>
      <w:rFonts w:eastAsia="Times New Roman" w:cs="Arial"/>
      <w:b/>
      <w:bCs/>
      <w:szCs w:val="20"/>
    </w:rPr>
  </w:style>
  <w:style w:type="paragraph" w:styleId="Heading4">
    <w:name w:val="heading 4"/>
    <w:basedOn w:val="Normal"/>
    <w:next w:val="EYBodytextwithparaspace"/>
    <w:link w:val="Heading4Char"/>
    <w:rsid w:val="00220789"/>
    <w:pPr>
      <w:numPr>
        <w:ilvl w:val="3"/>
        <w:numId w:val="22"/>
      </w:numPr>
      <w:autoSpaceDE w:val="0"/>
      <w:autoSpaceDN w:val="0"/>
      <w:adjustRightInd w:val="0"/>
      <w:spacing w:after="120" w:line="240" w:lineRule="auto"/>
      <w:jc w:val="left"/>
      <w:outlineLvl w:val="3"/>
    </w:pPr>
    <w:rPr>
      <w:rFonts w:eastAsia="Times New Roman" w:cs="Arial"/>
      <w:color w:val="000000"/>
      <w:szCs w:val="20"/>
    </w:rPr>
  </w:style>
  <w:style w:type="paragraph" w:styleId="Heading5">
    <w:name w:val="heading 5"/>
    <w:basedOn w:val="Normal"/>
    <w:next w:val="EYBodytextwithparaspace"/>
    <w:link w:val="Heading5Char"/>
    <w:rsid w:val="00220789"/>
    <w:pPr>
      <w:autoSpaceDE w:val="0"/>
      <w:autoSpaceDN w:val="0"/>
      <w:adjustRightInd w:val="0"/>
      <w:spacing w:after="120" w:line="240" w:lineRule="auto"/>
      <w:jc w:val="left"/>
      <w:outlineLvl w:val="4"/>
    </w:pPr>
    <w:rPr>
      <w:rFonts w:eastAsia="Times New Roman" w:cs="Arial"/>
      <w:b/>
      <w:sz w:val="22"/>
      <w:szCs w:val="20"/>
    </w:rPr>
  </w:style>
  <w:style w:type="paragraph" w:styleId="Heading6">
    <w:name w:val="heading 6"/>
    <w:basedOn w:val="Normal"/>
    <w:next w:val="EYBodytextwithparaspace"/>
    <w:link w:val="Heading6Char"/>
    <w:rsid w:val="00220789"/>
    <w:pPr>
      <w:autoSpaceDE w:val="0"/>
      <w:autoSpaceDN w:val="0"/>
      <w:adjustRightInd w:val="0"/>
      <w:spacing w:after="0" w:line="240" w:lineRule="auto"/>
      <w:jc w:val="left"/>
      <w:outlineLvl w:val="5"/>
    </w:pPr>
    <w:rPr>
      <w:rFonts w:eastAsia="Times New Roman" w:cs="Arial"/>
      <w:sz w:val="22"/>
      <w:szCs w:val="20"/>
    </w:rPr>
  </w:style>
  <w:style w:type="paragraph" w:styleId="Heading7">
    <w:name w:val="heading 7"/>
    <w:basedOn w:val="Normal"/>
    <w:next w:val="EYBodytextwithparaspace"/>
    <w:link w:val="Heading7Char"/>
    <w:rsid w:val="00220789"/>
    <w:pPr>
      <w:autoSpaceDE w:val="0"/>
      <w:autoSpaceDN w:val="0"/>
      <w:adjustRightInd w:val="0"/>
      <w:spacing w:after="120" w:line="240" w:lineRule="auto"/>
      <w:jc w:val="left"/>
      <w:outlineLvl w:val="6"/>
    </w:pPr>
    <w:rPr>
      <w:rFonts w:eastAsia="Times New Roman" w:cs="Arial"/>
      <w:b/>
      <w:sz w:val="20"/>
      <w:szCs w:val="20"/>
    </w:rPr>
  </w:style>
  <w:style w:type="paragraph" w:styleId="Heading8">
    <w:name w:val="heading 8"/>
    <w:basedOn w:val="Normal"/>
    <w:next w:val="EYBodytextwithparaspace"/>
    <w:link w:val="Heading8Char"/>
    <w:rsid w:val="00220789"/>
    <w:pPr>
      <w:autoSpaceDE w:val="0"/>
      <w:autoSpaceDN w:val="0"/>
      <w:adjustRightInd w:val="0"/>
      <w:spacing w:after="120" w:line="240" w:lineRule="auto"/>
      <w:jc w:val="left"/>
      <w:outlineLvl w:val="7"/>
    </w:pPr>
    <w:rPr>
      <w:rFonts w:eastAsia="Times New Roman" w:cs="Arial"/>
      <w:sz w:val="20"/>
      <w:szCs w:val="20"/>
    </w:rPr>
  </w:style>
  <w:style w:type="paragraph" w:styleId="Heading9">
    <w:name w:val="heading 9"/>
    <w:basedOn w:val="Normal"/>
    <w:next w:val="EYBodytextwithparaspace"/>
    <w:link w:val="Heading9Char"/>
    <w:rsid w:val="00220789"/>
    <w:pPr>
      <w:autoSpaceDE w:val="0"/>
      <w:autoSpaceDN w:val="0"/>
      <w:adjustRightInd w:val="0"/>
      <w:spacing w:after="0" w:line="240" w:lineRule="auto"/>
      <w:jc w:val="left"/>
      <w:outlineLvl w:val="8"/>
    </w:pPr>
    <w:rPr>
      <w:rFonts w:eastAsia="Times New Roman" w:cs="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4B3"/>
    <w:rPr>
      <w:rFonts w:ascii="Tahoma" w:hAnsi="Tahoma" w:cs="Tahoma"/>
      <w:sz w:val="16"/>
      <w:szCs w:val="16"/>
    </w:rPr>
  </w:style>
  <w:style w:type="character" w:styleId="Hyperlink">
    <w:name w:val="Hyperlink"/>
    <w:basedOn w:val="DefaultParagraphFont"/>
    <w:uiPriority w:val="99"/>
    <w:unhideWhenUsed/>
    <w:rsid w:val="006B1694"/>
    <w:rPr>
      <w:color w:val="0000FF" w:themeColor="hyperlink"/>
      <w:u w:val="single"/>
    </w:rPr>
  </w:style>
  <w:style w:type="character" w:customStyle="1" w:styleId="Heading2Char">
    <w:name w:val="Heading 2 Char"/>
    <w:basedOn w:val="DefaultParagraphFont"/>
    <w:link w:val="Heading2"/>
    <w:rsid w:val="00313773"/>
    <w:rPr>
      <w:rFonts w:ascii="Arial" w:eastAsia="Times New Roman" w:hAnsi="Arial" w:cs="Arial"/>
      <w:b/>
      <w:bCs/>
      <w:iCs/>
      <w:sz w:val="28"/>
      <w:szCs w:val="20"/>
    </w:rPr>
  </w:style>
  <w:style w:type="character" w:customStyle="1" w:styleId="Heading1Char">
    <w:name w:val="Heading 1 Char"/>
    <w:basedOn w:val="DefaultParagraphFont"/>
    <w:link w:val="Heading1"/>
    <w:rsid w:val="008738B7"/>
    <w:rPr>
      <w:rFonts w:ascii="Arial" w:eastAsia="Times New Roman" w:hAnsi="Arial" w:cs="Arial"/>
      <w:b/>
      <w:bCs/>
      <w:sz w:val="36"/>
      <w:szCs w:val="24"/>
    </w:rPr>
  </w:style>
  <w:style w:type="character" w:customStyle="1" w:styleId="Heading3Char">
    <w:name w:val="Heading 3 Char"/>
    <w:basedOn w:val="DefaultParagraphFont"/>
    <w:link w:val="Heading3"/>
    <w:rsid w:val="004D6D4D"/>
    <w:rPr>
      <w:rFonts w:ascii="Arial" w:eastAsia="Times New Roman" w:hAnsi="Arial" w:cs="Arial"/>
      <w:b/>
      <w:bCs/>
      <w:sz w:val="24"/>
      <w:szCs w:val="20"/>
    </w:rPr>
  </w:style>
  <w:style w:type="paragraph" w:styleId="NoSpacing">
    <w:name w:val="No Spacing"/>
    <w:uiPriority w:val="1"/>
    <w:qFormat/>
    <w:rsid w:val="004134BC"/>
    <w:pPr>
      <w:spacing w:after="0" w:line="240" w:lineRule="auto"/>
    </w:pPr>
  </w:style>
  <w:style w:type="table" w:styleId="TableGrid">
    <w:name w:val="Table Grid"/>
    <w:basedOn w:val="TableNormal"/>
    <w:uiPriority w:val="59"/>
    <w:rsid w:val="00883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21DFC"/>
    <w:pPr>
      <w:contextualSpacing/>
    </w:pPr>
    <w:rPr>
      <w:i/>
      <w:iCs/>
      <w:color w:val="000000" w:themeColor="text1"/>
    </w:rPr>
  </w:style>
  <w:style w:type="character" w:customStyle="1" w:styleId="QuoteChar">
    <w:name w:val="Quote Char"/>
    <w:basedOn w:val="DefaultParagraphFont"/>
    <w:link w:val="Quote"/>
    <w:uiPriority w:val="29"/>
    <w:rsid w:val="00321DFC"/>
    <w:rPr>
      <w:i/>
      <w:iCs/>
      <w:color w:val="000000" w:themeColor="text1"/>
    </w:rPr>
  </w:style>
  <w:style w:type="paragraph" w:styleId="ListParagraph">
    <w:name w:val="List Paragraph"/>
    <w:basedOn w:val="Normal"/>
    <w:uiPriority w:val="34"/>
    <w:qFormat/>
    <w:rsid w:val="00E62BF7"/>
    <w:pPr>
      <w:ind w:left="720"/>
      <w:contextualSpacing/>
    </w:pPr>
  </w:style>
  <w:style w:type="paragraph" w:styleId="NormalWeb">
    <w:name w:val="Normal (Web)"/>
    <w:basedOn w:val="Normal"/>
    <w:uiPriority w:val="99"/>
    <w:unhideWhenUsed/>
    <w:rsid w:val="00286852"/>
    <w:rPr>
      <w:rFonts w:ascii="Times New Roman" w:hAnsi="Times New Roman" w:cs="Times New Roman"/>
      <w:szCs w:val="24"/>
    </w:rPr>
  </w:style>
  <w:style w:type="paragraph" w:styleId="Header">
    <w:name w:val="header"/>
    <w:basedOn w:val="Normal"/>
    <w:link w:val="HeaderChar"/>
    <w:rsid w:val="00220789"/>
    <w:pPr>
      <w:tabs>
        <w:tab w:val="center" w:pos="4513"/>
        <w:tab w:val="right" w:pos="9026"/>
      </w:tabs>
      <w:autoSpaceDE w:val="0"/>
      <w:autoSpaceDN w:val="0"/>
      <w:adjustRightInd w:val="0"/>
      <w:spacing w:after="0" w:line="240" w:lineRule="auto"/>
      <w:jc w:val="left"/>
    </w:pPr>
    <w:rPr>
      <w:rFonts w:eastAsia="Times New Roman" w:cs="Arial"/>
      <w:sz w:val="20"/>
      <w:szCs w:val="20"/>
    </w:rPr>
  </w:style>
  <w:style w:type="character" w:customStyle="1" w:styleId="HeaderChar">
    <w:name w:val="Header Char"/>
    <w:basedOn w:val="DefaultParagraphFont"/>
    <w:link w:val="Header"/>
    <w:rsid w:val="00220789"/>
    <w:rPr>
      <w:rFonts w:ascii="Arial" w:eastAsia="Times New Roman" w:hAnsi="Arial" w:cs="Arial"/>
      <w:sz w:val="20"/>
      <w:szCs w:val="20"/>
    </w:rPr>
  </w:style>
  <w:style w:type="paragraph" w:styleId="Footer">
    <w:name w:val="footer"/>
    <w:aliases w:val="EY Footer"/>
    <w:basedOn w:val="Normal"/>
    <w:link w:val="FooterChar"/>
    <w:rsid w:val="00220789"/>
    <w:pPr>
      <w:widowControl w:val="0"/>
      <w:tabs>
        <w:tab w:val="center" w:pos="4320"/>
        <w:tab w:val="right" w:pos="8640"/>
      </w:tabs>
      <w:autoSpaceDE w:val="0"/>
      <w:autoSpaceDN w:val="0"/>
      <w:adjustRightInd w:val="0"/>
      <w:spacing w:after="0" w:line="240" w:lineRule="auto"/>
      <w:jc w:val="left"/>
    </w:pPr>
    <w:rPr>
      <w:rFonts w:eastAsia="Times New Roman" w:cs="Arial"/>
      <w:sz w:val="16"/>
      <w:szCs w:val="20"/>
    </w:rPr>
  </w:style>
  <w:style w:type="character" w:customStyle="1" w:styleId="FooterChar">
    <w:name w:val="Footer Char"/>
    <w:aliases w:val="EY Footer Char"/>
    <w:basedOn w:val="DefaultParagraphFont"/>
    <w:link w:val="Footer"/>
    <w:rsid w:val="00220789"/>
    <w:rPr>
      <w:rFonts w:ascii="Arial" w:eastAsia="Times New Roman" w:hAnsi="Arial" w:cs="Arial"/>
      <w:sz w:val="16"/>
      <w:szCs w:val="20"/>
    </w:rPr>
  </w:style>
  <w:style w:type="character" w:customStyle="1" w:styleId="Heading4Char">
    <w:name w:val="Heading 4 Char"/>
    <w:basedOn w:val="DefaultParagraphFont"/>
    <w:link w:val="Heading4"/>
    <w:rsid w:val="004D6D4D"/>
    <w:rPr>
      <w:rFonts w:ascii="Arial" w:eastAsia="Times New Roman" w:hAnsi="Arial" w:cs="Arial"/>
      <w:color w:val="000000"/>
      <w:sz w:val="24"/>
      <w:szCs w:val="20"/>
    </w:rPr>
  </w:style>
  <w:style w:type="paragraph" w:styleId="FootnoteText">
    <w:name w:val="footnote text"/>
    <w:aliases w:val="fn,FT,ft,SD Footnote Text,Footnote Text AG"/>
    <w:basedOn w:val="Normal"/>
    <w:link w:val="FootnoteTextChar"/>
    <w:uiPriority w:val="99"/>
    <w:rsid w:val="00220789"/>
    <w:pPr>
      <w:keepNext/>
      <w:keepLines/>
      <w:autoSpaceDE w:val="0"/>
      <w:autoSpaceDN w:val="0"/>
      <w:adjustRightInd w:val="0"/>
      <w:spacing w:after="0" w:line="240" w:lineRule="auto"/>
      <w:jc w:val="left"/>
    </w:pPr>
    <w:rPr>
      <w:rFonts w:eastAsia="Times New Roman" w:cs="Arial"/>
      <w:sz w:val="16"/>
      <w:szCs w:val="20"/>
    </w:rPr>
  </w:style>
  <w:style w:type="character" w:customStyle="1" w:styleId="FootnoteTextChar">
    <w:name w:val="Footnote Text Char"/>
    <w:aliases w:val="fn Char,FT Char,ft Char,SD Footnote Text Char,Footnote Text AG Char"/>
    <w:basedOn w:val="DefaultParagraphFont"/>
    <w:link w:val="FootnoteText"/>
    <w:uiPriority w:val="99"/>
    <w:rsid w:val="00220789"/>
    <w:rPr>
      <w:rFonts w:ascii="Arial" w:eastAsia="Times New Roman" w:hAnsi="Arial" w:cs="Arial"/>
      <w:sz w:val="16"/>
      <w:szCs w:val="20"/>
    </w:rPr>
  </w:style>
  <w:style w:type="character" w:styleId="FootnoteReference">
    <w:name w:val="footnote reference"/>
    <w:aliases w:val="fr"/>
    <w:basedOn w:val="DefaultParagraphFont"/>
    <w:uiPriority w:val="99"/>
    <w:semiHidden/>
    <w:rsid w:val="00220789"/>
    <w:rPr>
      <w:rFonts w:ascii="Arial" w:hAnsi="Arial" w:cs="Arial"/>
      <w:position w:val="0"/>
      <w:sz w:val="20"/>
      <w:szCs w:val="20"/>
      <w:vertAlign w:val="superscript"/>
    </w:rPr>
  </w:style>
  <w:style w:type="character" w:styleId="Strong">
    <w:name w:val="Strong"/>
    <w:basedOn w:val="DefaultParagraphFont"/>
    <w:qFormat/>
    <w:rsid w:val="001D3EA4"/>
    <w:rPr>
      <w:b/>
      <w:bCs/>
    </w:rPr>
  </w:style>
  <w:style w:type="paragraph" w:styleId="TOCHeading">
    <w:name w:val="TOC Heading"/>
    <w:basedOn w:val="Heading1"/>
    <w:next w:val="Normal"/>
    <w:uiPriority w:val="39"/>
    <w:unhideWhenUsed/>
    <w:qFormat/>
    <w:rsid w:val="001746FE"/>
    <w:pPr>
      <w:outlineLvl w:val="9"/>
    </w:pPr>
    <w:rPr>
      <w:color w:val="365F91" w:themeColor="accent1" w:themeShade="BF"/>
      <w:sz w:val="28"/>
      <w:lang w:val="en-US" w:eastAsia="ja-JP"/>
    </w:rPr>
  </w:style>
  <w:style w:type="paragraph" w:styleId="TOC3">
    <w:name w:val="toc 3"/>
    <w:basedOn w:val="Normal"/>
    <w:next w:val="Normal"/>
    <w:autoRedefine/>
    <w:uiPriority w:val="39"/>
    <w:unhideWhenUsed/>
    <w:rsid w:val="001746FE"/>
    <w:pPr>
      <w:spacing w:after="100"/>
      <w:ind w:left="440"/>
    </w:pPr>
  </w:style>
  <w:style w:type="paragraph" w:styleId="TOC1">
    <w:name w:val="toc 1"/>
    <w:basedOn w:val="Normal"/>
    <w:next w:val="Normal"/>
    <w:autoRedefine/>
    <w:uiPriority w:val="39"/>
    <w:unhideWhenUsed/>
    <w:rsid w:val="006E0F5B"/>
    <w:pPr>
      <w:spacing w:after="100" w:line="240" w:lineRule="auto"/>
      <w:jc w:val="left"/>
    </w:pPr>
  </w:style>
  <w:style w:type="paragraph" w:styleId="TOC2">
    <w:name w:val="toc 2"/>
    <w:basedOn w:val="Normal"/>
    <w:next w:val="Normal"/>
    <w:autoRedefine/>
    <w:uiPriority w:val="39"/>
    <w:unhideWhenUsed/>
    <w:rsid w:val="006E0F5B"/>
    <w:pPr>
      <w:tabs>
        <w:tab w:val="left" w:pos="880"/>
        <w:tab w:val="right" w:leader="dot" w:pos="9627"/>
      </w:tabs>
      <w:spacing w:after="60" w:line="240" w:lineRule="auto"/>
      <w:ind w:left="221"/>
      <w:jc w:val="left"/>
    </w:pPr>
  </w:style>
  <w:style w:type="paragraph" w:styleId="IntenseQuote">
    <w:name w:val="Intense Quote"/>
    <w:basedOn w:val="Normal"/>
    <w:next w:val="Normal"/>
    <w:link w:val="IntenseQuoteChar"/>
    <w:uiPriority w:val="30"/>
    <w:qFormat/>
    <w:rsid w:val="005909D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5909D5"/>
    <w:rPr>
      <w:b/>
      <w:bCs/>
      <w:i/>
      <w:iCs/>
    </w:rPr>
  </w:style>
  <w:style w:type="character" w:styleId="CommentReference">
    <w:name w:val="annotation reference"/>
    <w:basedOn w:val="DefaultParagraphFont"/>
    <w:uiPriority w:val="99"/>
    <w:semiHidden/>
    <w:unhideWhenUsed/>
    <w:rsid w:val="0035231C"/>
    <w:rPr>
      <w:sz w:val="16"/>
      <w:szCs w:val="16"/>
    </w:rPr>
  </w:style>
  <w:style w:type="paragraph" w:styleId="CommentText">
    <w:name w:val="annotation text"/>
    <w:basedOn w:val="Normal"/>
    <w:link w:val="CommentTextChar"/>
    <w:uiPriority w:val="99"/>
    <w:unhideWhenUsed/>
    <w:rsid w:val="0035231C"/>
    <w:pPr>
      <w:spacing w:line="240" w:lineRule="auto"/>
    </w:pPr>
    <w:rPr>
      <w:sz w:val="20"/>
      <w:szCs w:val="20"/>
    </w:rPr>
  </w:style>
  <w:style w:type="character" w:customStyle="1" w:styleId="CommentTextChar">
    <w:name w:val="Comment Text Char"/>
    <w:basedOn w:val="DefaultParagraphFont"/>
    <w:link w:val="CommentText"/>
    <w:uiPriority w:val="99"/>
    <w:rsid w:val="0035231C"/>
    <w:rPr>
      <w:sz w:val="20"/>
      <w:szCs w:val="20"/>
    </w:rPr>
  </w:style>
  <w:style w:type="paragraph" w:styleId="CommentSubject">
    <w:name w:val="annotation subject"/>
    <w:basedOn w:val="CommentText"/>
    <w:next w:val="CommentText"/>
    <w:link w:val="CommentSubjectChar"/>
    <w:uiPriority w:val="99"/>
    <w:semiHidden/>
    <w:unhideWhenUsed/>
    <w:rsid w:val="0035231C"/>
    <w:rPr>
      <w:b/>
      <w:bCs/>
    </w:rPr>
  </w:style>
  <w:style w:type="character" w:customStyle="1" w:styleId="CommentSubjectChar">
    <w:name w:val="Comment Subject Char"/>
    <w:basedOn w:val="CommentTextChar"/>
    <w:link w:val="CommentSubject"/>
    <w:uiPriority w:val="99"/>
    <w:semiHidden/>
    <w:rsid w:val="0035231C"/>
    <w:rPr>
      <w:b/>
      <w:bCs/>
      <w:sz w:val="20"/>
      <w:szCs w:val="20"/>
    </w:rPr>
  </w:style>
  <w:style w:type="table" w:customStyle="1" w:styleId="TableGrid1">
    <w:name w:val="Table Grid1"/>
    <w:basedOn w:val="TableNormal"/>
    <w:next w:val="TableGrid"/>
    <w:uiPriority w:val="59"/>
    <w:rsid w:val="0041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block,bt,Body text,t1,taten_body,body text,Body Text 1,NoticeText-List,body,Body,Cargo,heading3,NCDOT Body Text,Starbucks Body Text,3 indent,heading31,body text1,3 indent1,heading32,body text2,3 indent2,heading33,body text3,3 indent3,bd,B,by"/>
    <w:basedOn w:val="Normal"/>
    <w:link w:val="BodyTextChar"/>
    <w:rsid w:val="00B2467E"/>
    <w:pPr>
      <w:spacing w:before="130" w:after="130" w:line="240" w:lineRule="auto"/>
    </w:pPr>
    <w:rPr>
      <w:rFonts w:eastAsia="Times New Roman" w:cs="Times New Roman"/>
      <w:szCs w:val="20"/>
    </w:rPr>
  </w:style>
  <w:style w:type="character" w:customStyle="1" w:styleId="BodyTextChar">
    <w:name w:val="Body Text Char"/>
    <w:aliases w:val="b Char,block Char,bt Char,Body text Char,t1 Char,taten_body Char,body text Char,Body Text 1 Char,NoticeText-List Char,body Char,Body Char,Cargo Char,heading3 Char,NCDOT Body Text Char,Starbucks Body Text Char,3 indent Char,heading31 Char"/>
    <w:basedOn w:val="DefaultParagraphFont"/>
    <w:link w:val="BodyText"/>
    <w:rsid w:val="00B2467E"/>
    <w:rPr>
      <w:rFonts w:ascii="Arial" w:eastAsia="Times New Roman" w:hAnsi="Arial" w:cs="Times New Roman"/>
      <w:sz w:val="24"/>
      <w:szCs w:val="20"/>
    </w:rPr>
  </w:style>
  <w:style w:type="character" w:styleId="PlaceholderText">
    <w:name w:val="Placeholder Text"/>
    <w:basedOn w:val="DefaultParagraphFont"/>
    <w:uiPriority w:val="99"/>
    <w:semiHidden/>
    <w:rsid w:val="00571D94"/>
    <w:rPr>
      <w:color w:val="808080"/>
    </w:rPr>
  </w:style>
  <w:style w:type="paragraph" w:customStyle="1" w:styleId="Default">
    <w:name w:val="Default"/>
    <w:rsid w:val="00512AB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13E94"/>
    <w:pPr>
      <w:spacing w:after="0" w:line="240" w:lineRule="auto"/>
    </w:pPr>
  </w:style>
  <w:style w:type="paragraph" w:styleId="Caption">
    <w:name w:val="caption"/>
    <w:basedOn w:val="Normal"/>
    <w:next w:val="Normal"/>
    <w:uiPriority w:val="35"/>
    <w:unhideWhenUsed/>
    <w:qFormat/>
    <w:rsid w:val="00AA5DEE"/>
    <w:pPr>
      <w:spacing w:line="240" w:lineRule="auto"/>
      <w:jc w:val="left"/>
    </w:pPr>
    <w:rPr>
      <w:b/>
      <w:bCs/>
      <w:color w:val="000000" w:themeColor="text1"/>
      <w:szCs w:val="18"/>
    </w:rPr>
  </w:style>
  <w:style w:type="paragraph" w:styleId="Title">
    <w:name w:val="Title"/>
    <w:basedOn w:val="Normal"/>
    <w:next w:val="Normal"/>
    <w:link w:val="TitleChar"/>
    <w:uiPriority w:val="10"/>
    <w:qFormat/>
    <w:rsid w:val="00340C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0C5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40C5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40C5B"/>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uiPriority w:val="59"/>
    <w:rsid w:val="00EE6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ifiedheading3">
    <w:name w:val="Modified heading 3"/>
    <w:basedOn w:val="Heading3"/>
    <w:link w:val="Modifiedheading3Char"/>
    <w:qFormat/>
    <w:rsid w:val="005D7FA6"/>
    <w:rPr>
      <w:b w:val="0"/>
    </w:rPr>
  </w:style>
  <w:style w:type="paragraph" w:styleId="Bibliography">
    <w:name w:val="Bibliography"/>
    <w:basedOn w:val="Normal"/>
    <w:next w:val="Normal"/>
    <w:uiPriority w:val="37"/>
    <w:semiHidden/>
    <w:unhideWhenUsed/>
    <w:rsid w:val="001C5C07"/>
  </w:style>
  <w:style w:type="character" w:customStyle="1" w:styleId="Modifiedheading3Char">
    <w:name w:val="Modified heading 3 Char"/>
    <w:basedOn w:val="Heading3Char"/>
    <w:link w:val="Modifiedheading3"/>
    <w:rsid w:val="005D7FA6"/>
    <w:rPr>
      <w:rFonts w:ascii="Arial" w:eastAsia="Times New Roman" w:hAnsi="Arial" w:cs="Arial"/>
      <w:b w:val="0"/>
      <w:bCs/>
      <w:sz w:val="24"/>
      <w:szCs w:val="20"/>
    </w:rPr>
  </w:style>
  <w:style w:type="paragraph" w:styleId="BlockText">
    <w:name w:val="Block Text"/>
    <w:basedOn w:val="Normal"/>
    <w:uiPriority w:val="99"/>
    <w:semiHidden/>
    <w:unhideWhenUsed/>
    <w:rsid w:val="001C5C0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1C5C07"/>
    <w:pPr>
      <w:spacing w:after="120" w:line="480" w:lineRule="auto"/>
    </w:pPr>
  </w:style>
  <w:style w:type="character" w:customStyle="1" w:styleId="BodyText2Char">
    <w:name w:val="Body Text 2 Char"/>
    <w:basedOn w:val="DefaultParagraphFont"/>
    <w:link w:val="BodyText2"/>
    <w:uiPriority w:val="99"/>
    <w:semiHidden/>
    <w:rsid w:val="001C5C07"/>
  </w:style>
  <w:style w:type="paragraph" w:styleId="BodyText3">
    <w:name w:val="Body Text 3"/>
    <w:basedOn w:val="Normal"/>
    <w:link w:val="BodyText3Char"/>
    <w:uiPriority w:val="99"/>
    <w:semiHidden/>
    <w:unhideWhenUsed/>
    <w:rsid w:val="001C5C07"/>
    <w:pPr>
      <w:spacing w:after="120"/>
    </w:pPr>
    <w:rPr>
      <w:sz w:val="16"/>
      <w:szCs w:val="16"/>
    </w:rPr>
  </w:style>
  <w:style w:type="character" w:customStyle="1" w:styleId="BodyText3Char">
    <w:name w:val="Body Text 3 Char"/>
    <w:basedOn w:val="DefaultParagraphFont"/>
    <w:link w:val="BodyText3"/>
    <w:uiPriority w:val="99"/>
    <w:semiHidden/>
    <w:rsid w:val="001C5C07"/>
    <w:rPr>
      <w:sz w:val="16"/>
      <w:szCs w:val="16"/>
    </w:rPr>
  </w:style>
  <w:style w:type="paragraph" w:styleId="BodyTextFirstIndent">
    <w:name w:val="Body Text First Indent"/>
    <w:basedOn w:val="BodyText"/>
    <w:link w:val="BodyTextFirstIndentChar"/>
    <w:uiPriority w:val="99"/>
    <w:semiHidden/>
    <w:unhideWhenUsed/>
    <w:rsid w:val="001C5C07"/>
    <w:pPr>
      <w:spacing w:before="0"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1C5C07"/>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1C5C07"/>
    <w:pPr>
      <w:spacing w:after="120"/>
      <w:ind w:left="283"/>
    </w:pPr>
  </w:style>
  <w:style w:type="character" w:customStyle="1" w:styleId="BodyTextIndentChar">
    <w:name w:val="Body Text Indent Char"/>
    <w:basedOn w:val="DefaultParagraphFont"/>
    <w:link w:val="BodyTextIndent"/>
    <w:uiPriority w:val="99"/>
    <w:semiHidden/>
    <w:rsid w:val="001C5C07"/>
  </w:style>
  <w:style w:type="paragraph" w:styleId="BodyTextFirstIndent2">
    <w:name w:val="Body Text First Indent 2"/>
    <w:basedOn w:val="BodyTextIndent"/>
    <w:link w:val="BodyTextFirstIndent2Char"/>
    <w:uiPriority w:val="99"/>
    <w:semiHidden/>
    <w:unhideWhenUsed/>
    <w:rsid w:val="001C5C0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1C5C07"/>
  </w:style>
  <w:style w:type="paragraph" w:styleId="BodyTextIndent2">
    <w:name w:val="Body Text Indent 2"/>
    <w:basedOn w:val="Normal"/>
    <w:link w:val="BodyTextIndent2Char"/>
    <w:uiPriority w:val="99"/>
    <w:semiHidden/>
    <w:unhideWhenUsed/>
    <w:rsid w:val="001C5C07"/>
    <w:pPr>
      <w:spacing w:after="120" w:line="480" w:lineRule="auto"/>
      <w:ind w:left="283"/>
    </w:pPr>
  </w:style>
  <w:style w:type="character" w:customStyle="1" w:styleId="BodyTextIndent2Char">
    <w:name w:val="Body Text Indent 2 Char"/>
    <w:basedOn w:val="DefaultParagraphFont"/>
    <w:link w:val="BodyTextIndent2"/>
    <w:uiPriority w:val="99"/>
    <w:semiHidden/>
    <w:rsid w:val="001C5C07"/>
  </w:style>
  <w:style w:type="paragraph" w:styleId="BodyTextIndent3">
    <w:name w:val="Body Text Indent 3"/>
    <w:basedOn w:val="Normal"/>
    <w:link w:val="BodyTextIndent3Char"/>
    <w:uiPriority w:val="99"/>
    <w:semiHidden/>
    <w:unhideWhenUsed/>
    <w:rsid w:val="001C5C0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C5C07"/>
    <w:rPr>
      <w:sz w:val="16"/>
      <w:szCs w:val="16"/>
    </w:rPr>
  </w:style>
  <w:style w:type="paragraph" w:styleId="Closing">
    <w:name w:val="Closing"/>
    <w:basedOn w:val="Normal"/>
    <w:link w:val="ClosingChar"/>
    <w:uiPriority w:val="99"/>
    <w:semiHidden/>
    <w:unhideWhenUsed/>
    <w:rsid w:val="001C5C07"/>
    <w:pPr>
      <w:spacing w:after="0" w:line="240" w:lineRule="auto"/>
      <w:ind w:left="4252"/>
    </w:pPr>
  </w:style>
  <w:style w:type="character" w:customStyle="1" w:styleId="ClosingChar">
    <w:name w:val="Closing Char"/>
    <w:basedOn w:val="DefaultParagraphFont"/>
    <w:link w:val="Closing"/>
    <w:uiPriority w:val="99"/>
    <w:semiHidden/>
    <w:rsid w:val="001C5C07"/>
  </w:style>
  <w:style w:type="paragraph" w:styleId="Date">
    <w:name w:val="Date"/>
    <w:basedOn w:val="Normal"/>
    <w:next w:val="Normal"/>
    <w:link w:val="DateChar"/>
    <w:uiPriority w:val="99"/>
    <w:semiHidden/>
    <w:unhideWhenUsed/>
    <w:rsid w:val="001C5C07"/>
  </w:style>
  <w:style w:type="character" w:customStyle="1" w:styleId="DateChar">
    <w:name w:val="Date Char"/>
    <w:basedOn w:val="DefaultParagraphFont"/>
    <w:link w:val="Date"/>
    <w:uiPriority w:val="99"/>
    <w:semiHidden/>
    <w:rsid w:val="001C5C07"/>
  </w:style>
  <w:style w:type="paragraph" w:styleId="DocumentMap">
    <w:name w:val="Document Map"/>
    <w:basedOn w:val="Normal"/>
    <w:link w:val="DocumentMapChar"/>
    <w:uiPriority w:val="99"/>
    <w:semiHidden/>
    <w:unhideWhenUsed/>
    <w:rsid w:val="001C5C0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5C07"/>
    <w:rPr>
      <w:rFonts w:ascii="Tahoma" w:hAnsi="Tahoma" w:cs="Tahoma"/>
      <w:sz w:val="16"/>
      <w:szCs w:val="16"/>
    </w:rPr>
  </w:style>
  <w:style w:type="paragraph" w:styleId="E-mailSignature">
    <w:name w:val="E-mail Signature"/>
    <w:basedOn w:val="Normal"/>
    <w:link w:val="E-mailSignatureChar"/>
    <w:uiPriority w:val="99"/>
    <w:semiHidden/>
    <w:unhideWhenUsed/>
    <w:rsid w:val="001C5C07"/>
    <w:pPr>
      <w:spacing w:after="0" w:line="240" w:lineRule="auto"/>
    </w:pPr>
  </w:style>
  <w:style w:type="character" w:customStyle="1" w:styleId="E-mailSignatureChar">
    <w:name w:val="E-mail Signature Char"/>
    <w:basedOn w:val="DefaultParagraphFont"/>
    <w:link w:val="E-mailSignature"/>
    <w:uiPriority w:val="99"/>
    <w:semiHidden/>
    <w:rsid w:val="001C5C07"/>
  </w:style>
  <w:style w:type="paragraph" w:styleId="EndnoteText">
    <w:name w:val="endnote text"/>
    <w:basedOn w:val="Normal"/>
    <w:link w:val="EndnoteTextChar"/>
    <w:uiPriority w:val="99"/>
    <w:semiHidden/>
    <w:unhideWhenUsed/>
    <w:rsid w:val="001C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5C07"/>
    <w:rPr>
      <w:sz w:val="20"/>
      <w:szCs w:val="20"/>
    </w:rPr>
  </w:style>
  <w:style w:type="paragraph" w:styleId="EnvelopeAddress">
    <w:name w:val="envelope address"/>
    <w:basedOn w:val="Normal"/>
    <w:uiPriority w:val="99"/>
    <w:semiHidden/>
    <w:unhideWhenUsed/>
    <w:rsid w:val="001C5C07"/>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C5C07"/>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rsid w:val="001C5C07"/>
    <w:rPr>
      <w:rFonts w:ascii="Arial" w:eastAsia="Times New Roman" w:hAnsi="Arial" w:cs="Arial"/>
      <w:b/>
      <w:szCs w:val="20"/>
    </w:rPr>
  </w:style>
  <w:style w:type="character" w:customStyle="1" w:styleId="Heading6Char">
    <w:name w:val="Heading 6 Char"/>
    <w:basedOn w:val="DefaultParagraphFont"/>
    <w:link w:val="Heading6"/>
    <w:rsid w:val="001C5C07"/>
    <w:rPr>
      <w:rFonts w:ascii="Arial" w:eastAsia="Times New Roman" w:hAnsi="Arial" w:cs="Arial"/>
      <w:szCs w:val="20"/>
    </w:rPr>
  </w:style>
  <w:style w:type="character" w:customStyle="1" w:styleId="Heading7Char">
    <w:name w:val="Heading 7 Char"/>
    <w:basedOn w:val="DefaultParagraphFont"/>
    <w:link w:val="Heading7"/>
    <w:rsid w:val="001C5C07"/>
    <w:rPr>
      <w:rFonts w:ascii="Arial" w:eastAsia="Times New Roman" w:hAnsi="Arial" w:cs="Arial"/>
      <w:b/>
      <w:sz w:val="20"/>
      <w:szCs w:val="20"/>
    </w:rPr>
  </w:style>
  <w:style w:type="character" w:customStyle="1" w:styleId="Heading8Char">
    <w:name w:val="Heading 8 Char"/>
    <w:basedOn w:val="DefaultParagraphFont"/>
    <w:link w:val="Heading8"/>
    <w:rsid w:val="001C5C07"/>
    <w:rPr>
      <w:rFonts w:ascii="Arial" w:eastAsia="Times New Roman" w:hAnsi="Arial" w:cs="Arial"/>
      <w:sz w:val="20"/>
      <w:szCs w:val="20"/>
    </w:rPr>
  </w:style>
  <w:style w:type="character" w:customStyle="1" w:styleId="Heading9Char">
    <w:name w:val="Heading 9 Char"/>
    <w:basedOn w:val="DefaultParagraphFont"/>
    <w:link w:val="Heading9"/>
    <w:rsid w:val="001C5C07"/>
    <w:rPr>
      <w:rFonts w:ascii="Arial" w:eastAsia="Times New Roman" w:hAnsi="Arial" w:cs="Arial"/>
      <w:i/>
      <w:sz w:val="20"/>
      <w:szCs w:val="20"/>
    </w:rPr>
  </w:style>
  <w:style w:type="paragraph" w:styleId="HTMLAddress">
    <w:name w:val="HTML Address"/>
    <w:basedOn w:val="Normal"/>
    <w:link w:val="HTMLAddressChar"/>
    <w:uiPriority w:val="99"/>
    <w:semiHidden/>
    <w:unhideWhenUsed/>
    <w:rsid w:val="001C5C07"/>
    <w:pPr>
      <w:spacing w:after="0" w:line="240" w:lineRule="auto"/>
    </w:pPr>
    <w:rPr>
      <w:i/>
      <w:iCs/>
    </w:rPr>
  </w:style>
  <w:style w:type="character" w:customStyle="1" w:styleId="HTMLAddressChar">
    <w:name w:val="HTML Address Char"/>
    <w:basedOn w:val="DefaultParagraphFont"/>
    <w:link w:val="HTMLAddress"/>
    <w:uiPriority w:val="99"/>
    <w:semiHidden/>
    <w:rsid w:val="001C5C07"/>
    <w:rPr>
      <w:i/>
      <w:iCs/>
    </w:rPr>
  </w:style>
  <w:style w:type="paragraph" w:styleId="HTMLPreformatted">
    <w:name w:val="HTML Preformatted"/>
    <w:basedOn w:val="Normal"/>
    <w:link w:val="HTMLPreformattedChar"/>
    <w:uiPriority w:val="99"/>
    <w:semiHidden/>
    <w:unhideWhenUsed/>
    <w:rsid w:val="001C5C0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C5C07"/>
    <w:rPr>
      <w:rFonts w:ascii="Consolas" w:hAnsi="Consolas"/>
      <w:sz w:val="20"/>
      <w:szCs w:val="20"/>
    </w:rPr>
  </w:style>
  <w:style w:type="paragraph" w:styleId="Index1">
    <w:name w:val="index 1"/>
    <w:basedOn w:val="Normal"/>
    <w:next w:val="Normal"/>
    <w:autoRedefine/>
    <w:uiPriority w:val="99"/>
    <w:semiHidden/>
    <w:unhideWhenUsed/>
    <w:rsid w:val="001C5C07"/>
    <w:pPr>
      <w:spacing w:after="0" w:line="240" w:lineRule="auto"/>
      <w:ind w:left="220" w:hanging="220"/>
    </w:pPr>
  </w:style>
  <w:style w:type="paragraph" w:styleId="Index2">
    <w:name w:val="index 2"/>
    <w:basedOn w:val="Normal"/>
    <w:next w:val="Normal"/>
    <w:autoRedefine/>
    <w:uiPriority w:val="99"/>
    <w:semiHidden/>
    <w:unhideWhenUsed/>
    <w:rsid w:val="001C5C07"/>
    <w:pPr>
      <w:spacing w:after="0" w:line="240" w:lineRule="auto"/>
      <w:ind w:left="440" w:hanging="220"/>
    </w:pPr>
  </w:style>
  <w:style w:type="paragraph" w:styleId="Index3">
    <w:name w:val="index 3"/>
    <w:basedOn w:val="Normal"/>
    <w:next w:val="Normal"/>
    <w:autoRedefine/>
    <w:uiPriority w:val="99"/>
    <w:semiHidden/>
    <w:unhideWhenUsed/>
    <w:rsid w:val="001C5C07"/>
    <w:pPr>
      <w:spacing w:after="0" w:line="240" w:lineRule="auto"/>
      <w:ind w:left="660" w:hanging="220"/>
    </w:pPr>
  </w:style>
  <w:style w:type="paragraph" w:styleId="Index4">
    <w:name w:val="index 4"/>
    <w:basedOn w:val="Normal"/>
    <w:next w:val="Normal"/>
    <w:autoRedefine/>
    <w:uiPriority w:val="99"/>
    <w:semiHidden/>
    <w:unhideWhenUsed/>
    <w:rsid w:val="001C5C07"/>
    <w:pPr>
      <w:spacing w:after="0" w:line="240" w:lineRule="auto"/>
      <w:ind w:left="880" w:hanging="220"/>
    </w:pPr>
  </w:style>
  <w:style w:type="paragraph" w:styleId="Index5">
    <w:name w:val="index 5"/>
    <w:basedOn w:val="Normal"/>
    <w:next w:val="Normal"/>
    <w:autoRedefine/>
    <w:uiPriority w:val="99"/>
    <w:semiHidden/>
    <w:unhideWhenUsed/>
    <w:rsid w:val="001C5C07"/>
    <w:pPr>
      <w:spacing w:after="0" w:line="240" w:lineRule="auto"/>
      <w:ind w:left="1100" w:hanging="220"/>
    </w:pPr>
  </w:style>
  <w:style w:type="paragraph" w:styleId="Index6">
    <w:name w:val="index 6"/>
    <w:basedOn w:val="Normal"/>
    <w:next w:val="Normal"/>
    <w:autoRedefine/>
    <w:uiPriority w:val="99"/>
    <w:semiHidden/>
    <w:unhideWhenUsed/>
    <w:rsid w:val="001C5C07"/>
    <w:pPr>
      <w:spacing w:after="0" w:line="240" w:lineRule="auto"/>
      <w:ind w:left="1320" w:hanging="220"/>
    </w:pPr>
  </w:style>
  <w:style w:type="paragraph" w:styleId="Index7">
    <w:name w:val="index 7"/>
    <w:basedOn w:val="Normal"/>
    <w:next w:val="Normal"/>
    <w:autoRedefine/>
    <w:uiPriority w:val="99"/>
    <w:semiHidden/>
    <w:unhideWhenUsed/>
    <w:rsid w:val="001C5C07"/>
    <w:pPr>
      <w:spacing w:after="0" w:line="240" w:lineRule="auto"/>
      <w:ind w:left="1540" w:hanging="220"/>
    </w:pPr>
  </w:style>
  <w:style w:type="paragraph" w:styleId="Index8">
    <w:name w:val="index 8"/>
    <w:basedOn w:val="Normal"/>
    <w:next w:val="Normal"/>
    <w:autoRedefine/>
    <w:uiPriority w:val="99"/>
    <w:semiHidden/>
    <w:unhideWhenUsed/>
    <w:rsid w:val="001C5C07"/>
    <w:pPr>
      <w:spacing w:after="0" w:line="240" w:lineRule="auto"/>
      <w:ind w:left="1760" w:hanging="220"/>
    </w:pPr>
  </w:style>
  <w:style w:type="paragraph" w:styleId="Index9">
    <w:name w:val="index 9"/>
    <w:basedOn w:val="Normal"/>
    <w:next w:val="Normal"/>
    <w:autoRedefine/>
    <w:uiPriority w:val="99"/>
    <w:semiHidden/>
    <w:unhideWhenUsed/>
    <w:rsid w:val="001C5C07"/>
    <w:pPr>
      <w:spacing w:after="0" w:line="240" w:lineRule="auto"/>
      <w:ind w:left="1980" w:hanging="220"/>
    </w:pPr>
  </w:style>
  <w:style w:type="paragraph" w:styleId="IndexHeading">
    <w:name w:val="index heading"/>
    <w:basedOn w:val="Normal"/>
    <w:next w:val="Index1"/>
    <w:uiPriority w:val="99"/>
    <w:semiHidden/>
    <w:unhideWhenUsed/>
    <w:rsid w:val="001C5C07"/>
    <w:rPr>
      <w:rFonts w:asciiTheme="majorHAnsi" w:eastAsiaTheme="majorEastAsia" w:hAnsiTheme="majorHAnsi" w:cstheme="majorBidi"/>
      <w:b/>
      <w:bCs/>
    </w:rPr>
  </w:style>
  <w:style w:type="paragraph" w:styleId="List">
    <w:name w:val="List"/>
    <w:basedOn w:val="Normal"/>
    <w:uiPriority w:val="99"/>
    <w:semiHidden/>
    <w:unhideWhenUsed/>
    <w:rsid w:val="001C5C07"/>
    <w:pPr>
      <w:ind w:left="283" w:hanging="283"/>
      <w:contextualSpacing/>
    </w:pPr>
  </w:style>
  <w:style w:type="paragraph" w:styleId="List2">
    <w:name w:val="List 2"/>
    <w:basedOn w:val="Normal"/>
    <w:uiPriority w:val="99"/>
    <w:semiHidden/>
    <w:unhideWhenUsed/>
    <w:rsid w:val="001C5C07"/>
    <w:pPr>
      <w:ind w:left="566" w:hanging="283"/>
      <w:contextualSpacing/>
    </w:pPr>
  </w:style>
  <w:style w:type="paragraph" w:styleId="List3">
    <w:name w:val="List 3"/>
    <w:basedOn w:val="Normal"/>
    <w:uiPriority w:val="99"/>
    <w:semiHidden/>
    <w:unhideWhenUsed/>
    <w:rsid w:val="001C5C07"/>
    <w:pPr>
      <w:ind w:left="849" w:hanging="283"/>
      <w:contextualSpacing/>
    </w:pPr>
  </w:style>
  <w:style w:type="paragraph" w:styleId="List4">
    <w:name w:val="List 4"/>
    <w:basedOn w:val="Normal"/>
    <w:uiPriority w:val="99"/>
    <w:semiHidden/>
    <w:unhideWhenUsed/>
    <w:rsid w:val="001C5C07"/>
    <w:pPr>
      <w:ind w:left="1132" w:hanging="283"/>
      <w:contextualSpacing/>
    </w:pPr>
  </w:style>
  <w:style w:type="paragraph" w:styleId="List5">
    <w:name w:val="List 5"/>
    <w:basedOn w:val="Normal"/>
    <w:uiPriority w:val="99"/>
    <w:semiHidden/>
    <w:unhideWhenUsed/>
    <w:rsid w:val="001C5C07"/>
    <w:pPr>
      <w:ind w:left="1415" w:hanging="283"/>
      <w:contextualSpacing/>
    </w:pPr>
  </w:style>
  <w:style w:type="paragraph" w:styleId="ListBullet">
    <w:name w:val="List Bullet"/>
    <w:basedOn w:val="Normal"/>
    <w:uiPriority w:val="99"/>
    <w:semiHidden/>
    <w:unhideWhenUsed/>
    <w:rsid w:val="001C5C07"/>
    <w:pPr>
      <w:numPr>
        <w:numId w:val="1"/>
      </w:numPr>
      <w:contextualSpacing/>
    </w:pPr>
  </w:style>
  <w:style w:type="paragraph" w:styleId="ListBullet2">
    <w:name w:val="List Bullet 2"/>
    <w:basedOn w:val="Normal"/>
    <w:uiPriority w:val="99"/>
    <w:semiHidden/>
    <w:unhideWhenUsed/>
    <w:rsid w:val="001C5C07"/>
    <w:pPr>
      <w:numPr>
        <w:numId w:val="2"/>
      </w:numPr>
      <w:contextualSpacing/>
    </w:pPr>
  </w:style>
  <w:style w:type="paragraph" w:styleId="ListBullet3">
    <w:name w:val="List Bullet 3"/>
    <w:basedOn w:val="Normal"/>
    <w:uiPriority w:val="99"/>
    <w:semiHidden/>
    <w:unhideWhenUsed/>
    <w:rsid w:val="001C5C07"/>
    <w:pPr>
      <w:numPr>
        <w:numId w:val="3"/>
      </w:numPr>
      <w:contextualSpacing/>
    </w:pPr>
  </w:style>
  <w:style w:type="paragraph" w:styleId="ListBullet4">
    <w:name w:val="List Bullet 4"/>
    <w:basedOn w:val="Normal"/>
    <w:uiPriority w:val="99"/>
    <w:semiHidden/>
    <w:unhideWhenUsed/>
    <w:rsid w:val="001C5C07"/>
    <w:pPr>
      <w:numPr>
        <w:numId w:val="4"/>
      </w:numPr>
      <w:contextualSpacing/>
    </w:pPr>
  </w:style>
  <w:style w:type="paragraph" w:styleId="ListBullet5">
    <w:name w:val="List Bullet 5"/>
    <w:basedOn w:val="Normal"/>
    <w:uiPriority w:val="99"/>
    <w:semiHidden/>
    <w:unhideWhenUsed/>
    <w:rsid w:val="001C5C07"/>
    <w:pPr>
      <w:numPr>
        <w:numId w:val="5"/>
      </w:numPr>
      <w:contextualSpacing/>
    </w:pPr>
  </w:style>
  <w:style w:type="paragraph" w:styleId="ListContinue">
    <w:name w:val="List Continue"/>
    <w:basedOn w:val="Normal"/>
    <w:uiPriority w:val="99"/>
    <w:semiHidden/>
    <w:unhideWhenUsed/>
    <w:rsid w:val="001C5C07"/>
    <w:pPr>
      <w:spacing w:after="120"/>
      <w:ind w:left="283"/>
      <w:contextualSpacing/>
    </w:pPr>
  </w:style>
  <w:style w:type="paragraph" w:styleId="ListContinue2">
    <w:name w:val="List Continue 2"/>
    <w:basedOn w:val="Normal"/>
    <w:uiPriority w:val="99"/>
    <w:semiHidden/>
    <w:unhideWhenUsed/>
    <w:rsid w:val="001C5C07"/>
    <w:pPr>
      <w:spacing w:after="120"/>
      <w:ind w:left="566"/>
      <w:contextualSpacing/>
    </w:pPr>
  </w:style>
  <w:style w:type="paragraph" w:styleId="ListContinue3">
    <w:name w:val="List Continue 3"/>
    <w:basedOn w:val="Normal"/>
    <w:uiPriority w:val="99"/>
    <w:semiHidden/>
    <w:unhideWhenUsed/>
    <w:rsid w:val="001C5C07"/>
    <w:pPr>
      <w:spacing w:after="120"/>
      <w:ind w:left="849"/>
      <w:contextualSpacing/>
    </w:pPr>
  </w:style>
  <w:style w:type="paragraph" w:styleId="ListContinue4">
    <w:name w:val="List Continue 4"/>
    <w:basedOn w:val="Normal"/>
    <w:uiPriority w:val="99"/>
    <w:semiHidden/>
    <w:unhideWhenUsed/>
    <w:rsid w:val="001C5C07"/>
    <w:pPr>
      <w:spacing w:after="120"/>
      <w:ind w:left="1132"/>
      <w:contextualSpacing/>
    </w:pPr>
  </w:style>
  <w:style w:type="paragraph" w:styleId="ListContinue5">
    <w:name w:val="List Continue 5"/>
    <w:basedOn w:val="Normal"/>
    <w:uiPriority w:val="99"/>
    <w:semiHidden/>
    <w:unhideWhenUsed/>
    <w:rsid w:val="001C5C07"/>
    <w:pPr>
      <w:spacing w:after="120"/>
      <w:ind w:left="1415"/>
      <w:contextualSpacing/>
    </w:pPr>
  </w:style>
  <w:style w:type="paragraph" w:styleId="ListNumber">
    <w:name w:val="List Number"/>
    <w:basedOn w:val="Normal"/>
    <w:uiPriority w:val="99"/>
    <w:semiHidden/>
    <w:unhideWhenUsed/>
    <w:rsid w:val="001C5C07"/>
    <w:pPr>
      <w:numPr>
        <w:numId w:val="6"/>
      </w:numPr>
      <w:contextualSpacing/>
    </w:pPr>
  </w:style>
  <w:style w:type="paragraph" w:styleId="ListNumber2">
    <w:name w:val="List Number 2"/>
    <w:basedOn w:val="Normal"/>
    <w:uiPriority w:val="99"/>
    <w:semiHidden/>
    <w:unhideWhenUsed/>
    <w:rsid w:val="001C5C07"/>
    <w:pPr>
      <w:numPr>
        <w:numId w:val="7"/>
      </w:numPr>
      <w:contextualSpacing/>
    </w:pPr>
  </w:style>
  <w:style w:type="paragraph" w:styleId="ListNumber3">
    <w:name w:val="List Number 3"/>
    <w:basedOn w:val="Normal"/>
    <w:uiPriority w:val="99"/>
    <w:semiHidden/>
    <w:unhideWhenUsed/>
    <w:rsid w:val="001C5C07"/>
    <w:pPr>
      <w:numPr>
        <w:numId w:val="8"/>
      </w:numPr>
      <w:contextualSpacing/>
    </w:pPr>
  </w:style>
  <w:style w:type="paragraph" w:styleId="ListNumber4">
    <w:name w:val="List Number 4"/>
    <w:basedOn w:val="Normal"/>
    <w:uiPriority w:val="99"/>
    <w:semiHidden/>
    <w:unhideWhenUsed/>
    <w:rsid w:val="001C5C07"/>
    <w:pPr>
      <w:numPr>
        <w:numId w:val="9"/>
      </w:numPr>
      <w:contextualSpacing/>
    </w:pPr>
  </w:style>
  <w:style w:type="paragraph" w:styleId="ListNumber5">
    <w:name w:val="List Number 5"/>
    <w:basedOn w:val="Normal"/>
    <w:uiPriority w:val="99"/>
    <w:semiHidden/>
    <w:unhideWhenUsed/>
    <w:rsid w:val="001C5C07"/>
    <w:pPr>
      <w:numPr>
        <w:numId w:val="10"/>
      </w:numPr>
      <w:contextualSpacing/>
    </w:pPr>
  </w:style>
  <w:style w:type="paragraph" w:styleId="MacroText">
    <w:name w:val="macro"/>
    <w:link w:val="MacroTextChar"/>
    <w:uiPriority w:val="99"/>
    <w:semiHidden/>
    <w:unhideWhenUsed/>
    <w:rsid w:val="001C5C07"/>
    <w:pPr>
      <w:tabs>
        <w:tab w:val="left" w:pos="480"/>
        <w:tab w:val="left" w:pos="960"/>
        <w:tab w:val="left" w:pos="1440"/>
        <w:tab w:val="left" w:pos="1920"/>
        <w:tab w:val="left" w:pos="2400"/>
        <w:tab w:val="left" w:pos="2880"/>
        <w:tab w:val="left" w:pos="3360"/>
        <w:tab w:val="left" w:pos="3840"/>
        <w:tab w:val="left" w:pos="4320"/>
      </w:tabs>
      <w:spacing w:after="0"/>
      <w:jc w:val="both"/>
    </w:pPr>
    <w:rPr>
      <w:rFonts w:ascii="Consolas" w:hAnsi="Consolas"/>
      <w:sz w:val="20"/>
      <w:szCs w:val="20"/>
    </w:rPr>
  </w:style>
  <w:style w:type="character" w:customStyle="1" w:styleId="MacroTextChar">
    <w:name w:val="Macro Text Char"/>
    <w:basedOn w:val="DefaultParagraphFont"/>
    <w:link w:val="MacroText"/>
    <w:uiPriority w:val="99"/>
    <w:semiHidden/>
    <w:rsid w:val="001C5C07"/>
    <w:rPr>
      <w:rFonts w:ascii="Consolas" w:hAnsi="Consolas"/>
      <w:sz w:val="20"/>
      <w:szCs w:val="20"/>
    </w:rPr>
  </w:style>
  <w:style w:type="paragraph" w:styleId="MessageHeader">
    <w:name w:val="Message Header"/>
    <w:basedOn w:val="Normal"/>
    <w:link w:val="MessageHeaderChar"/>
    <w:uiPriority w:val="99"/>
    <w:semiHidden/>
    <w:unhideWhenUsed/>
    <w:rsid w:val="001C5C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C5C07"/>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C5C07"/>
    <w:pPr>
      <w:ind w:left="720"/>
    </w:pPr>
  </w:style>
  <w:style w:type="paragraph" w:styleId="NoteHeading">
    <w:name w:val="Note Heading"/>
    <w:basedOn w:val="Normal"/>
    <w:next w:val="Normal"/>
    <w:link w:val="NoteHeadingChar"/>
    <w:uiPriority w:val="99"/>
    <w:semiHidden/>
    <w:unhideWhenUsed/>
    <w:rsid w:val="001C5C07"/>
    <w:pPr>
      <w:spacing w:after="0" w:line="240" w:lineRule="auto"/>
    </w:pPr>
  </w:style>
  <w:style w:type="character" w:customStyle="1" w:styleId="NoteHeadingChar">
    <w:name w:val="Note Heading Char"/>
    <w:basedOn w:val="DefaultParagraphFont"/>
    <w:link w:val="NoteHeading"/>
    <w:uiPriority w:val="99"/>
    <w:semiHidden/>
    <w:rsid w:val="001C5C07"/>
  </w:style>
  <w:style w:type="paragraph" w:styleId="PlainText">
    <w:name w:val="Plain Text"/>
    <w:basedOn w:val="Normal"/>
    <w:link w:val="PlainTextChar"/>
    <w:uiPriority w:val="99"/>
    <w:semiHidden/>
    <w:unhideWhenUsed/>
    <w:rsid w:val="001C5C0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C5C07"/>
    <w:rPr>
      <w:rFonts w:ascii="Consolas" w:hAnsi="Consolas"/>
      <w:sz w:val="21"/>
      <w:szCs w:val="21"/>
    </w:rPr>
  </w:style>
  <w:style w:type="paragraph" w:styleId="Salutation">
    <w:name w:val="Salutation"/>
    <w:basedOn w:val="Normal"/>
    <w:next w:val="Normal"/>
    <w:link w:val="SalutationChar"/>
    <w:uiPriority w:val="99"/>
    <w:semiHidden/>
    <w:unhideWhenUsed/>
    <w:rsid w:val="001C5C07"/>
  </w:style>
  <w:style w:type="character" w:customStyle="1" w:styleId="SalutationChar">
    <w:name w:val="Salutation Char"/>
    <w:basedOn w:val="DefaultParagraphFont"/>
    <w:link w:val="Salutation"/>
    <w:uiPriority w:val="99"/>
    <w:semiHidden/>
    <w:rsid w:val="001C5C07"/>
  </w:style>
  <w:style w:type="paragraph" w:styleId="Signature">
    <w:name w:val="Signature"/>
    <w:basedOn w:val="Normal"/>
    <w:link w:val="SignatureChar"/>
    <w:uiPriority w:val="99"/>
    <w:semiHidden/>
    <w:unhideWhenUsed/>
    <w:rsid w:val="001C5C07"/>
    <w:pPr>
      <w:spacing w:after="0" w:line="240" w:lineRule="auto"/>
      <w:ind w:left="4252"/>
    </w:pPr>
  </w:style>
  <w:style w:type="character" w:customStyle="1" w:styleId="SignatureChar">
    <w:name w:val="Signature Char"/>
    <w:basedOn w:val="DefaultParagraphFont"/>
    <w:link w:val="Signature"/>
    <w:uiPriority w:val="99"/>
    <w:semiHidden/>
    <w:rsid w:val="001C5C07"/>
  </w:style>
  <w:style w:type="paragraph" w:styleId="TableofAuthorities">
    <w:name w:val="table of authorities"/>
    <w:basedOn w:val="Normal"/>
    <w:next w:val="Normal"/>
    <w:uiPriority w:val="99"/>
    <w:semiHidden/>
    <w:unhideWhenUsed/>
    <w:rsid w:val="001C5C07"/>
    <w:pPr>
      <w:spacing w:after="0"/>
      <w:ind w:left="220" w:hanging="220"/>
    </w:pPr>
  </w:style>
  <w:style w:type="paragraph" w:styleId="TableofFigures">
    <w:name w:val="table of figures"/>
    <w:basedOn w:val="Normal"/>
    <w:next w:val="Normal"/>
    <w:uiPriority w:val="99"/>
    <w:unhideWhenUsed/>
    <w:rsid w:val="003229AC"/>
    <w:pPr>
      <w:spacing w:after="0"/>
      <w:jc w:val="left"/>
    </w:pPr>
  </w:style>
  <w:style w:type="paragraph" w:styleId="TOAHeading">
    <w:name w:val="toa heading"/>
    <w:basedOn w:val="Normal"/>
    <w:next w:val="Normal"/>
    <w:uiPriority w:val="99"/>
    <w:semiHidden/>
    <w:unhideWhenUsed/>
    <w:rsid w:val="001C5C07"/>
    <w:pPr>
      <w:spacing w:before="120"/>
    </w:pPr>
    <w:rPr>
      <w:rFonts w:asciiTheme="majorHAnsi" w:eastAsiaTheme="majorEastAsia" w:hAnsiTheme="majorHAnsi" w:cstheme="majorBidi"/>
      <w:b/>
      <w:bCs/>
      <w:szCs w:val="24"/>
    </w:rPr>
  </w:style>
  <w:style w:type="paragraph" w:styleId="TOC4">
    <w:name w:val="toc 4"/>
    <w:basedOn w:val="Normal"/>
    <w:next w:val="Normal"/>
    <w:autoRedefine/>
    <w:uiPriority w:val="39"/>
    <w:semiHidden/>
    <w:unhideWhenUsed/>
    <w:rsid w:val="001C5C07"/>
    <w:pPr>
      <w:spacing w:after="100"/>
      <w:ind w:left="660"/>
    </w:pPr>
  </w:style>
  <w:style w:type="paragraph" w:styleId="TOC5">
    <w:name w:val="toc 5"/>
    <w:basedOn w:val="Normal"/>
    <w:next w:val="Normal"/>
    <w:autoRedefine/>
    <w:uiPriority w:val="39"/>
    <w:semiHidden/>
    <w:unhideWhenUsed/>
    <w:rsid w:val="001C5C07"/>
    <w:pPr>
      <w:spacing w:after="100"/>
      <w:ind w:left="880"/>
    </w:pPr>
  </w:style>
  <w:style w:type="paragraph" w:styleId="TOC6">
    <w:name w:val="toc 6"/>
    <w:basedOn w:val="Normal"/>
    <w:next w:val="Normal"/>
    <w:autoRedefine/>
    <w:uiPriority w:val="39"/>
    <w:semiHidden/>
    <w:unhideWhenUsed/>
    <w:rsid w:val="001C5C07"/>
    <w:pPr>
      <w:spacing w:after="100"/>
      <w:ind w:left="1100"/>
    </w:pPr>
  </w:style>
  <w:style w:type="paragraph" w:styleId="TOC7">
    <w:name w:val="toc 7"/>
    <w:basedOn w:val="Normal"/>
    <w:next w:val="Normal"/>
    <w:autoRedefine/>
    <w:uiPriority w:val="39"/>
    <w:semiHidden/>
    <w:unhideWhenUsed/>
    <w:rsid w:val="001C5C07"/>
    <w:pPr>
      <w:spacing w:after="100"/>
      <w:ind w:left="1320"/>
    </w:pPr>
  </w:style>
  <w:style w:type="paragraph" w:styleId="TOC8">
    <w:name w:val="toc 8"/>
    <w:basedOn w:val="Normal"/>
    <w:next w:val="Normal"/>
    <w:autoRedefine/>
    <w:uiPriority w:val="39"/>
    <w:semiHidden/>
    <w:unhideWhenUsed/>
    <w:rsid w:val="001C5C07"/>
    <w:pPr>
      <w:spacing w:after="100"/>
      <w:ind w:left="1540"/>
    </w:pPr>
  </w:style>
  <w:style w:type="paragraph" w:styleId="TOC9">
    <w:name w:val="toc 9"/>
    <w:basedOn w:val="Normal"/>
    <w:next w:val="Normal"/>
    <w:autoRedefine/>
    <w:uiPriority w:val="39"/>
    <w:semiHidden/>
    <w:unhideWhenUsed/>
    <w:rsid w:val="001C5C07"/>
    <w:pPr>
      <w:spacing w:after="100"/>
      <w:ind w:left="1760"/>
    </w:pPr>
  </w:style>
  <w:style w:type="numbering" w:customStyle="1" w:styleId="NoList1">
    <w:name w:val="No List1"/>
    <w:next w:val="NoList"/>
    <w:uiPriority w:val="99"/>
    <w:semiHidden/>
    <w:unhideWhenUsed/>
    <w:rsid w:val="006B634F"/>
  </w:style>
  <w:style w:type="character" w:customStyle="1" w:styleId="FollowedHyperlink1">
    <w:name w:val="FollowedHyperlink1"/>
    <w:basedOn w:val="DefaultParagraphFont"/>
    <w:uiPriority w:val="99"/>
    <w:semiHidden/>
    <w:unhideWhenUsed/>
    <w:rsid w:val="006B634F"/>
    <w:rPr>
      <w:color w:val="954F72"/>
      <w:u w:val="single"/>
    </w:rPr>
  </w:style>
  <w:style w:type="table" w:customStyle="1" w:styleId="TableGrid3">
    <w:name w:val="Table Grid3"/>
    <w:basedOn w:val="TableNormal"/>
    <w:next w:val="TableGrid"/>
    <w:uiPriority w:val="39"/>
    <w:rsid w:val="006B634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634F"/>
    <w:rPr>
      <w:color w:val="800080" w:themeColor="followedHyperlink"/>
      <w:u w:val="single"/>
    </w:rPr>
  </w:style>
  <w:style w:type="paragraph" w:customStyle="1" w:styleId="EYBodytextwithparaspace">
    <w:name w:val="EY Body text (with para space)"/>
    <w:basedOn w:val="Normal"/>
    <w:link w:val="EYBodytextwithparaspaceChar"/>
    <w:qFormat/>
    <w:rsid w:val="00220789"/>
    <w:pPr>
      <w:autoSpaceDE w:val="0"/>
      <w:autoSpaceDN w:val="0"/>
      <w:adjustRightInd w:val="0"/>
      <w:spacing w:after="240" w:line="240" w:lineRule="auto"/>
      <w:jc w:val="left"/>
    </w:pPr>
    <w:rPr>
      <w:rFonts w:eastAsia="Times New Roman" w:cs="Arial"/>
      <w:szCs w:val="24"/>
    </w:rPr>
  </w:style>
  <w:style w:type="character" w:customStyle="1" w:styleId="EYBodytextwithparaspaceChar">
    <w:name w:val="EY Body text (with para space) Char"/>
    <w:basedOn w:val="DefaultParagraphFont"/>
    <w:link w:val="EYBodytextwithparaspace"/>
    <w:rsid w:val="00220789"/>
    <w:rPr>
      <w:rFonts w:ascii="Arial" w:eastAsia="Times New Roman" w:hAnsi="Arial" w:cs="Arial"/>
      <w:sz w:val="24"/>
      <w:szCs w:val="24"/>
    </w:rPr>
  </w:style>
  <w:style w:type="numbering" w:customStyle="1" w:styleId="ParaNumberingArial">
    <w:name w:val="ParaNumbering Arial"/>
    <w:basedOn w:val="NoList"/>
    <w:rsid w:val="00D47CF4"/>
    <w:pPr>
      <w:numPr>
        <w:numId w:val="11"/>
      </w:numPr>
    </w:pPr>
  </w:style>
  <w:style w:type="paragraph" w:customStyle="1" w:styleId="VerbatimQuote1">
    <w:name w:val="Verbatim Quote 1"/>
    <w:basedOn w:val="BodyText"/>
    <w:link w:val="VerbatimQuote1Char"/>
    <w:unhideWhenUsed/>
    <w:rsid w:val="00232403"/>
    <w:pPr>
      <w:spacing w:before="240" w:after="360" w:line="240" w:lineRule="atLeast"/>
      <w:ind w:left="1134" w:right="1134"/>
      <w:jc w:val="left"/>
    </w:pPr>
    <w:rPr>
      <w:rFonts w:cs="Arial"/>
      <w:i/>
      <w:color w:val="404040"/>
      <w:sz w:val="20"/>
      <w:szCs w:val="18"/>
      <w:lang w:eastAsia="en-AU"/>
    </w:rPr>
  </w:style>
  <w:style w:type="character" w:customStyle="1" w:styleId="VerbatimQuote1Char">
    <w:name w:val="Verbatim Quote 1 Char"/>
    <w:basedOn w:val="BodyTextChar"/>
    <w:link w:val="VerbatimQuote1"/>
    <w:rsid w:val="00232403"/>
    <w:rPr>
      <w:rFonts w:ascii="Arial" w:eastAsia="Times New Roman" w:hAnsi="Arial" w:cs="Arial"/>
      <w:i/>
      <w:color w:val="404040"/>
      <w:sz w:val="20"/>
      <w:szCs w:val="18"/>
      <w:lang w:eastAsia="en-AU"/>
    </w:rPr>
  </w:style>
  <w:style w:type="character" w:styleId="SubtleEmphasis">
    <w:name w:val="Subtle Emphasis"/>
    <w:basedOn w:val="DefaultParagraphFont"/>
    <w:uiPriority w:val="19"/>
    <w:qFormat/>
    <w:rsid w:val="00232403"/>
    <w:rPr>
      <w:i/>
      <w:iCs/>
      <w:color w:val="404040" w:themeColor="text1" w:themeTint="BF"/>
    </w:rPr>
  </w:style>
  <w:style w:type="paragraph" w:customStyle="1" w:styleId="EYBulletedList1">
    <w:name w:val="EY Bulleted List 1"/>
    <w:basedOn w:val="Normal"/>
    <w:rsid w:val="00232403"/>
    <w:pPr>
      <w:numPr>
        <w:numId w:val="13"/>
      </w:numPr>
    </w:pPr>
  </w:style>
  <w:style w:type="numbering" w:customStyle="1" w:styleId="NoList2">
    <w:name w:val="No List2"/>
    <w:next w:val="NoList"/>
    <w:uiPriority w:val="99"/>
    <w:semiHidden/>
    <w:unhideWhenUsed/>
    <w:rsid w:val="0010224A"/>
  </w:style>
  <w:style w:type="table" w:customStyle="1" w:styleId="TableGrid4">
    <w:name w:val="Table Grid4"/>
    <w:basedOn w:val="TableNormal"/>
    <w:next w:val="TableGrid"/>
    <w:uiPriority w:val="39"/>
    <w:rsid w:val="0010224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96347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EC757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EC75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EC75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9E33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5">
    <w:name w:val="Plain Table 5"/>
    <w:basedOn w:val="TableNormal"/>
    <w:uiPriority w:val="45"/>
    <w:rsid w:val="009E33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6770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7D42CD"/>
    <w:rPr>
      <w:i/>
      <w:iCs/>
    </w:rPr>
  </w:style>
  <w:style w:type="character" w:customStyle="1" w:styleId="author">
    <w:name w:val="author"/>
    <w:basedOn w:val="DefaultParagraphFont"/>
    <w:rsid w:val="007D42CD"/>
  </w:style>
  <w:style w:type="character" w:customStyle="1" w:styleId="pubyear">
    <w:name w:val="pubyear"/>
    <w:basedOn w:val="DefaultParagraphFont"/>
    <w:rsid w:val="007D42CD"/>
  </w:style>
  <w:style w:type="character" w:customStyle="1" w:styleId="articletitle">
    <w:name w:val="articletitle"/>
    <w:basedOn w:val="DefaultParagraphFont"/>
    <w:rsid w:val="007D42CD"/>
  </w:style>
  <w:style w:type="character" w:customStyle="1" w:styleId="journaltitle">
    <w:name w:val="journaltitle"/>
    <w:basedOn w:val="DefaultParagraphFont"/>
    <w:rsid w:val="007D42CD"/>
  </w:style>
  <w:style w:type="character" w:customStyle="1" w:styleId="vol">
    <w:name w:val="vol"/>
    <w:basedOn w:val="DefaultParagraphFont"/>
    <w:rsid w:val="007D42CD"/>
  </w:style>
  <w:style w:type="character" w:customStyle="1" w:styleId="pagefirst">
    <w:name w:val="pagefirst"/>
    <w:basedOn w:val="DefaultParagraphFont"/>
    <w:rsid w:val="007D42CD"/>
  </w:style>
  <w:style w:type="character" w:customStyle="1" w:styleId="pagelast">
    <w:name w:val="pagelast"/>
    <w:basedOn w:val="DefaultParagraphFont"/>
    <w:rsid w:val="007D42CD"/>
  </w:style>
  <w:style w:type="table" w:styleId="LightGrid-Accent2">
    <w:name w:val="Light Grid Accent 2"/>
    <w:basedOn w:val="TableNormal"/>
    <w:uiPriority w:val="62"/>
    <w:rsid w:val="0040195C"/>
    <w:pPr>
      <w:spacing w:after="0" w:line="240" w:lineRule="auto"/>
    </w:pPr>
    <w:rPr>
      <w:rFonts w:eastAsiaTheme="minorEastAsia"/>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Text">
    <w:name w:val="TableText"/>
    <w:basedOn w:val="Normal"/>
    <w:qFormat/>
    <w:rsid w:val="0040195C"/>
    <w:pPr>
      <w:spacing w:before="120" w:after="120" w:line="240" w:lineRule="auto"/>
      <w:jc w:val="left"/>
    </w:pPr>
    <w:rPr>
      <w:rFonts w:eastAsiaTheme="majorEastAsia" w:cs="Arial"/>
      <w:bCs/>
      <w:sz w:val="20"/>
      <w:szCs w:val="20"/>
    </w:rPr>
  </w:style>
  <w:style w:type="paragraph" w:customStyle="1" w:styleId="EYCoverTitle">
    <w:name w:val="EY Cover Title"/>
    <w:basedOn w:val="Normal"/>
    <w:rsid w:val="00220789"/>
    <w:pPr>
      <w:tabs>
        <w:tab w:val="right" w:pos="6750"/>
      </w:tabs>
      <w:autoSpaceDE w:val="0"/>
      <w:autoSpaceDN w:val="0"/>
      <w:adjustRightInd w:val="0"/>
      <w:spacing w:after="0" w:line="560" w:lineRule="atLeast"/>
      <w:jc w:val="left"/>
    </w:pPr>
    <w:rPr>
      <w:rFonts w:eastAsia="Times New Roman" w:cs="Arial"/>
      <w:b/>
      <w:color w:val="333333"/>
      <w:sz w:val="48"/>
      <w:szCs w:val="48"/>
    </w:rPr>
  </w:style>
  <w:style w:type="paragraph" w:customStyle="1" w:styleId="EYCoverDate">
    <w:name w:val="EY Cover Date"/>
    <w:basedOn w:val="Normal"/>
    <w:rsid w:val="00220789"/>
    <w:pPr>
      <w:spacing w:after="0" w:line="420" w:lineRule="atLeast"/>
      <w:jc w:val="left"/>
    </w:pPr>
    <w:rPr>
      <w:rFonts w:eastAsia="Times New Roman" w:cs="Arial"/>
      <w:b/>
      <w:color w:val="333333"/>
      <w:szCs w:val="24"/>
    </w:rPr>
  </w:style>
  <w:style w:type="paragraph" w:customStyle="1" w:styleId="EYCoverSubTitle">
    <w:name w:val="EY Cover SubTitle"/>
    <w:basedOn w:val="Normal"/>
    <w:rsid w:val="00220789"/>
    <w:pPr>
      <w:autoSpaceDE w:val="0"/>
      <w:autoSpaceDN w:val="0"/>
      <w:adjustRightInd w:val="0"/>
      <w:spacing w:after="0" w:line="420" w:lineRule="atLeast"/>
      <w:jc w:val="left"/>
    </w:pPr>
    <w:rPr>
      <w:rFonts w:eastAsia="Times New Roman" w:cs="Arial"/>
      <w:b/>
      <w:color w:val="333333"/>
      <w:sz w:val="28"/>
      <w:szCs w:val="24"/>
    </w:rPr>
  </w:style>
  <w:style w:type="numbering" w:styleId="111111">
    <w:name w:val="Outline List 2"/>
    <w:basedOn w:val="NoList"/>
    <w:uiPriority w:val="99"/>
    <w:semiHidden/>
    <w:unhideWhenUsed/>
    <w:rsid w:val="00220789"/>
    <w:pPr>
      <w:numPr>
        <w:numId w:val="14"/>
      </w:numPr>
    </w:pPr>
  </w:style>
  <w:style w:type="numbering" w:styleId="1ai">
    <w:name w:val="Outline List 1"/>
    <w:basedOn w:val="NoList"/>
    <w:uiPriority w:val="99"/>
    <w:semiHidden/>
    <w:unhideWhenUsed/>
    <w:rsid w:val="00220789"/>
    <w:pPr>
      <w:numPr>
        <w:numId w:val="15"/>
      </w:numPr>
    </w:pPr>
  </w:style>
  <w:style w:type="numbering" w:styleId="ArticleSection">
    <w:name w:val="Outline List 3"/>
    <w:basedOn w:val="NoList"/>
    <w:uiPriority w:val="99"/>
    <w:semiHidden/>
    <w:unhideWhenUsed/>
    <w:rsid w:val="00220789"/>
    <w:pPr>
      <w:numPr>
        <w:numId w:val="16"/>
      </w:numPr>
    </w:pPr>
  </w:style>
  <w:style w:type="character" w:styleId="BookTitle">
    <w:name w:val="Book Title"/>
    <w:basedOn w:val="DefaultParagraphFont"/>
    <w:uiPriority w:val="33"/>
    <w:qFormat/>
    <w:rsid w:val="00220789"/>
    <w:rPr>
      <w:b/>
      <w:bCs/>
      <w:i/>
      <w:iCs/>
      <w:spacing w:val="5"/>
    </w:rPr>
  </w:style>
  <w:style w:type="table" w:styleId="ColorfulGrid">
    <w:name w:val="Colorful Grid"/>
    <w:basedOn w:val="TableNormal"/>
    <w:uiPriority w:val="73"/>
    <w:semiHidden/>
    <w:unhideWhenUsed/>
    <w:rsid w:val="002207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207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207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207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207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207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207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207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2078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2078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2078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2078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2078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2078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2078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2078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2078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2078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2078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2078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2078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207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20789"/>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20789"/>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20789"/>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2078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20789"/>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20789"/>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Emphasis">
    <w:name w:val="Emphasis"/>
    <w:basedOn w:val="DefaultParagraphFont"/>
    <w:uiPriority w:val="20"/>
    <w:qFormat/>
    <w:rsid w:val="00220789"/>
    <w:rPr>
      <w:i/>
      <w:iCs/>
    </w:rPr>
  </w:style>
  <w:style w:type="character" w:styleId="EndnoteReference">
    <w:name w:val="endnote reference"/>
    <w:basedOn w:val="DefaultParagraphFont"/>
    <w:uiPriority w:val="99"/>
    <w:semiHidden/>
    <w:unhideWhenUsed/>
    <w:rsid w:val="00220789"/>
    <w:rPr>
      <w:vertAlign w:val="superscript"/>
    </w:rPr>
  </w:style>
  <w:style w:type="table" w:styleId="GridTable1Light-Accent1">
    <w:name w:val="Grid Table 1 Light Accent 1"/>
    <w:basedOn w:val="TableNormal"/>
    <w:uiPriority w:val="46"/>
    <w:rsid w:val="0022078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2078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2078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2078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2078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2078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207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2078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2078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2078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2078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2078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2078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Accent1">
    <w:name w:val="Grid Table 3 Accent 1"/>
    <w:basedOn w:val="TableNormal"/>
    <w:uiPriority w:val="48"/>
    <w:rsid w:val="0022078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2078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2078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2078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2078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2078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207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2078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2078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2078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2078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2078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2078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207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207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207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207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207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207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207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207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2078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2078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2078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2078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207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2078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207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2078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2078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2078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2078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207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2078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220789"/>
  </w:style>
  <w:style w:type="character" w:styleId="HTMLCode">
    <w:name w:val="HTML Code"/>
    <w:basedOn w:val="DefaultParagraphFont"/>
    <w:uiPriority w:val="99"/>
    <w:semiHidden/>
    <w:unhideWhenUsed/>
    <w:rsid w:val="00220789"/>
    <w:rPr>
      <w:rFonts w:ascii="Consolas" w:hAnsi="Consolas"/>
      <w:sz w:val="20"/>
      <w:szCs w:val="20"/>
    </w:rPr>
  </w:style>
  <w:style w:type="character" w:styleId="HTMLDefinition">
    <w:name w:val="HTML Definition"/>
    <w:basedOn w:val="DefaultParagraphFont"/>
    <w:uiPriority w:val="99"/>
    <w:semiHidden/>
    <w:unhideWhenUsed/>
    <w:rsid w:val="00220789"/>
    <w:rPr>
      <w:i/>
      <w:iCs/>
    </w:rPr>
  </w:style>
  <w:style w:type="character" w:styleId="HTMLKeyboard">
    <w:name w:val="HTML Keyboard"/>
    <w:basedOn w:val="DefaultParagraphFont"/>
    <w:uiPriority w:val="99"/>
    <w:semiHidden/>
    <w:unhideWhenUsed/>
    <w:rsid w:val="00220789"/>
    <w:rPr>
      <w:rFonts w:ascii="Consolas" w:hAnsi="Consolas"/>
      <w:sz w:val="20"/>
      <w:szCs w:val="20"/>
    </w:rPr>
  </w:style>
  <w:style w:type="character" w:styleId="HTMLSample">
    <w:name w:val="HTML Sample"/>
    <w:basedOn w:val="DefaultParagraphFont"/>
    <w:uiPriority w:val="99"/>
    <w:semiHidden/>
    <w:unhideWhenUsed/>
    <w:rsid w:val="00220789"/>
    <w:rPr>
      <w:rFonts w:ascii="Consolas" w:hAnsi="Consolas"/>
      <w:sz w:val="24"/>
      <w:szCs w:val="24"/>
    </w:rPr>
  </w:style>
  <w:style w:type="character" w:styleId="HTMLTypewriter">
    <w:name w:val="HTML Typewriter"/>
    <w:basedOn w:val="DefaultParagraphFont"/>
    <w:uiPriority w:val="99"/>
    <w:semiHidden/>
    <w:unhideWhenUsed/>
    <w:rsid w:val="00220789"/>
    <w:rPr>
      <w:rFonts w:ascii="Consolas" w:hAnsi="Consolas"/>
      <w:sz w:val="20"/>
      <w:szCs w:val="20"/>
    </w:rPr>
  </w:style>
  <w:style w:type="character" w:styleId="HTMLVariable">
    <w:name w:val="HTML Variable"/>
    <w:basedOn w:val="DefaultParagraphFont"/>
    <w:uiPriority w:val="99"/>
    <w:semiHidden/>
    <w:unhideWhenUsed/>
    <w:rsid w:val="00220789"/>
    <w:rPr>
      <w:i/>
      <w:iCs/>
    </w:rPr>
  </w:style>
  <w:style w:type="character" w:styleId="IntenseEmphasis">
    <w:name w:val="Intense Emphasis"/>
    <w:basedOn w:val="DefaultParagraphFont"/>
    <w:uiPriority w:val="21"/>
    <w:qFormat/>
    <w:rsid w:val="00220789"/>
    <w:rPr>
      <w:i/>
      <w:iCs/>
      <w:color w:val="4F81BD" w:themeColor="accent1"/>
    </w:rPr>
  </w:style>
  <w:style w:type="character" w:styleId="IntenseReference">
    <w:name w:val="Intense Reference"/>
    <w:basedOn w:val="DefaultParagraphFont"/>
    <w:uiPriority w:val="32"/>
    <w:qFormat/>
    <w:rsid w:val="00220789"/>
    <w:rPr>
      <w:b/>
      <w:bCs/>
      <w:smallCaps/>
      <w:color w:val="4F81BD" w:themeColor="accent1"/>
      <w:spacing w:val="5"/>
    </w:rPr>
  </w:style>
  <w:style w:type="table" w:styleId="LightGrid">
    <w:name w:val="Light Grid"/>
    <w:basedOn w:val="TableNormal"/>
    <w:uiPriority w:val="62"/>
    <w:semiHidden/>
    <w:unhideWhenUsed/>
    <w:rsid w:val="002207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2078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3">
    <w:name w:val="Light Grid Accent 3"/>
    <w:basedOn w:val="TableNormal"/>
    <w:uiPriority w:val="62"/>
    <w:semiHidden/>
    <w:unhideWhenUsed/>
    <w:rsid w:val="0022078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2078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2078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2078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207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2078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2078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2078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2078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2078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2078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207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2078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2078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2078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2078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2078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2078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220789"/>
  </w:style>
  <w:style w:type="table" w:styleId="ListTable1Light-Accent1">
    <w:name w:val="List Table 1 Light Accent 1"/>
    <w:basedOn w:val="TableNormal"/>
    <w:uiPriority w:val="46"/>
    <w:rsid w:val="0022078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2078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2078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2078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2078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2078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207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2078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2078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2078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2078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2078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2078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207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2078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2078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2078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2078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2078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2078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207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2078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2078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2078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2078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2078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2078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207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2078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2078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2078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2078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2078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2078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2078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2078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2078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2078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2078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2078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207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2078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2078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2078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2078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2078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2078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207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2078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2078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2078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2078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2078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2078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207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207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207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207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207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207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207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207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207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207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207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207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207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207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207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2078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2078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2078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2078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2078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2078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207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207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207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207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207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207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207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207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2078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2078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2078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2078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2078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2078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207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207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207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207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207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207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207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99"/>
    <w:semiHidden/>
    <w:unhideWhenUsed/>
    <w:rsid w:val="00220789"/>
  </w:style>
  <w:style w:type="table" w:styleId="PlainTable2">
    <w:name w:val="Plain Table 2"/>
    <w:basedOn w:val="TableNormal"/>
    <w:uiPriority w:val="42"/>
    <w:rsid w:val="002207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207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ubtleReference">
    <w:name w:val="Subtle Reference"/>
    <w:basedOn w:val="DefaultParagraphFont"/>
    <w:uiPriority w:val="31"/>
    <w:qFormat/>
    <w:rsid w:val="00220789"/>
    <w:rPr>
      <w:smallCaps/>
      <w:color w:val="5A5A5A" w:themeColor="text1" w:themeTint="A5"/>
    </w:rPr>
  </w:style>
  <w:style w:type="table" w:styleId="Table3Deffects1">
    <w:name w:val="Table 3D effects 1"/>
    <w:basedOn w:val="TableNormal"/>
    <w:uiPriority w:val="99"/>
    <w:semiHidden/>
    <w:unhideWhenUsed/>
    <w:rsid w:val="00220789"/>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20789"/>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20789"/>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20789"/>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20789"/>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20789"/>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20789"/>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20789"/>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20789"/>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20789"/>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20789"/>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20789"/>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20789"/>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20789"/>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2078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20789"/>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20789"/>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22078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220789"/>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220789"/>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iPriority w:val="99"/>
    <w:semiHidden/>
    <w:unhideWhenUsed/>
    <w:rsid w:val="00220789"/>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20789"/>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20789"/>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20789"/>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20789"/>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207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20789"/>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20789"/>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20789"/>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20789"/>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20789"/>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20789"/>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20789"/>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20789"/>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2078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20789"/>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20789"/>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20789"/>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20789"/>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20789"/>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2078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20789"/>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20789"/>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20789"/>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EYAppendix">
    <w:name w:val="EY Appendix"/>
    <w:basedOn w:val="Normal"/>
    <w:next w:val="EYBodytextwithparaspace"/>
    <w:qFormat/>
    <w:rsid w:val="00294059"/>
    <w:pPr>
      <w:numPr>
        <w:numId w:val="17"/>
      </w:numPr>
      <w:spacing w:after="360" w:line="240" w:lineRule="auto"/>
      <w:jc w:val="left"/>
      <w:outlineLvl w:val="0"/>
    </w:pPr>
    <w:rPr>
      <w:rFonts w:eastAsia="Times New Roman" w:cs="Arial"/>
      <w:b/>
      <w:sz w:val="32"/>
      <w:szCs w:val="24"/>
    </w:rPr>
  </w:style>
  <w:style w:type="paragraph" w:customStyle="1" w:styleId="EYAppendixHeading2">
    <w:name w:val="EY Appendix Heading 2"/>
    <w:basedOn w:val="Normal"/>
    <w:next w:val="EYBodytextwithparaspace"/>
    <w:qFormat/>
    <w:rsid w:val="00220789"/>
    <w:pPr>
      <w:keepNext/>
      <w:spacing w:after="120" w:line="240" w:lineRule="auto"/>
      <w:jc w:val="left"/>
    </w:pPr>
    <w:rPr>
      <w:rFonts w:eastAsia="Times New Roman" w:cs="Arial"/>
      <w:b/>
      <w:sz w:val="28"/>
      <w:szCs w:val="24"/>
    </w:rPr>
  </w:style>
  <w:style w:type="paragraph" w:customStyle="1" w:styleId="EYAppendixHeading3">
    <w:name w:val="EY Appendix Heading 3"/>
    <w:basedOn w:val="Normal"/>
    <w:next w:val="EYBodytextwithparaspace"/>
    <w:qFormat/>
    <w:rsid w:val="003828E9"/>
    <w:pPr>
      <w:keepNext/>
      <w:spacing w:after="120" w:line="240" w:lineRule="auto"/>
      <w:jc w:val="left"/>
    </w:pPr>
    <w:rPr>
      <w:rFonts w:eastAsia="Times New Roman" w:cs="Arial"/>
      <w:b/>
      <w:szCs w:val="24"/>
    </w:rPr>
  </w:style>
  <w:style w:type="paragraph" w:customStyle="1" w:styleId="EYBodytextwithoutparaspace">
    <w:name w:val="EY Body text (without para space)"/>
    <w:basedOn w:val="Normal"/>
    <w:qFormat/>
    <w:rsid w:val="00220789"/>
    <w:pPr>
      <w:autoSpaceDE w:val="0"/>
      <w:autoSpaceDN w:val="0"/>
      <w:adjustRightInd w:val="0"/>
      <w:spacing w:after="0" w:line="240" w:lineRule="auto"/>
      <w:jc w:val="left"/>
    </w:pPr>
    <w:rPr>
      <w:rFonts w:eastAsia="Times New Roman" w:cs="Arial"/>
      <w:szCs w:val="24"/>
    </w:rPr>
  </w:style>
  <w:style w:type="paragraph" w:customStyle="1" w:styleId="EYBulletnoparaspace">
    <w:name w:val="EY Bullet (no para space)"/>
    <w:basedOn w:val="EYNormal"/>
    <w:qFormat/>
    <w:rsid w:val="004E67C9"/>
    <w:pPr>
      <w:numPr>
        <w:numId w:val="21"/>
      </w:numPr>
      <w:autoSpaceDE/>
      <w:autoSpaceDN/>
      <w:adjustRightInd/>
      <w:spacing w:after="240"/>
      <w:contextualSpacing/>
    </w:pPr>
    <w:rPr>
      <w:sz w:val="24"/>
    </w:rPr>
  </w:style>
  <w:style w:type="paragraph" w:customStyle="1" w:styleId="EYBulletedText1">
    <w:name w:val="EY Bulleted Text 1"/>
    <w:basedOn w:val="EYNormal"/>
    <w:qFormat/>
    <w:rsid w:val="00EF3069"/>
    <w:pPr>
      <w:numPr>
        <w:numId w:val="20"/>
      </w:numPr>
      <w:autoSpaceDE/>
      <w:autoSpaceDN/>
      <w:adjustRightInd/>
      <w:spacing w:after="240"/>
    </w:pPr>
    <w:rPr>
      <w:sz w:val="24"/>
    </w:rPr>
  </w:style>
  <w:style w:type="paragraph" w:customStyle="1" w:styleId="EYBulletedText2">
    <w:name w:val="EY Bulleted Text 2"/>
    <w:basedOn w:val="EYNormal"/>
    <w:qFormat/>
    <w:rsid w:val="005A0B1C"/>
    <w:pPr>
      <w:numPr>
        <w:ilvl w:val="1"/>
        <w:numId w:val="20"/>
      </w:numPr>
      <w:suppressAutoHyphens/>
      <w:autoSpaceDE/>
      <w:autoSpaceDN/>
      <w:adjustRightInd/>
      <w:spacing w:after="240"/>
    </w:pPr>
    <w:rPr>
      <w:kern w:val="12"/>
      <w:sz w:val="24"/>
    </w:rPr>
  </w:style>
  <w:style w:type="paragraph" w:customStyle="1" w:styleId="EYBulletedText3">
    <w:name w:val="EY Bulleted Text 3"/>
    <w:basedOn w:val="EYNormal"/>
    <w:qFormat/>
    <w:rsid w:val="00220789"/>
    <w:pPr>
      <w:numPr>
        <w:ilvl w:val="2"/>
        <w:numId w:val="20"/>
      </w:numPr>
      <w:spacing w:after="240"/>
    </w:pPr>
  </w:style>
  <w:style w:type="paragraph" w:customStyle="1" w:styleId="EYBusinessaddress">
    <w:name w:val="EY Business address"/>
    <w:basedOn w:val="Normal"/>
    <w:rsid w:val="00220789"/>
    <w:pPr>
      <w:spacing w:after="0" w:line="170" w:lineRule="atLeast"/>
      <w:jc w:val="left"/>
    </w:pPr>
    <w:rPr>
      <w:rFonts w:eastAsia="Times New Roman" w:cs="Arial"/>
      <w:color w:val="666666"/>
      <w:sz w:val="15"/>
      <w:szCs w:val="24"/>
    </w:rPr>
  </w:style>
  <w:style w:type="paragraph" w:customStyle="1" w:styleId="EYBusinessaddressbold">
    <w:name w:val="EY Business address (bold)"/>
    <w:basedOn w:val="EYBusinessaddress"/>
    <w:next w:val="EYBusinessaddress"/>
    <w:rsid w:val="00220789"/>
    <w:rPr>
      <w:b/>
    </w:rPr>
  </w:style>
  <w:style w:type="paragraph" w:customStyle="1" w:styleId="EYContents">
    <w:name w:val="EY Contents"/>
    <w:basedOn w:val="Normal"/>
    <w:next w:val="Normal"/>
    <w:rsid w:val="00220789"/>
    <w:pPr>
      <w:keepNext/>
      <w:spacing w:after="240" w:line="240" w:lineRule="auto"/>
      <w:jc w:val="left"/>
    </w:pPr>
    <w:rPr>
      <w:rFonts w:eastAsia="Times New Roman" w:cs="Arial"/>
      <w:b/>
      <w:color w:val="808080"/>
      <w:sz w:val="28"/>
      <w:szCs w:val="24"/>
    </w:rPr>
  </w:style>
  <w:style w:type="paragraph" w:customStyle="1" w:styleId="EYNormal">
    <w:name w:val="EY Normal"/>
    <w:basedOn w:val="Normal"/>
    <w:link w:val="EYNormalChar"/>
    <w:qFormat/>
    <w:rsid w:val="00220789"/>
    <w:pPr>
      <w:autoSpaceDE w:val="0"/>
      <w:autoSpaceDN w:val="0"/>
      <w:adjustRightInd w:val="0"/>
      <w:spacing w:after="0" w:line="240" w:lineRule="auto"/>
      <w:jc w:val="left"/>
    </w:pPr>
    <w:rPr>
      <w:rFonts w:eastAsia="Times New Roman" w:cs="Arial"/>
      <w:sz w:val="20"/>
      <w:szCs w:val="24"/>
    </w:rPr>
  </w:style>
  <w:style w:type="paragraph" w:customStyle="1" w:styleId="EYIndent1">
    <w:name w:val="EY Indent 1"/>
    <w:basedOn w:val="EYNormal"/>
    <w:qFormat/>
    <w:rsid w:val="00AA5DEE"/>
    <w:pPr>
      <w:autoSpaceDE/>
      <w:autoSpaceDN/>
      <w:adjustRightInd/>
      <w:spacing w:after="240"/>
      <w:ind w:left="425"/>
    </w:pPr>
    <w:rPr>
      <w:kern w:val="12"/>
      <w:sz w:val="24"/>
      <w:lang w:eastAsia="en-AU"/>
    </w:rPr>
  </w:style>
  <w:style w:type="paragraph" w:customStyle="1" w:styleId="EYIndent2">
    <w:name w:val="EY Indent 2"/>
    <w:basedOn w:val="EYIndent1"/>
    <w:qFormat/>
    <w:rsid w:val="00220789"/>
    <w:pPr>
      <w:ind w:left="851"/>
    </w:pPr>
  </w:style>
  <w:style w:type="paragraph" w:customStyle="1" w:styleId="EYIndent3">
    <w:name w:val="EY Indent 3"/>
    <w:basedOn w:val="EYIndent1"/>
    <w:qFormat/>
    <w:rsid w:val="00220789"/>
    <w:pPr>
      <w:ind w:left="1276"/>
    </w:pPr>
  </w:style>
  <w:style w:type="paragraph" w:customStyle="1" w:styleId="EYLeader">
    <w:name w:val="EY Leader"/>
    <w:basedOn w:val="EYNormal"/>
    <w:next w:val="EYBodytextwithparaspace"/>
    <w:qFormat/>
    <w:rsid w:val="00220789"/>
    <w:pPr>
      <w:spacing w:after="280" w:line="280" w:lineRule="atLeast"/>
    </w:pPr>
    <w:rPr>
      <w:color w:val="808080"/>
      <w:sz w:val="24"/>
      <w:szCs w:val="20"/>
    </w:rPr>
  </w:style>
  <w:style w:type="paragraph" w:customStyle="1" w:styleId="EYSource">
    <w:name w:val="EY Source"/>
    <w:basedOn w:val="EYNormal"/>
    <w:next w:val="EYBodytextwithparaspace"/>
    <w:qFormat/>
    <w:rsid w:val="00220789"/>
    <w:pPr>
      <w:autoSpaceDE/>
      <w:autoSpaceDN/>
      <w:adjustRightInd/>
      <w:spacing w:before="60" w:after="60"/>
    </w:pPr>
    <w:rPr>
      <w:i/>
      <w:sz w:val="16"/>
    </w:rPr>
  </w:style>
  <w:style w:type="paragraph" w:customStyle="1" w:styleId="EYSubheading">
    <w:name w:val="EY Subheading"/>
    <w:basedOn w:val="EYNormal"/>
    <w:next w:val="EYBodytextwithparaspace"/>
    <w:qFormat/>
    <w:rsid w:val="00220789"/>
    <w:pPr>
      <w:keepNext/>
      <w:autoSpaceDE/>
      <w:autoSpaceDN/>
      <w:adjustRightInd/>
      <w:spacing w:after="120"/>
    </w:pPr>
    <w:rPr>
      <w:b/>
      <w:kern w:val="12"/>
      <w:lang w:eastAsia="en-AU"/>
    </w:rPr>
  </w:style>
  <w:style w:type="paragraph" w:customStyle="1" w:styleId="EYTableNormal">
    <w:name w:val="EY Table Normal"/>
    <w:basedOn w:val="EYNormal"/>
    <w:rsid w:val="00220789"/>
    <w:pPr>
      <w:autoSpaceDE/>
      <w:autoSpaceDN/>
      <w:adjustRightInd/>
    </w:pPr>
    <w:rPr>
      <w:sz w:val="16"/>
    </w:rPr>
  </w:style>
  <w:style w:type="paragraph" w:customStyle="1" w:styleId="EYTablebullet1">
    <w:name w:val="EY Table bullet 1"/>
    <w:basedOn w:val="EYTableNormal"/>
    <w:qFormat/>
    <w:rsid w:val="008738B7"/>
    <w:pPr>
      <w:numPr>
        <w:numId w:val="18"/>
      </w:numPr>
      <w:spacing w:before="20" w:after="20"/>
    </w:pPr>
    <w:rPr>
      <w:sz w:val="22"/>
      <w:lang w:eastAsia="en-AU"/>
    </w:rPr>
  </w:style>
  <w:style w:type="paragraph" w:customStyle="1" w:styleId="EYTablebullet2">
    <w:name w:val="EY Table bullet 2"/>
    <w:basedOn w:val="EYTableNormal"/>
    <w:qFormat/>
    <w:rsid w:val="00220789"/>
    <w:pPr>
      <w:numPr>
        <w:ilvl w:val="1"/>
        <w:numId w:val="18"/>
      </w:numPr>
      <w:spacing w:before="20" w:after="20"/>
    </w:pPr>
  </w:style>
  <w:style w:type="paragraph" w:customStyle="1" w:styleId="EYTableHeading">
    <w:name w:val="EY Table Heading"/>
    <w:basedOn w:val="EYTableNormal"/>
    <w:qFormat/>
    <w:rsid w:val="00220789"/>
    <w:pPr>
      <w:spacing w:before="60" w:after="60"/>
    </w:pPr>
    <w:rPr>
      <w:b/>
      <w:color w:val="808080"/>
    </w:rPr>
  </w:style>
  <w:style w:type="paragraph" w:customStyle="1" w:styleId="EYTableHeadingWhite">
    <w:name w:val="EY Table Heading (White)"/>
    <w:basedOn w:val="EYTableNormal"/>
    <w:qFormat/>
    <w:rsid w:val="00117082"/>
    <w:pPr>
      <w:spacing w:before="60" w:after="60"/>
    </w:pPr>
    <w:rPr>
      <w:bCs/>
      <w:color w:val="FFFFFF"/>
      <w:sz w:val="22"/>
    </w:rPr>
  </w:style>
  <w:style w:type="paragraph" w:customStyle="1" w:styleId="EYTableText">
    <w:name w:val="EY Table Text"/>
    <w:basedOn w:val="EYTableNormal"/>
    <w:qFormat/>
    <w:rsid w:val="00406990"/>
    <w:rPr>
      <w:sz w:val="22"/>
    </w:rPr>
  </w:style>
  <w:style w:type="paragraph" w:customStyle="1" w:styleId="EYTabletextbold">
    <w:name w:val="EY Table text bold"/>
    <w:basedOn w:val="EYTableNormal"/>
    <w:next w:val="EYTableText"/>
    <w:rsid w:val="00220789"/>
    <w:pPr>
      <w:spacing w:before="20" w:after="20"/>
    </w:pPr>
    <w:rPr>
      <w:b/>
    </w:rPr>
  </w:style>
  <w:style w:type="paragraph" w:customStyle="1" w:styleId="EY1Number">
    <w:name w:val="EY1 ( Number)"/>
    <w:basedOn w:val="EYNormal"/>
    <w:qFormat/>
    <w:rsid w:val="00220789"/>
    <w:pPr>
      <w:numPr>
        <w:numId w:val="19"/>
      </w:numPr>
      <w:autoSpaceDE/>
      <w:autoSpaceDN/>
      <w:adjustRightInd/>
      <w:spacing w:after="240"/>
    </w:pPr>
    <w:rPr>
      <w:kern w:val="12"/>
      <w:lang w:eastAsia="en-AU"/>
    </w:rPr>
  </w:style>
  <w:style w:type="paragraph" w:customStyle="1" w:styleId="EY2Letter">
    <w:name w:val="EY2 ( Letter)"/>
    <w:basedOn w:val="EY1Number"/>
    <w:qFormat/>
    <w:rsid w:val="00220789"/>
    <w:pPr>
      <w:numPr>
        <w:ilvl w:val="1"/>
      </w:numPr>
    </w:pPr>
  </w:style>
  <w:style w:type="paragraph" w:customStyle="1" w:styleId="EY3Roman">
    <w:name w:val="EY3 (Roman)"/>
    <w:basedOn w:val="EY1Number"/>
    <w:qFormat/>
    <w:rsid w:val="00220789"/>
    <w:pPr>
      <w:numPr>
        <w:ilvl w:val="2"/>
      </w:numPr>
    </w:pPr>
  </w:style>
  <w:style w:type="numbering" w:customStyle="1" w:styleId="EYAlphaNumList">
    <w:name w:val="EYAlphaNumList"/>
    <w:uiPriority w:val="99"/>
    <w:rsid w:val="00220789"/>
    <w:pPr>
      <w:numPr>
        <w:numId w:val="19"/>
      </w:numPr>
    </w:pPr>
  </w:style>
  <w:style w:type="numbering" w:customStyle="1" w:styleId="EYBulletList">
    <w:name w:val="EYBulletList"/>
    <w:uiPriority w:val="99"/>
    <w:rsid w:val="00220789"/>
    <w:pPr>
      <w:numPr>
        <w:numId w:val="20"/>
      </w:numPr>
    </w:pPr>
  </w:style>
  <w:style w:type="numbering" w:customStyle="1" w:styleId="EYPlainBulletList">
    <w:name w:val="EYPlainBulletList"/>
    <w:uiPriority w:val="99"/>
    <w:rsid w:val="00220789"/>
    <w:pPr>
      <w:numPr>
        <w:numId w:val="21"/>
      </w:numPr>
    </w:pPr>
  </w:style>
  <w:style w:type="numbering" w:customStyle="1" w:styleId="HeadingList">
    <w:name w:val="Heading List"/>
    <w:uiPriority w:val="99"/>
    <w:rsid w:val="00216271"/>
    <w:pPr>
      <w:numPr>
        <w:numId w:val="24"/>
      </w:numPr>
    </w:pPr>
  </w:style>
  <w:style w:type="paragraph" w:customStyle="1" w:styleId="EYFooterinfo">
    <w:name w:val="EY Footer info"/>
    <w:basedOn w:val="Normal"/>
    <w:rsid w:val="0013082F"/>
    <w:pPr>
      <w:suppressAutoHyphens/>
      <w:spacing w:after="0" w:line="240" w:lineRule="auto"/>
      <w:jc w:val="left"/>
    </w:pPr>
    <w:rPr>
      <w:rFonts w:eastAsia="Times New Roman" w:cs="Times New Roman"/>
      <w:color w:val="666666"/>
      <w:kern w:val="12"/>
      <w:sz w:val="15"/>
      <w:szCs w:val="24"/>
      <w:lang w:val="en-US"/>
    </w:rPr>
  </w:style>
  <w:style w:type="character" w:customStyle="1" w:styleId="EYNormalChar">
    <w:name w:val="EY Normal Char"/>
    <w:basedOn w:val="DefaultParagraphFont"/>
    <w:link w:val="EYNormal"/>
    <w:rsid w:val="003A3F63"/>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1803">
      <w:bodyDiv w:val="1"/>
      <w:marLeft w:val="0"/>
      <w:marRight w:val="0"/>
      <w:marTop w:val="0"/>
      <w:marBottom w:val="0"/>
      <w:divBdr>
        <w:top w:val="none" w:sz="0" w:space="0" w:color="auto"/>
        <w:left w:val="none" w:sz="0" w:space="0" w:color="auto"/>
        <w:bottom w:val="none" w:sz="0" w:space="0" w:color="auto"/>
        <w:right w:val="none" w:sz="0" w:space="0" w:color="auto"/>
      </w:divBdr>
      <w:divsChild>
        <w:div w:id="271939409">
          <w:marLeft w:val="0"/>
          <w:marRight w:val="0"/>
          <w:marTop w:val="0"/>
          <w:marBottom w:val="0"/>
          <w:divBdr>
            <w:top w:val="single" w:sz="6" w:space="0" w:color="5056A3"/>
            <w:left w:val="single" w:sz="6" w:space="0" w:color="5056A3"/>
            <w:bottom w:val="single" w:sz="6" w:space="0" w:color="5056A3"/>
            <w:right w:val="single" w:sz="6" w:space="0" w:color="5056A3"/>
          </w:divBdr>
          <w:divsChild>
            <w:div w:id="8753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2801">
      <w:bodyDiv w:val="1"/>
      <w:marLeft w:val="0"/>
      <w:marRight w:val="0"/>
      <w:marTop w:val="0"/>
      <w:marBottom w:val="0"/>
      <w:divBdr>
        <w:top w:val="none" w:sz="0" w:space="0" w:color="auto"/>
        <w:left w:val="none" w:sz="0" w:space="0" w:color="auto"/>
        <w:bottom w:val="none" w:sz="0" w:space="0" w:color="auto"/>
        <w:right w:val="none" w:sz="0" w:space="0" w:color="auto"/>
      </w:divBdr>
    </w:div>
    <w:div w:id="51202498">
      <w:bodyDiv w:val="1"/>
      <w:marLeft w:val="0"/>
      <w:marRight w:val="0"/>
      <w:marTop w:val="0"/>
      <w:marBottom w:val="0"/>
      <w:divBdr>
        <w:top w:val="none" w:sz="0" w:space="0" w:color="auto"/>
        <w:left w:val="none" w:sz="0" w:space="0" w:color="auto"/>
        <w:bottom w:val="none" w:sz="0" w:space="0" w:color="auto"/>
        <w:right w:val="none" w:sz="0" w:space="0" w:color="auto"/>
      </w:divBdr>
    </w:div>
    <w:div w:id="56977172">
      <w:bodyDiv w:val="1"/>
      <w:marLeft w:val="0"/>
      <w:marRight w:val="0"/>
      <w:marTop w:val="0"/>
      <w:marBottom w:val="0"/>
      <w:divBdr>
        <w:top w:val="none" w:sz="0" w:space="0" w:color="auto"/>
        <w:left w:val="none" w:sz="0" w:space="0" w:color="auto"/>
        <w:bottom w:val="none" w:sz="0" w:space="0" w:color="auto"/>
        <w:right w:val="none" w:sz="0" w:space="0" w:color="auto"/>
      </w:divBdr>
    </w:div>
    <w:div w:id="61031022">
      <w:bodyDiv w:val="1"/>
      <w:marLeft w:val="0"/>
      <w:marRight w:val="0"/>
      <w:marTop w:val="0"/>
      <w:marBottom w:val="0"/>
      <w:divBdr>
        <w:top w:val="none" w:sz="0" w:space="0" w:color="auto"/>
        <w:left w:val="none" w:sz="0" w:space="0" w:color="auto"/>
        <w:bottom w:val="none" w:sz="0" w:space="0" w:color="auto"/>
        <w:right w:val="none" w:sz="0" w:space="0" w:color="auto"/>
      </w:divBdr>
      <w:divsChild>
        <w:div w:id="840002075">
          <w:marLeft w:val="274"/>
          <w:marRight w:val="0"/>
          <w:marTop w:val="0"/>
          <w:marBottom w:val="0"/>
          <w:divBdr>
            <w:top w:val="none" w:sz="0" w:space="0" w:color="auto"/>
            <w:left w:val="none" w:sz="0" w:space="0" w:color="auto"/>
            <w:bottom w:val="none" w:sz="0" w:space="0" w:color="auto"/>
            <w:right w:val="none" w:sz="0" w:space="0" w:color="auto"/>
          </w:divBdr>
        </w:div>
        <w:div w:id="924337407">
          <w:marLeft w:val="274"/>
          <w:marRight w:val="0"/>
          <w:marTop w:val="0"/>
          <w:marBottom w:val="0"/>
          <w:divBdr>
            <w:top w:val="none" w:sz="0" w:space="0" w:color="auto"/>
            <w:left w:val="none" w:sz="0" w:space="0" w:color="auto"/>
            <w:bottom w:val="none" w:sz="0" w:space="0" w:color="auto"/>
            <w:right w:val="none" w:sz="0" w:space="0" w:color="auto"/>
          </w:divBdr>
        </w:div>
        <w:div w:id="1108617337">
          <w:marLeft w:val="274"/>
          <w:marRight w:val="0"/>
          <w:marTop w:val="0"/>
          <w:marBottom w:val="0"/>
          <w:divBdr>
            <w:top w:val="none" w:sz="0" w:space="0" w:color="auto"/>
            <w:left w:val="none" w:sz="0" w:space="0" w:color="auto"/>
            <w:bottom w:val="none" w:sz="0" w:space="0" w:color="auto"/>
            <w:right w:val="none" w:sz="0" w:space="0" w:color="auto"/>
          </w:divBdr>
        </w:div>
        <w:div w:id="1484392199">
          <w:marLeft w:val="274"/>
          <w:marRight w:val="0"/>
          <w:marTop w:val="0"/>
          <w:marBottom w:val="0"/>
          <w:divBdr>
            <w:top w:val="none" w:sz="0" w:space="0" w:color="auto"/>
            <w:left w:val="none" w:sz="0" w:space="0" w:color="auto"/>
            <w:bottom w:val="none" w:sz="0" w:space="0" w:color="auto"/>
            <w:right w:val="none" w:sz="0" w:space="0" w:color="auto"/>
          </w:divBdr>
        </w:div>
      </w:divsChild>
    </w:div>
    <w:div w:id="70742964">
      <w:bodyDiv w:val="1"/>
      <w:marLeft w:val="0"/>
      <w:marRight w:val="0"/>
      <w:marTop w:val="0"/>
      <w:marBottom w:val="0"/>
      <w:divBdr>
        <w:top w:val="none" w:sz="0" w:space="0" w:color="auto"/>
        <w:left w:val="none" w:sz="0" w:space="0" w:color="auto"/>
        <w:bottom w:val="none" w:sz="0" w:space="0" w:color="auto"/>
        <w:right w:val="none" w:sz="0" w:space="0" w:color="auto"/>
      </w:divBdr>
    </w:div>
    <w:div w:id="88820213">
      <w:bodyDiv w:val="1"/>
      <w:marLeft w:val="0"/>
      <w:marRight w:val="0"/>
      <w:marTop w:val="0"/>
      <w:marBottom w:val="0"/>
      <w:divBdr>
        <w:top w:val="none" w:sz="0" w:space="0" w:color="auto"/>
        <w:left w:val="none" w:sz="0" w:space="0" w:color="auto"/>
        <w:bottom w:val="none" w:sz="0" w:space="0" w:color="auto"/>
        <w:right w:val="none" w:sz="0" w:space="0" w:color="auto"/>
      </w:divBdr>
    </w:div>
    <w:div w:id="94595874">
      <w:bodyDiv w:val="1"/>
      <w:marLeft w:val="0"/>
      <w:marRight w:val="0"/>
      <w:marTop w:val="0"/>
      <w:marBottom w:val="0"/>
      <w:divBdr>
        <w:top w:val="none" w:sz="0" w:space="0" w:color="auto"/>
        <w:left w:val="none" w:sz="0" w:space="0" w:color="auto"/>
        <w:bottom w:val="none" w:sz="0" w:space="0" w:color="auto"/>
        <w:right w:val="none" w:sz="0" w:space="0" w:color="auto"/>
      </w:divBdr>
      <w:divsChild>
        <w:div w:id="719668943">
          <w:marLeft w:val="0"/>
          <w:marRight w:val="0"/>
          <w:marTop w:val="0"/>
          <w:marBottom w:val="0"/>
          <w:divBdr>
            <w:top w:val="none" w:sz="0" w:space="0" w:color="auto"/>
            <w:left w:val="none" w:sz="0" w:space="0" w:color="auto"/>
            <w:bottom w:val="none" w:sz="0" w:space="0" w:color="auto"/>
            <w:right w:val="none" w:sz="0" w:space="0" w:color="auto"/>
          </w:divBdr>
          <w:divsChild>
            <w:div w:id="1046181781">
              <w:marLeft w:val="0"/>
              <w:marRight w:val="0"/>
              <w:marTop w:val="0"/>
              <w:marBottom w:val="0"/>
              <w:divBdr>
                <w:top w:val="none" w:sz="0" w:space="0" w:color="auto"/>
                <w:left w:val="none" w:sz="0" w:space="0" w:color="auto"/>
                <w:bottom w:val="none" w:sz="0" w:space="0" w:color="auto"/>
                <w:right w:val="none" w:sz="0" w:space="0" w:color="auto"/>
              </w:divBdr>
              <w:divsChild>
                <w:div w:id="950237511">
                  <w:marLeft w:val="0"/>
                  <w:marRight w:val="0"/>
                  <w:marTop w:val="0"/>
                  <w:marBottom w:val="0"/>
                  <w:divBdr>
                    <w:top w:val="none" w:sz="0" w:space="0" w:color="auto"/>
                    <w:left w:val="none" w:sz="0" w:space="0" w:color="auto"/>
                    <w:bottom w:val="none" w:sz="0" w:space="0" w:color="auto"/>
                    <w:right w:val="none" w:sz="0" w:space="0" w:color="auto"/>
                  </w:divBdr>
                  <w:divsChild>
                    <w:div w:id="11476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37939">
      <w:bodyDiv w:val="1"/>
      <w:marLeft w:val="0"/>
      <w:marRight w:val="0"/>
      <w:marTop w:val="0"/>
      <w:marBottom w:val="0"/>
      <w:divBdr>
        <w:top w:val="none" w:sz="0" w:space="0" w:color="auto"/>
        <w:left w:val="none" w:sz="0" w:space="0" w:color="auto"/>
        <w:bottom w:val="none" w:sz="0" w:space="0" w:color="auto"/>
        <w:right w:val="none" w:sz="0" w:space="0" w:color="auto"/>
      </w:divBdr>
    </w:div>
    <w:div w:id="103506462">
      <w:bodyDiv w:val="1"/>
      <w:marLeft w:val="0"/>
      <w:marRight w:val="0"/>
      <w:marTop w:val="0"/>
      <w:marBottom w:val="0"/>
      <w:divBdr>
        <w:top w:val="none" w:sz="0" w:space="0" w:color="auto"/>
        <w:left w:val="none" w:sz="0" w:space="0" w:color="auto"/>
        <w:bottom w:val="none" w:sz="0" w:space="0" w:color="auto"/>
        <w:right w:val="none" w:sz="0" w:space="0" w:color="auto"/>
      </w:divBdr>
    </w:div>
    <w:div w:id="109056687">
      <w:bodyDiv w:val="1"/>
      <w:marLeft w:val="0"/>
      <w:marRight w:val="0"/>
      <w:marTop w:val="0"/>
      <w:marBottom w:val="0"/>
      <w:divBdr>
        <w:top w:val="none" w:sz="0" w:space="0" w:color="auto"/>
        <w:left w:val="none" w:sz="0" w:space="0" w:color="auto"/>
        <w:bottom w:val="none" w:sz="0" w:space="0" w:color="auto"/>
        <w:right w:val="none" w:sz="0" w:space="0" w:color="auto"/>
      </w:divBdr>
    </w:div>
    <w:div w:id="127555785">
      <w:bodyDiv w:val="1"/>
      <w:marLeft w:val="0"/>
      <w:marRight w:val="0"/>
      <w:marTop w:val="0"/>
      <w:marBottom w:val="0"/>
      <w:divBdr>
        <w:top w:val="none" w:sz="0" w:space="0" w:color="auto"/>
        <w:left w:val="none" w:sz="0" w:space="0" w:color="auto"/>
        <w:bottom w:val="none" w:sz="0" w:space="0" w:color="auto"/>
        <w:right w:val="none" w:sz="0" w:space="0" w:color="auto"/>
      </w:divBdr>
    </w:div>
    <w:div w:id="136261683">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8375849">
      <w:bodyDiv w:val="1"/>
      <w:marLeft w:val="0"/>
      <w:marRight w:val="0"/>
      <w:marTop w:val="0"/>
      <w:marBottom w:val="0"/>
      <w:divBdr>
        <w:top w:val="none" w:sz="0" w:space="0" w:color="auto"/>
        <w:left w:val="none" w:sz="0" w:space="0" w:color="auto"/>
        <w:bottom w:val="none" w:sz="0" w:space="0" w:color="auto"/>
        <w:right w:val="none" w:sz="0" w:space="0" w:color="auto"/>
      </w:divBdr>
    </w:div>
    <w:div w:id="195193603">
      <w:bodyDiv w:val="1"/>
      <w:marLeft w:val="0"/>
      <w:marRight w:val="0"/>
      <w:marTop w:val="0"/>
      <w:marBottom w:val="0"/>
      <w:divBdr>
        <w:top w:val="none" w:sz="0" w:space="0" w:color="auto"/>
        <w:left w:val="none" w:sz="0" w:space="0" w:color="auto"/>
        <w:bottom w:val="none" w:sz="0" w:space="0" w:color="auto"/>
        <w:right w:val="none" w:sz="0" w:space="0" w:color="auto"/>
      </w:divBdr>
    </w:div>
    <w:div w:id="250165120">
      <w:bodyDiv w:val="1"/>
      <w:marLeft w:val="0"/>
      <w:marRight w:val="0"/>
      <w:marTop w:val="0"/>
      <w:marBottom w:val="0"/>
      <w:divBdr>
        <w:top w:val="none" w:sz="0" w:space="0" w:color="auto"/>
        <w:left w:val="none" w:sz="0" w:space="0" w:color="auto"/>
        <w:bottom w:val="none" w:sz="0" w:space="0" w:color="auto"/>
        <w:right w:val="none" w:sz="0" w:space="0" w:color="auto"/>
      </w:divBdr>
    </w:div>
    <w:div w:id="253131050">
      <w:bodyDiv w:val="1"/>
      <w:marLeft w:val="0"/>
      <w:marRight w:val="0"/>
      <w:marTop w:val="0"/>
      <w:marBottom w:val="0"/>
      <w:divBdr>
        <w:top w:val="none" w:sz="0" w:space="0" w:color="auto"/>
        <w:left w:val="none" w:sz="0" w:space="0" w:color="auto"/>
        <w:bottom w:val="none" w:sz="0" w:space="0" w:color="auto"/>
        <w:right w:val="none" w:sz="0" w:space="0" w:color="auto"/>
      </w:divBdr>
    </w:div>
    <w:div w:id="271132521">
      <w:bodyDiv w:val="1"/>
      <w:marLeft w:val="0"/>
      <w:marRight w:val="0"/>
      <w:marTop w:val="0"/>
      <w:marBottom w:val="0"/>
      <w:divBdr>
        <w:top w:val="none" w:sz="0" w:space="0" w:color="auto"/>
        <w:left w:val="none" w:sz="0" w:space="0" w:color="auto"/>
        <w:bottom w:val="none" w:sz="0" w:space="0" w:color="auto"/>
        <w:right w:val="none" w:sz="0" w:space="0" w:color="auto"/>
      </w:divBdr>
    </w:div>
    <w:div w:id="298456089">
      <w:bodyDiv w:val="1"/>
      <w:marLeft w:val="0"/>
      <w:marRight w:val="0"/>
      <w:marTop w:val="0"/>
      <w:marBottom w:val="0"/>
      <w:divBdr>
        <w:top w:val="none" w:sz="0" w:space="0" w:color="auto"/>
        <w:left w:val="none" w:sz="0" w:space="0" w:color="auto"/>
        <w:bottom w:val="none" w:sz="0" w:space="0" w:color="auto"/>
        <w:right w:val="none" w:sz="0" w:space="0" w:color="auto"/>
      </w:divBdr>
      <w:divsChild>
        <w:div w:id="1452825226">
          <w:marLeft w:val="446"/>
          <w:marRight w:val="0"/>
          <w:marTop w:val="0"/>
          <w:marBottom w:val="0"/>
          <w:divBdr>
            <w:top w:val="none" w:sz="0" w:space="0" w:color="auto"/>
            <w:left w:val="none" w:sz="0" w:space="0" w:color="auto"/>
            <w:bottom w:val="none" w:sz="0" w:space="0" w:color="auto"/>
            <w:right w:val="none" w:sz="0" w:space="0" w:color="auto"/>
          </w:divBdr>
        </w:div>
      </w:divsChild>
    </w:div>
    <w:div w:id="308486961">
      <w:bodyDiv w:val="1"/>
      <w:marLeft w:val="0"/>
      <w:marRight w:val="0"/>
      <w:marTop w:val="0"/>
      <w:marBottom w:val="0"/>
      <w:divBdr>
        <w:top w:val="none" w:sz="0" w:space="0" w:color="auto"/>
        <w:left w:val="none" w:sz="0" w:space="0" w:color="auto"/>
        <w:bottom w:val="none" w:sz="0" w:space="0" w:color="auto"/>
        <w:right w:val="none" w:sz="0" w:space="0" w:color="auto"/>
      </w:divBdr>
      <w:divsChild>
        <w:div w:id="1214578902">
          <w:marLeft w:val="547"/>
          <w:marRight w:val="0"/>
          <w:marTop w:val="67"/>
          <w:marBottom w:val="0"/>
          <w:divBdr>
            <w:top w:val="none" w:sz="0" w:space="0" w:color="auto"/>
            <w:left w:val="none" w:sz="0" w:space="0" w:color="auto"/>
            <w:bottom w:val="none" w:sz="0" w:space="0" w:color="auto"/>
            <w:right w:val="none" w:sz="0" w:space="0" w:color="auto"/>
          </w:divBdr>
        </w:div>
        <w:div w:id="1551572585">
          <w:marLeft w:val="547"/>
          <w:marRight w:val="0"/>
          <w:marTop w:val="67"/>
          <w:marBottom w:val="0"/>
          <w:divBdr>
            <w:top w:val="none" w:sz="0" w:space="0" w:color="auto"/>
            <w:left w:val="none" w:sz="0" w:space="0" w:color="auto"/>
            <w:bottom w:val="none" w:sz="0" w:space="0" w:color="auto"/>
            <w:right w:val="none" w:sz="0" w:space="0" w:color="auto"/>
          </w:divBdr>
        </w:div>
        <w:div w:id="2116516845">
          <w:marLeft w:val="547"/>
          <w:marRight w:val="0"/>
          <w:marTop w:val="67"/>
          <w:marBottom w:val="0"/>
          <w:divBdr>
            <w:top w:val="none" w:sz="0" w:space="0" w:color="auto"/>
            <w:left w:val="none" w:sz="0" w:space="0" w:color="auto"/>
            <w:bottom w:val="none" w:sz="0" w:space="0" w:color="auto"/>
            <w:right w:val="none" w:sz="0" w:space="0" w:color="auto"/>
          </w:divBdr>
        </w:div>
      </w:divsChild>
    </w:div>
    <w:div w:id="309482986">
      <w:bodyDiv w:val="1"/>
      <w:marLeft w:val="0"/>
      <w:marRight w:val="0"/>
      <w:marTop w:val="0"/>
      <w:marBottom w:val="0"/>
      <w:divBdr>
        <w:top w:val="none" w:sz="0" w:space="0" w:color="auto"/>
        <w:left w:val="none" w:sz="0" w:space="0" w:color="auto"/>
        <w:bottom w:val="none" w:sz="0" w:space="0" w:color="auto"/>
        <w:right w:val="none" w:sz="0" w:space="0" w:color="auto"/>
      </w:divBdr>
    </w:div>
    <w:div w:id="320428849">
      <w:bodyDiv w:val="1"/>
      <w:marLeft w:val="0"/>
      <w:marRight w:val="0"/>
      <w:marTop w:val="0"/>
      <w:marBottom w:val="0"/>
      <w:divBdr>
        <w:top w:val="none" w:sz="0" w:space="0" w:color="auto"/>
        <w:left w:val="none" w:sz="0" w:space="0" w:color="auto"/>
        <w:bottom w:val="none" w:sz="0" w:space="0" w:color="auto"/>
        <w:right w:val="none" w:sz="0" w:space="0" w:color="auto"/>
      </w:divBdr>
    </w:div>
    <w:div w:id="331613945">
      <w:bodyDiv w:val="1"/>
      <w:marLeft w:val="0"/>
      <w:marRight w:val="0"/>
      <w:marTop w:val="0"/>
      <w:marBottom w:val="0"/>
      <w:divBdr>
        <w:top w:val="none" w:sz="0" w:space="0" w:color="auto"/>
        <w:left w:val="none" w:sz="0" w:space="0" w:color="auto"/>
        <w:bottom w:val="none" w:sz="0" w:space="0" w:color="auto"/>
        <w:right w:val="none" w:sz="0" w:space="0" w:color="auto"/>
      </w:divBdr>
    </w:div>
    <w:div w:id="355276512">
      <w:bodyDiv w:val="1"/>
      <w:marLeft w:val="0"/>
      <w:marRight w:val="0"/>
      <w:marTop w:val="0"/>
      <w:marBottom w:val="0"/>
      <w:divBdr>
        <w:top w:val="none" w:sz="0" w:space="0" w:color="auto"/>
        <w:left w:val="none" w:sz="0" w:space="0" w:color="auto"/>
        <w:bottom w:val="none" w:sz="0" w:space="0" w:color="auto"/>
        <w:right w:val="none" w:sz="0" w:space="0" w:color="auto"/>
      </w:divBdr>
      <w:divsChild>
        <w:div w:id="757748629">
          <w:marLeft w:val="446"/>
          <w:marRight w:val="0"/>
          <w:marTop w:val="0"/>
          <w:marBottom w:val="0"/>
          <w:divBdr>
            <w:top w:val="none" w:sz="0" w:space="0" w:color="auto"/>
            <w:left w:val="none" w:sz="0" w:space="0" w:color="auto"/>
            <w:bottom w:val="none" w:sz="0" w:space="0" w:color="auto"/>
            <w:right w:val="none" w:sz="0" w:space="0" w:color="auto"/>
          </w:divBdr>
        </w:div>
        <w:div w:id="1926911611">
          <w:marLeft w:val="446"/>
          <w:marRight w:val="0"/>
          <w:marTop w:val="0"/>
          <w:marBottom w:val="0"/>
          <w:divBdr>
            <w:top w:val="none" w:sz="0" w:space="0" w:color="auto"/>
            <w:left w:val="none" w:sz="0" w:space="0" w:color="auto"/>
            <w:bottom w:val="none" w:sz="0" w:space="0" w:color="auto"/>
            <w:right w:val="none" w:sz="0" w:space="0" w:color="auto"/>
          </w:divBdr>
        </w:div>
        <w:div w:id="2009475653">
          <w:marLeft w:val="446"/>
          <w:marRight w:val="0"/>
          <w:marTop w:val="0"/>
          <w:marBottom w:val="0"/>
          <w:divBdr>
            <w:top w:val="none" w:sz="0" w:space="0" w:color="auto"/>
            <w:left w:val="none" w:sz="0" w:space="0" w:color="auto"/>
            <w:bottom w:val="none" w:sz="0" w:space="0" w:color="auto"/>
            <w:right w:val="none" w:sz="0" w:space="0" w:color="auto"/>
          </w:divBdr>
        </w:div>
      </w:divsChild>
    </w:div>
    <w:div w:id="362244155">
      <w:bodyDiv w:val="1"/>
      <w:marLeft w:val="0"/>
      <w:marRight w:val="0"/>
      <w:marTop w:val="0"/>
      <w:marBottom w:val="0"/>
      <w:divBdr>
        <w:top w:val="none" w:sz="0" w:space="0" w:color="auto"/>
        <w:left w:val="none" w:sz="0" w:space="0" w:color="auto"/>
        <w:bottom w:val="none" w:sz="0" w:space="0" w:color="auto"/>
        <w:right w:val="none" w:sz="0" w:space="0" w:color="auto"/>
      </w:divBdr>
      <w:divsChild>
        <w:div w:id="384527423">
          <w:marLeft w:val="274"/>
          <w:marRight w:val="0"/>
          <w:marTop w:val="0"/>
          <w:marBottom w:val="0"/>
          <w:divBdr>
            <w:top w:val="none" w:sz="0" w:space="0" w:color="auto"/>
            <w:left w:val="none" w:sz="0" w:space="0" w:color="auto"/>
            <w:bottom w:val="none" w:sz="0" w:space="0" w:color="auto"/>
            <w:right w:val="none" w:sz="0" w:space="0" w:color="auto"/>
          </w:divBdr>
        </w:div>
        <w:div w:id="1597204201">
          <w:marLeft w:val="274"/>
          <w:marRight w:val="0"/>
          <w:marTop w:val="0"/>
          <w:marBottom w:val="0"/>
          <w:divBdr>
            <w:top w:val="none" w:sz="0" w:space="0" w:color="auto"/>
            <w:left w:val="none" w:sz="0" w:space="0" w:color="auto"/>
            <w:bottom w:val="none" w:sz="0" w:space="0" w:color="auto"/>
            <w:right w:val="none" w:sz="0" w:space="0" w:color="auto"/>
          </w:divBdr>
        </w:div>
      </w:divsChild>
    </w:div>
    <w:div w:id="382339561">
      <w:bodyDiv w:val="1"/>
      <w:marLeft w:val="0"/>
      <w:marRight w:val="0"/>
      <w:marTop w:val="0"/>
      <w:marBottom w:val="0"/>
      <w:divBdr>
        <w:top w:val="none" w:sz="0" w:space="0" w:color="auto"/>
        <w:left w:val="none" w:sz="0" w:space="0" w:color="auto"/>
        <w:bottom w:val="none" w:sz="0" w:space="0" w:color="auto"/>
        <w:right w:val="none" w:sz="0" w:space="0" w:color="auto"/>
      </w:divBdr>
      <w:divsChild>
        <w:div w:id="1242064253">
          <w:marLeft w:val="0"/>
          <w:marRight w:val="0"/>
          <w:marTop w:val="150"/>
          <w:marBottom w:val="0"/>
          <w:divBdr>
            <w:top w:val="none" w:sz="0" w:space="0" w:color="auto"/>
            <w:left w:val="none" w:sz="0" w:space="0" w:color="auto"/>
            <w:bottom w:val="none" w:sz="0" w:space="0" w:color="auto"/>
            <w:right w:val="none" w:sz="0" w:space="0" w:color="auto"/>
          </w:divBdr>
          <w:divsChild>
            <w:div w:id="1139953311">
              <w:marLeft w:val="0"/>
              <w:marRight w:val="0"/>
              <w:marTop w:val="0"/>
              <w:marBottom w:val="0"/>
              <w:divBdr>
                <w:top w:val="none" w:sz="0" w:space="0" w:color="auto"/>
                <w:left w:val="none" w:sz="0" w:space="0" w:color="auto"/>
                <w:bottom w:val="none" w:sz="0" w:space="0" w:color="auto"/>
                <w:right w:val="none" w:sz="0" w:space="0" w:color="auto"/>
              </w:divBdr>
              <w:divsChild>
                <w:div w:id="1599754281">
                  <w:marLeft w:val="0"/>
                  <w:marRight w:val="0"/>
                  <w:marTop w:val="75"/>
                  <w:marBottom w:val="75"/>
                  <w:divBdr>
                    <w:top w:val="none" w:sz="0" w:space="0" w:color="auto"/>
                    <w:left w:val="none" w:sz="0" w:space="0" w:color="auto"/>
                    <w:bottom w:val="none" w:sz="0" w:space="0" w:color="auto"/>
                    <w:right w:val="none" w:sz="0" w:space="0" w:color="auto"/>
                  </w:divBdr>
                  <w:divsChild>
                    <w:div w:id="705178833">
                      <w:marLeft w:val="0"/>
                      <w:marRight w:val="0"/>
                      <w:marTop w:val="0"/>
                      <w:marBottom w:val="0"/>
                      <w:divBdr>
                        <w:top w:val="none" w:sz="0" w:space="0" w:color="auto"/>
                        <w:left w:val="none" w:sz="0" w:space="0" w:color="auto"/>
                        <w:bottom w:val="none" w:sz="0" w:space="0" w:color="auto"/>
                        <w:right w:val="none" w:sz="0" w:space="0" w:color="auto"/>
                      </w:divBdr>
                      <w:divsChild>
                        <w:div w:id="1544514825">
                          <w:marLeft w:val="0"/>
                          <w:marRight w:val="0"/>
                          <w:marTop w:val="0"/>
                          <w:marBottom w:val="0"/>
                          <w:divBdr>
                            <w:top w:val="none" w:sz="0" w:space="0" w:color="auto"/>
                            <w:left w:val="none" w:sz="0" w:space="0" w:color="auto"/>
                            <w:bottom w:val="none" w:sz="0" w:space="0" w:color="auto"/>
                            <w:right w:val="none" w:sz="0" w:space="0" w:color="auto"/>
                          </w:divBdr>
                          <w:divsChild>
                            <w:div w:id="308095048">
                              <w:marLeft w:val="0"/>
                              <w:marRight w:val="0"/>
                              <w:marTop w:val="0"/>
                              <w:marBottom w:val="0"/>
                              <w:divBdr>
                                <w:top w:val="none" w:sz="0" w:space="0" w:color="auto"/>
                                <w:left w:val="none" w:sz="0" w:space="0" w:color="auto"/>
                                <w:bottom w:val="none" w:sz="0" w:space="0" w:color="auto"/>
                                <w:right w:val="none" w:sz="0" w:space="0" w:color="auto"/>
                              </w:divBdr>
                              <w:divsChild>
                                <w:div w:id="2002851578">
                                  <w:marLeft w:val="0"/>
                                  <w:marRight w:val="0"/>
                                  <w:marTop w:val="0"/>
                                  <w:marBottom w:val="0"/>
                                  <w:divBdr>
                                    <w:top w:val="none" w:sz="0" w:space="0" w:color="auto"/>
                                    <w:left w:val="none" w:sz="0" w:space="0" w:color="auto"/>
                                    <w:bottom w:val="none" w:sz="0" w:space="0" w:color="auto"/>
                                    <w:right w:val="none" w:sz="0" w:space="0" w:color="auto"/>
                                  </w:divBdr>
                                  <w:divsChild>
                                    <w:div w:id="11190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856982">
      <w:bodyDiv w:val="1"/>
      <w:marLeft w:val="0"/>
      <w:marRight w:val="0"/>
      <w:marTop w:val="0"/>
      <w:marBottom w:val="0"/>
      <w:divBdr>
        <w:top w:val="none" w:sz="0" w:space="0" w:color="auto"/>
        <w:left w:val="none" w:sz="0" w:space="0" w:color="auto"/>
        <w:bottom w:val="none" w:sz="0" w:space="0" w:color="auto"/>
        <w:right w:val="none" w:sz="0" w:space="0" w:color="auto"/>
      </w:divBdr>
    </w:div>
    <w:div w:id="420444681">
      <w:bodyDiv w:val="1"/>
      <w:marLeft w:val="0"/>
      <w:marRight w:val="0"/>
      <w:marTop w:val="0"/>
      <w:marBottom w:val="0"/>
      <w:divBdr>
        <w:top w:val="none" w:sz="0" w:space="0" w:color="auto"/>
        <w:left w:val="none" w:sz="0" w:space="0" w:color="auto"/>
        <w:bottom w:val="none" w:sz="0" w:space="0" w:color="auto"/>
        <w:right w:val="none" w:sz="0" w:space="0" w:color="auto"/>
      </w:divBdr>
    </w:div>
    <w:div w:id="421149654">
      <w:bodyDiv w:val="1"/>
      <w:marLeft w:val="0"/>
      <w:marRight w:val="0"/>
      <w:marTop w:val="0"/>
      <w:marBottom w:val="0"/>
      <w:divBdr>
        <w:top w:val="none" w:sz="0" w:space="0" w:color="auto"/>
        <w:left w:val="none" w:sz="0" w:space="0" w:color="auto"/>
        <w:bottom w:val="none" w:sz="0" w:space="0" w:color="auto"/>
        <w:right w:val="none" w:sz="0" w:space="0" w:color="auto"/>
      </w:divBdr>
      <w:divsChild>
        <w:div w:id="2246418">
          <w:marLeft w:val="418"/>
          <w:marRight w:val="0"/>
          <w:marTop w:val="20"/>
          <w:marBottom w:val="40"/>
          <w:divBdr>
            <w:top w:val="none" w:sz="0" w:space="0" w:color="auto"/>
            <w:left w:val="none" w:sz="0" w:space="0" w:color="auto"/>
            <w:bottom w:val="none" w:sz="0" w:space="0" w:color="auto"/>
            <w:right w:val="none" w:sz="0" w:space="0" w:color="auto"/>
          </w:divBdr>
        </w:div>
        <w:div w:id="13390454">
          <w:marLeft w:val="418"/>
          <w:marRight w:val="0"/>
          <w:marTop w:val="20"/>
          <w:marBottom w:val="40"/>
          <w:divBdr>
            <w:top w:val="none" w:sz="0" w:space="0" w:color="auto"/>
            <w:left w:val="none" w:sz="0" w:space="0" w:color="auto"/>
            <w:bottom w:val="none" w:sz="0" w:space="0" w:color="auto"/>
            <w:right w:val="none" w:sz="0" w:space="0" w:color="auto"/>
          </w:divBdr>
        </w:div>
        <w:div w:id="137114202">
          <w:marLeft w:val="418"/>
          <w:marRight w:val="0"/>
          <w:marTop w:val="20"/>
          <w:marBottom w:val="40"/>
          <w:divBdr>
            <w:top w:val="none" w:sz="0" w:space="0" w:color="auto"/>
            <w:left w:val="none" w:sz="0" w:space="0" w:color="auto"/>
            <w:bottom w:val="none" w:sz="0" w:space="0" w:color="auto"/>
            <w:right w:val="none" w:sz="0" w:space="0" w:color="auto"/>
          </w:divBdr>
        </w:div>
        <w:div w:id="188227675">
          <w:marLeft w:val="418"/>
          <w:marRight w:val="0"/>
          <w:marTop w:val="20"/>
          <w:marBottom w:val="40"/>
          <w:divBdr>
            <w:top w:val="none" w:sz="0" w:space="0" w:color="auto"/>
            <w:left w:val="none" w:sz="0" w:space="0" w:color="auto"/>
            <w:bottom w:val="none" w:sz="0" w:space="0" w:color="auto"/>
            <w:right w:val="none" w:sz="0" w:space="0" w:color="auto"/>
          </w:divBdr>
        </w:div>
        <w:div w:id="316492182">
          <w:marLeft w:val="418"/>
          <w:marRight w:val="0"/>
          <w:marTop w:val="20"/>
          <w:marBottom w:val="40"/>
          <w:divBdr>
            <w:top w:val="none" w:sz="0" w:space="0" w:color="auto"/>
            <w:left w:val="none" w:sz="0" w:space="0" w:color="auto"/>
            <w:bottom w:val="none" w:sz="0" w:space="0" w:color="auto"/>
            <w:right w:val="none" w:sz="0" w:space="0" w:color="auto"/>
          </w:divBdr>
        </w:div>
        <w:div w:id="460541689">
          <w:marLeft w:val="418"/>
          <w:marRight w:val="0"/>
          <w:marTop w:val="20"/>
          <w:marBottom w:val="40"/>
          <w:divBdr>
            <w:top w:val="none" w:sz="0" w:space="0" w:color="auto"/>
            <w:left w:val="none" w:sz="0" w:space="0" w:color="auto"/>
            <w:bottom w:val="none" w:sz="0" w:space="0" w:color="auto"/>
            <w:right w:val="none" w:sz="0" w:space="0" w:color="auto"/>
          </w:divBdr>
        </w:div>
        <w:div w:id="588852161">
          <w:marLeft w:val="418"/>
          <w:marRight w:val="0"/>
          <w:marTop w:val="20"/>
          <w:marBottom w:val="40"/>
          <w:divBdr>
            <w:top w:val="none" w:sz="0" w:space="0" w:color="auto"/>
            <w:left w:val="none" w:sz="0" w:space="0" w:color="auto"/>
            <w:bottom w:val="none" w:sz="0" w:space="0" w:color="auto"/>
            <w:right w:val="none" w:sz="0" w:space="0" w:color="auto"/>
          </w:divBdr>
        </w:div>
        <w:div w:id="706220207">
          <w:marLeft w:val="418"/>
          <w:marRight w:val="0"/>
          <w:marTop w:val="20"/>
          <w:marBottom w:val="40"/>
          <w:divBdr>
            <w:top w:val="none" w:sz="0" w:space="0" w:color="auto"/>
            <w:left w:val="none" w:sz="0" w:space="0" w:color="auto"/>
            <w:bottom w:val="none" w:sz="0" w:space="0" w:color="auto"/>
            <w:right w:val="none" w:sz="0" w:space="0" w:color="auto"/>
          </w:divBdr>
        </w:div>
        <w:div w:id="890193387">
          <w:marLeft w:val="418"/>
          <w:marRight w:val="0"/>
          <w:marTop w:val="20"/>
          <w:marBottom w:val="40"/>
          <w:divBdr>
            <w:top w:val="none" w:sz="0" w:space="0" w:color="auto"/>
            <w:left w:val="none" w:sz="0" w:space="0" w:color="auto"/>
            <w:bottom w:val="none" w:sz="0" w:space="0" w:color="auto"/>
            <w:right w:val="none" w:sz="0" w:space="0" w:color="auto"/>
          </w:divBdr>
        </w:div>
        <w:div w:id="1026365894">
          <w:marLeft w:val="418"/>
          <w:marRight w:val="0"/>
          <w:marTop w:val="20"/>
          <w:marBottom w:val="40"/>
          <w:divBdr>
            <w:top w:val="none" w:sz="0" w:space="0" w:color="auto"/>
            <w:left w:val="none" w:sz="0" w:space="0" w:color="auto"/>
            <w:bottom w:val="none" w:sz="0" w:space="0" w:color="auto"/>
            <w:right w:val="none" w:sz="0" w:space="0" w:color="auto"/>
          </w:divBdr>
        </w:div>
        <w:div w:id="1078744796">
          <w:marLeft w:val="418"/>
          <w:marRight w:val="0"/>
          <w:marTop w:val="20"/>
          <w:marBottom w:val="40"/>
          <w:divBdr>
            <w:top w:val="none" w:sz="0" w:space="0" w:color="auto"/>
            <w:left w:val="none" w:sz="0" w:space="0" w:color="auto"/>
            <w:bottom w:val="none" w:sz="0" w:space="0" w:color="auto"/>
            <w:right w:val="none" w:sz="0" w:space="0" w:color="auto"/>
          </w:divBdr>
        </w:div>
        <w:div w:id="1204369478">
          <w:marLeft w:val="418"/>
          <w:marRight w:val="0"/>
          <w:marTop w:val="20"/>
          <w:marBottom w:val="40"/>
          <w:divBdr>
            <w:top w:val="none" w:sz="0" w:space="0" w:color="auto"/>
            <w:left w:val="none" w:sz="0" w:space="0" w:color="auto"/>
            <w:bottom w:val="none" w:sz="0" w:space="0" w:color="auto"/>
            <w:right w:val="none" w:sz="0" w:space="0" w:color="auto"/>
          </w:divBdr>
        </w:div>
        <w:div w:id="1309820504">
          <w:marLeft w:val="418"/>
          <w:marRight w:val="0"/>
          <w:marTop w:val="20"/>
          <w:marBottom w:val="40"/>
          <w:divBdr>
            <w:top w:val="none" w:sz="0" w:space="0" w:color="auto"/>
            <w:left w:val="none" w:sz="0" w:space="0" w:color="auto"/>
            <w:bottom w:val="none" w:sz="0" w:space="0" w:color="auto"/>
            <w:right w:val="none" w:sz="0" w:space="0" w:color="auto"/>
          </w:divBdr>
        </w:div>
        <w:div w:id="2019845728">
          <w:marLeft w:val="418"/>
          <w:marRight w:val="0"/>
          <w:marTop w:val="20"/>
          <w:marBottom w:val="40"/>
          <w:divBdr>
            <w:top w:val="none" w:sz="0" w:space="0" w:color="auto"/>
            <w:left w:val="none" w:sz="0" w:space="0" w:color="auto"/>
            <w:bottom w:val="none" w:sz="0" w:space="0" w:color="auto"/>
            <w:right w:val="none" w:sz="0" w:space="0" w:color="auto"/>
          </w:divBdr>
        </w:div>
      </w:divsChild>
    </w:div>
    <w:div w:id="435445811">
      <w:bodyDiv w:val="1"/>
      <w:marLeft w:val="0"/>
      <w:marRight w:val="0"/>
      <w:marTop w:val="0"/>
      <w:marBottom w:val="0"/>
      <w:divBdr>
        <w:top w:val="none" w:sz="0" w:space="0" w:color="auto"/>
        <w:left w:val="none" w:sz="0" w:space="0" w:color="auto"/>
        <w:bottom w:val="none" w:sz="0" w:space="0" w:color="auto"/>
        <w:right w:val="none" w:sz="0" w:space="0" w:color="auto"/>
      </w:divBdr>
    </w:div>
    <w:div w:id="441806209">
      <w:bodyDiv w:val="1"/>
      <w:marLeft w:val="0"/>
      <w:marRight w:val="0"/>
      <w:marTop w:val="0"/>
      <w:marBottom w:val="0"/>
      <w:divBdr>
        <w:top w:val="none" w:sz="0" w:space="0" w:color="auto"/>
        <w:left w:val="none" w:sz="0" w:space="0" w:color="auto"/>
        <w:bottom w:val="none" w:sz="0" w:space="0" w:color="auto"/>
        <w:right w:val="none" w:sz="0" w:space="0" w:color="auto"/>
      </w:divBdr>
    </w:div>
    <w:div w:id="465589540">
      <w:bodyDiv w:val="1"/>
      <w:marLeft w:val="0"/>
      <w:marRight w:val="0"/>
      <w:marTop w:val="0"/>
      <w:marBottom w:val="0"/>
      <w:divBdr>
        <w:top w:val="none" w:sz="0" w:space="0" w:color="auto"/>
        <w:left w:val="none" w:sz="0" w:space="0" w:color="auto"/>
        <w:bottom w:val="none" w:sz="0" w:space="0" w:color="auto"/>
        <w:right w:val="none" w:sz="0" w:space="0" w:color="auto"/>
      </w:divBdr>
    </w:div>
    <w:div w:id="484005708">
      <w:bodyDiv w:val="1"/>
      <w:marLeft w:val="0"/>
      <w:marRight w:val="0"/>
      <w:marTop w:val="0"/>
      <w:marBottom w:val="0"/>
      <w:divBdr>
        <w:top w:val="none" w:sz="0" w:space="0" w:color="auto"/>
        <w:left w:val="none" w:sz="0" w:space="0" w:color="auto"/>
        <w:bottom w:val="none" w:sz="0" w:space="0" w:color="auto"/>
        <w:right w:val="none" w:sz="0" w:space="0" w:color="auto"/>
      </w:divBdr>
    </w:div>
    <w:div w:id="506017682">
      <w:bodyDiv w:val="1"/>
      <w:marLeft w:val="0"/>
      <w:marRight w:val="0"/>
      <w:marTop w:val="0"/>
      <w:marBottom w:val="0"/>
      <w:divBdr>
        <w:top w:val="none" w:sz="0" w:space="0" w:color="auto"/>
        <w:left w:val="none" w:sz="0" w:space="0" w:color="auto"/>
        <w:bottom w:val="none" w:sz="0" w:space="0" w:color="auto"/>
        <w:right w:val="none" w:sz="0" w:space="0" w:color="auto"/>
      </w:divBdr>
    </w:div>
    <w:div w:id="532116195">
      <w:bodyDiv w:val="1"/>
      <w:marLeft w:val="0"/>
      <w:marRight w:val="0"/>
      <w:marTop w:val="0"/>
      <w:marBottom w:val="0"/>
      <w:divBdr>
        <w:top w:val="none" w:sz="0" w:space="0" w:color="auto"/>
        <w:left w:val="none" w:sz="0" w:space="0" w:color="auto"/>
        <w:bottom w:val="none" w:sz="0" w:space="0" w:color="auto"/>
        <w:right w:val="none" w:sz="0" w:space="0" w:color="auto"/>
      </w:divBdr>
      <w:divsChild>
        <w:div w:id="117450855">
          <w:marLeft w:val="1123"/>
          <w:marRight w:val="0"/>
          <w:marTop w:val="58"/>
          <w:marBottom w:val="0"/>
          <w:divBdr>
            <w:top w:val="none" w:sz="0" w:space="0" w:color="auto"/>
            <w:left w:val="none" w:sz="0" w:space="0" w:color="auto"/>
            <w:bottom w:val="none" w:sz="0" w:space="0" w:color="auto"/>
            <w:right w:val="none" w:sz="0" w:space="0" w:color="auto"/>
          </w:divBdr>
        </w:div>
        <w:div w:id="565148971">
          <w:marLeft w:val="1123"/>
          <w:marRight w:val="0"/>
          <w:marTop w:val="58"/>
          <w:marBottom w:val="0"/>
          <w:divBdr>
            <w:top w:val="none" w:sz="0" w:space="0" w:color="auto"/>
            <w:left w:val="none" w:sz="0" w:space="0" w:color="auto"/>
            <w:bottom w:val="none" w:sz="0" w:space="0" w:color="auto"/>
            <w:right w:val="none" w:sz="0" w:space="0" w:color="auto"/>
          </w:divBdr>
        </w:div>
        <w:div w:id="1853058585">
          <w:marLeft w:val="1123"/>
          <w:marRight w:val="0"/>
          <w:marTop w:val="58"/>
          <w:marBottom w:val="0"/>
          <w:divBdr>
            <w:top w:val="none" w:sz="0" w:space="0" w:color="auto"/>
            <w:left w:val="none" w:sz="0" w:space="0" w:color="auto"/>
            <w:bottom w:val="none" w:sz="0" w:space="0" w:color="auto"/>
            <w:right w:val="none" w:sz="0" w:space="0" w:color="auto"/>
          </w:divBdr>
        </w:div>
        <w:div w:id="1882205852">
          <w:marLeft w:val="1123"/>
          <w:marRight w:val="0"/>
          <w:marTop w:val="58"/>
          <w:marBottom w:val="0"/>
          <w:divBdr>
            <w:top w:val="none" w:sz="0" w:space="0" w:color="auto"/>
            <w:left w:val="none" w:sz="0" w:space="0" w:color="auto"/>
            <w:bottom w:val="none" w:sz="0" w:space="0" w:color="auto"/>
            <w:right w:val="none" w:sz="0" w:space="0" w:color="auto"/>
          </w:divBdr>
        </w:div>
      </w:divsChild>
    </w:div>
    <w:div w:id="545067601">
      <w:bodyDiv w:val="1"/>
      <w:marLeft w:val="0"/>
      <w:marRight w:val="0"/>
      <w:marTop w:val="0"/>
      <w:marBottom w:val="0"/>
      <w:divBdr>
        <w:top w:val="none" w:sz="0" w:space="0" w:color="auto"/>
        <w:left w:val="none" w:sz="0" w:space="0" w:color="auto"/>
        <w:bottom w:val="none" w:sz="0" w:space="0" w:color="auto"/>
        <w:right w:val="none" w:sz="0" w:space="0" w:color="auto"/>
      </w:divBdr>
      <w:divsChild>
        <w:div w:id="494537876">
          <w:marLeft w:val="446"/>
          <w:marRight w:val="0"/>
          <w:marTop w:val="0"/>
          <w:marBottom w:val="0"/>
          <w:divBdr>
            <w:top w:val="none" w:sz="0" w:space="0" w:color="auto"/>
            <w:left w:val="none" w:sz="0" w:space="0" w:color="auto"/>
            <w:bottom w:val="none" w:sz="0" w:space="0" w:color="auto"/>
            <w:right w:val="none" w:sz="0" w:space="0" w:color="auto"/>
          </w:divBdr>
        </w:div>
      </w:divsChild>
    </w:div>
    <w:div w:id="558903985">
      <w:bodyDiv w:val="1"/>
      <w:marLeft w:val="0"/>
      <w:marRight w:val="0"/>
      <w:marTop w:val="0"/>
      <w:marBottom w:val="0"/>
      <w:divBdr>
        <w:top w:val="none" w:sz="0" w:space="0" w:color="auto"/>
        <w:left w:val="none" w:sz="0" w:space="0" w:color="auto"/>
        <w:bottom w:val="none" w:sz="0" w:space="0" w:color="auto"/>
        <w:right w:val="none" w:sz="0" w:space="0" w:color="auto"/>
      </w:divBdr>
    </w:div>
    <w:div w:id="562757955">
      <w:bodyDiv w:val="1"/>
      <w:marLeft w:val="0"/>
      <w:marRight w:val="0"/>
      <w:marTop w:val="0"/>
      <w:marBottom w:val="0"/>
      <w:divBdr>
        <w:top w:val="none" w:sz="0" w:space="0" w:color="auto"/>
        <w:left w:val="none" w:sz="0" w:space="0" w:color="auto"/>
        <w:bottom w:val="none" w:sz="0" w:space="0" w:color="auto"/>
        <w:right w:val="none" w:sz="0" w:space="0" w:color="auto"/>
      </w:divBdr>
    </w:div>
    <w:div w:id="594820942">
      <w:bodyDiv w:val="1"/>
      <w:marLeft w:val="0"/>
      <w:marRight w:val="0"/>
      <w:marTop w:val="0"/>
      <w:marBottom w:val="0"/>
      <w:divBdr>
        <w:top w:val="none" w:sz="0" w:space="0" w:color="auto"/>
        <w:left w:val="none" w:sz="0" w:space="0" w:color="auto"/>
        <w:bottom w:val="none" w:sz="0" w:space="0" w:color="auto"/>
        <w:right w:val="none" w:sz="0" w:space="0" w:color="auto"/>
      </w:divBdr>
    </w:div>
    <w:div w:id="609363277">
      <w:bodyDiv w:val="1"/>
      <w:marLeft w:val="0"/>
      <w:marRight w:val="0"/>
      <w:marTop w:val="0"/>
      <w:marBottom w:val="0"/>
      <w:divBdr>
        <w:top w:val="none" w:sz="0" w:space="0" w:color="auto"/>
        <w:left w:val="none" w:sz="0" w:space="0" w:color="auto"/>
        <w:bottom w:val="none" w:sz="0" w:space="0" w:color="auto"/>
        <w:right w:val="none" w:sz="0" w:space="0" w:color="auto"/>
      </w:divBdr>
    </w:div>
    <w:div w:id="650064610">
      <w:bodyDiv w:val="1"/>
      <w:marLeft w:val="0"/>
      <w:marRight w:val="0"/>
      <w:marTop w:val="0"/>
      <w:marBottom w:val="0"/>
      <w:divBdr>
        <w:top w:val="none" w:sz="0" w:space="0" w:color="auto"/>
        <w:left w:val="none" w:sz="0" w:space="0" w:color="auto"/>
        <w:bottom w:val="none" w:sz="0" w:space="0" w:color="auto"/>
        <w:right w:val="none" w:sz="0" w:space="0" w:color="auto"/>
      </w:divBdr>
      <w:divsChild>
        <w:div w:id="12146043">
          <w:marLeft w:val="274"/>
          <w:marRight w:val="0"/>
          <w:marTop w:val="0"/>
          <w:marBottom w:val="0"/>
          <w:divBdr>
            <w:top w:val="none" w:sz="0" w:space="0" w:color="auto"/>
            <w:left w:val="none" w:sz="0" w:space="0" w:color="auto"/>
            <w:bottom w:val="none" w:sz="0" w:space="0" w:color="auto"/>
            <w:right w:val="none" w:sz="0" w:space="0" w:color="auto"/>
          </w:divBdr>
        </w:div>
        <w:div w:id="186020195">
          <w:marLeft w:val="274"/>
          <w:marRight w:val="0"/>
          <w:marTop w:val="0"/>
          <w:marBottom w:val="0"/>
          <w:divBdr>
            <w:top w:val="none" w:sz="0" w:space="0" w:color="auto"/>
            <w:left w:val="none" w:sz="0" w:space="0" w:color="auto"/>
            <w:bottom w:val="none" w:sz="0" w:space="0" w:color="auto"/>
            <w:right w:val="none" w:sz="0" w:space="0" w:color="auto"/>
          </w:divBdr>
        </w:div>
        <w:div w:id="208733108">
          <w:marLeft w:val="274"/>
          <w:marRight w:val="0"/>
          <w:marTop w:val="0"/>
          <w:marBottom w:val="0"/>
          <w:divBdr>
            <w:top w:val="none" w:sz="0" w:space="0" w:color="auto"/>
            <w:left w:val="none" w:sz="0" w:space="0" w:color="auto"/>
            <w:bottom w:val="none" w:sz="0" w:space="0" w:color="auto"/>
            <w:right w:val="none" w:sz="0" w:space="0" w:color="auto"/>
          </w:divBdr>
        </w:div>
        <w:div w:id="267541412">
          <w:marLeft w:val="274"/>
          <w:marRight w:val="0"/>
          <w:marTop w:val="0"/>
          <w:marBottom w:val="0"/>
          <w:divBdr>
            <w:top w:val="none" w:sz="0" w:space="0" w:color="auto"/>
            <w:left w:val="none" w:sz="0" w:space="0" w:color="auto"/>
            <w:bottom w:val="none" w:sz="0" w:space="0" w:color="auto"/>
            <w:right w:val="none" w:sz="0" w:space="0" w:color="auto"/>
          </w:divBdr>
        </w:div>
        <w:div w:id="347410590">
          <w:marLeft w:val="274"/>
          <w:marRight w:val="0"/>
          <w:marTop w:val="0"/>
          <w:marBottom w:val="0"/>
          <w:divBdr>
            <w:top w:val="none" w:sz="0" w:space="0" w:color="auto"/>
            <w:left w:val="none" w:sz="0" w:space="0" w:color="auto"/>
            <w:bottom w:val="none" w:sz="0" w:space="0" w:color="auto"/>
            <w:right w:val="none" w:sz="0" w:space="0" w:color="auto"/>
          </w:divBdr>
        </w:div>
        <w:div w:id="616529405">
          <w:marLeft w:val="274"/>
          <w:marRight w:val="0"/>
          <w:marTop w:val="0"/>
          <w:marBottom w:val="120"/>
          <w:divBdr>
            <w:top w:val="none" w:sz="0" w:space="0" w:color="auto"/>
            <w:left w:val="none" w:sz="0" w:space="0" w:color="auto"/>
            <w:bottom w:val="none" w:sz="0" w:space="0" w:color="auto"/>
            <w:right w:val="none" w:sz="0" w:space="0" w:color="auto"/>
          </w:divBdr>
        </w:div>
        <w:div w:id="640501138">
          <w:marLeft w:val="274"/>
          <w:marRight w:val="0"/>
          <w:marTop w:val="0"/>
          <w:marBottom w:val="0"/>
          <w:divBdr>
            <w:top w:val="none" w:sz="0" w:space="0" w:color="auto"/>
            <w:left w:val="none" w:sz="0" w:space="0" w:color="auto"/>
            <w:bottom w:val="none" w:sz="0" w:space="0" w:color="auto"/>
            <w:right w:val="none" w:sz="0" w:space="0" w:color="auto"/>
          </w:divBdr>
        </w:div>
        <w:div w:id="1125541401">
          <w:marLeft w:val="274"/>
          <w:marRight w:val="0"/>
          <w:marTop w:val="0"/>
          <w:marBottom w:val="0"/>
          <w:divBdr>
            <w:top w:val="none" w:sz="0" w:space="0" w:color="auto"/>
            <w:left w:val="none" w:sz="0" w:space="0" w:color="auto"/>
            <w:bottom w:val="none" w:sz="0" w:space="0" w:color="auto"/>
            <w:right w:val="none" w:sz="0" w:space="0" w:color="auto"/>
          </w:divBdr>
        </w:div>
        <w:div w:id="1433668858">
          <w:marLeft w:val="274"/>
          <w:marRight w:val="0"/>
          <w:marTop w:val="0"/>
          <w:marBottom w:val="0"/>
          <w:divBdr>
            <w:top w:val="none" w:sz="0" w:space="0" w:color="auto"/>
            <w:left w:val="none" w:sz="0" w:space="0" w:color="auto"/>
            <w:bottom w:val="none" w:sz="0" w:space="0" w:color="auto"/>
            <w:right w:val="none" w:sz="0" w:space="0" w:color="auto"/>
          </w:divBdr>
        </w:div>
      </w:divsChild>
    </w:div>
    <w:div w:id="672224056">
      <w:bodyDiv w:val="1"/>
      <w:marLeft w:val="0"/>
      <w:marRight w:val="0"/>
      <w:marTop w:val="0"/>
      <w:marBottom w:val="0"/>
      <w:divBdr>
        <w:top w:val="none" w:sz="0" w:space="0" w:color="auto"/>
        <w:left w:val="none" w:sz="0" w:space="0" w:color="auto"/>
        <w:bottom w:val="none" w:sz="0" w:space="0" w:color="auto"/>
        <w:right w:val="none" w:sz="0" w:space="0" w:color="auto"/>
      </w:divBdr>
    </w:div>
    <w:div w:id="690227851">
      <w:bodyDiv w:val="1"/>
      <w:marLeft w:val="0"/>
      <w:marRight w:val="0"/>
      <w:marTop w:val="0"/>
      <w:marBottom w:val="0"/>
      <w:divBdr>
        <w:top w:val="none" w:sz="0" w:space="0" w:color="auto"/>
        <w:left w:val="none" w:sz="0" w:space="0" w:color="auto"/>
        <w:bottom w:val="none" w:sz="0" w:space="0" w:color="auto"/>
        <w:right w:val="none" w:sz="0" w:space="0" w:color="auto"/>
      </w:divBdr>
    </w:div>
    <w:div w:id="699475451">
      <w:bodyDiv w:val="1"/>
      <w:marLeft w:val="0"/>
      <w:marRight w:val="0"/>
      <w:marTop w:val="0"/>
      <w:marBottom w:val="0"/>
      <w:divBdr>
        <w:top w:val="none" w:sz="0" w:space="0" w:color="auto"/>
        <w:left w:val="none" w:sz="0" w:space="0" w:color="auto"/>
        <w:bottom w:val="none" w:sz="0" w:space="0" w:color="auto"/>
        <w:right w:val="none" w:sz="0" w:space="0" w:color="auto"/>
      </w:divBdr>
    </w:div>
    <w:div w:id="724178202">
      <w:bodyDiv w:val="1"/>
      <w:marLeft w:val="0"/>
      <w:marRight w:val="0"/>
      <w:marTop w:val="0"/>
      <w:marBottom w:val="0"/>
      <w:divBdr>
        <w:top w:val="none" w:sz="0" w:space="0" w:color="auto"/>
        <w:left w:val="none" w:sz="0" w:space="0" w:color="auto"/>
        <w:bottom w:val="none" w:sz="0" w:space="0" w:color="auto"/>
        <w:right w:val="none" w:sz="0" w:space="0" w:color="auto"/>
      </w:divBdr>
    </w:div>
    <w:div w:id="755715037">
      <w:bodyDiv w:val="1"/>
      <w:marLeft w:val="0"/>
      <w:marRight w:val="0"/>
      <w:marTop w:val="0"/>
      <w:marBottom w:val="0"/>
      <w:divBdr>
        <w:top w:val="none" w:sz="0" w:space="0" w:color="auto"/>
        <w:left w:val="none" w:sz="0" w:space="0" w:color="auto"/>
        <w:bottom w:val="none" w:sz="0" w:space="0" w:color="auto"/>
        <w:right w:val="none" w:sz="0" w:space="0" w:color="auto"/>
      </w:divBdr>
    </w:div>
    <w:div w:id="764694215">
      <w:bodyDiv w:val="1"/>
      <w:marLeft w:val="0"/>
      <w:marRight w:val="0"/>
      <w:marTop w:val="0"/>
      <w:marBottom w:val="0"/>
      <w:divBdr>
        <w:top w:val="none" w:sz="0" w:space="0" w:color="auto"/>
        <w:left w:val="none" w:sz="0" w:space="0" w:color="auto"/>
        <w:bottom w:val="none" w:sz="0" w:space="0" w:color="auto"/>
        <w:right w:val="none" w:sz="0" w:space="0" w:color="auto"/>
      </w:divBdr>
    </w:div>
    <w:div w:id="794181318">
      <w:bodyDiv w:val="1"/>
      <w:marLeft w:val="0"/>
      <w:marRight w:val="0"/>
      <w:marTop w:val="0"/>
      <w:marBottom w:val="0"/>
      <w:divBdr>
        <w:top w:val="none" w:sz="0" w:space="0" w:color="auto"/>
        <w:left w:val="none" w:sz="0" w:space="0" w:color="auto"/>
        <w:bottom w:val="none" w:sz="0" w:space="0" w:color="auto"/>
        <w:right w:val="none" w:sz="0" w:space="0" w:color="auto"/>
      </w:divBdr>
    </w:div>
    <w:div w:id="813376463">
      <w:bodyDiv w:val="1"/>
      <w:marLeft w:val="0"/>
      <w:marRight w:val="0"/>
      <w:marTop w:val="0"/>
      <w:marBottom w:val="0"/>
      <w:divBdr>
        <w:top w:val="none" w:sz="0" w:space="0" w:color="auto"/>
        <w:left w:val="none" w:sz="0" w:space="0" w:color="auto"/>
        <w:bottom w:val="none" w:sz="0" w:space="0" w:color="auto"/>
        <w:right w:val="none" w:sz="0" w:space="0" w:color="auto"/>
      </w:divBdr>
    </w:div>
    <w:div w:id="817458102">
      <w:bodyDiv w:val="1"/>
      <w:marLeft w:val="0"/>
      <w:marRight w:val="0"/>
      <w:marTop w:val="0"/>
      <w:marBottom w:val="0"/>
      <w:divBdr>
        <w:top w:val="none" w:sz="0" w:space="0" w:color="auto"/>
        <w:left w:val="none" w:sz="0" w:space="0" w:color="auto"/>
        <w:bottom w:val="none" w:sz="0" w:space="0" w:color="auto"/>
        <w:right w:val="none" w:sz="0" w:space="0" w:color="auto"/>
      </w:divBdr>
      <w:divsChild>
        <w:div w:id="31344726">
          <w:marLeft w:val="1166"/>
          <w:marRight w:val="0"/>
          <w:marTop w:val="0"/>
          <w:marBottom w:val="0"/>
          <w:divBdr>
            <w:top w:val="none" w:sz="0" w:space="0" w:color="auto"/>
            <w:left w:val="none" w:sz="0" w:space="0" w:color="auto"/>
            <w:bottom w:val="none" w:sz="0" w:space="0" w:color="auto"/>
            <w:right w:val="none" w:sz="0" w:space="0" w:color="auto"/>
          </w:divBdr>
        </w:div>
        <w:div w:id="588002248">
          <w:marLeft w:val="1166"/>
          <w:marRight w:val="0"/>
          <w:marTop w:val="0"/>
          <w:marBottom w:val="0"/>
          <w:divBdr>
            <w:top w:val="none" w:sz="0" w:space="0" w:color="auto"/>
            <w:left w:val="none" w:sz="0" w:space="0" w:color="auto"/>
            <w:bottom w:val="none" w:sz="0" w:space="0" w:color="auto"/>
            <w:right w:val="none" w:sz="0" w:space="0" w:color="auto"/>
          </w:divBdr>
        </w:div>
        <w:div w:id="1465463134">
          <w:marLeft w:val="1886"/>
          <w:marRight w:val="0"/>
          <w:marTop w:val="0"/>
          <w:marBottom w:val="0"/>
          <w:divBdr>
            <w:top w:val="none" w:sz="0" w:space="0" w:color="auto"/>
            <w:left w:val="none" w:sz="0" w:space="0" w:color="auto"/>
            <w:bottom w:val="none" w:sz="0" w:space="0" w:color="auto"/>
            <w:right w:val="none" w:sz="0" w:space="0" w:color="auto"/>
          </w:divBdr>
        </w:div>
        <w:div w:id="1606960937">
          <w:marLeft w:val="1886"/>
          <w:marRight w:val="0"/>
          <w:marTop w:val="0"/>
          <w:marBottom w:val="0"/>
          <w:divBdr>
            <w:top w:val="none" w:sz="0" w:space="0" w:color="auto"/>
            <w:left w:val="none" w:sz="0" w:space="0" w:color="auto"/>
            <w:bottom w:val="none" w:sz="0" w:space="0" w:color="auto"/>
            <w:right w:val="none" w:sz="0" w:space="0" w:color="auto"/>
          </w:divBdr>
        </w:div>
        <w:div w:id="2025594973">
          <w:marLeft w:val="446"/>
          <w:marRight w:val="0"/>
          <w:marTop w:val="0"/>
          <w:marBottom w:val="0"/>
          <w:divBdr>
            <w:top w:val="none" w:sz="0" w:space="0" w:color="auto"/>
            <w:left w:val="none" w:sz="0" w:space="0" w:color="auto"/>
            <w:bottom w:val="none" w:sz="0" w:space="0" w:color="auto"/>
            <w:right w:val="none" w:sz="0" w:space="0" w:color="auto"/>
          </w:divBdr>
        </w:div>
      </w:divsChild>
    </w:div>
    <w:div w:id="826634620">
      <w:bodyDiv w:val="1"/>
      <w:marLeft w:val="0"/>
      <w:marRight w:val="0"/>
      <w:marTop w:val="0"/>
      <w:marBottom w:val="0"/>
      <w:divBdr>
        <w:top w:val="none" w:sz="0" w:space="0" w:color="auto"/>
        <w:left w:val="none" w:sz="0" w:space="0" w:color="auto"/>
        <w:bottom w:val="none" w:sz="0" w:space="0" w:color="auto"/>
        <w:right w:val="none" w:sz="0" w:space="0" w:color="auto"/>
      </w:divBdr>
    </w:div>
    <w:div w:id="849300863">
      <w:bodyDiv w:val="1"/>
      <w:marLeft w:val="0"/>
      <w:marRight w:val="0"/>
      <w:marTop w:val="0"/>
      <w:marBottom w:val="0"/>
      <w:divBdr>
        <w:top w:val="none" w:sz="0" w:space="0" w:color="auto"/>
        <w:left w:val="none" w:sz="0" w:space="0" w:color="auto"/>
        <w:bottom w:val="none" w:sz="0" w:space="0" w:color="auto"/>
        <w:right w:val="none" w:sz="0" w:space="0" w:color="auto"/>
      </w:divBdr>
    </w:div>
    <w:div w:id="853499428">
      <w:bodyDiv w:val="1"/>
      <w:marLeft w:val="0"/>
      <w:marRight w:val="0"/>
      <w:marTop w:val="0"/>
      <w:marBottom w:val="0"/>
      <w:divBdr>
        <w:top w:val="none" w:sz="0" w:space="0" w:color="auto"/>
        <w:left w:val="none" w:sz="0" w:space="0" w:color="auto"/>
        <w:bottom w:val="none" w:sz="0" w:space="0" w:color="auto"/>
        <w:right w:val="none" w:sz="0" w:space="0" w:color="auto"/>
      </w:divBdr>
    </w:div>
    <w:div w:id="855847404">
      <w:bodyDiv w:val="1"/>
      <w:marLeft w:val="0"/>
      <w:marRight w:val="0"/>
      <w:marTop w:val="0"/>
      <w:marBottom w:val="0"/>
      <w:divBdr>
        <w:top w:val="none" w:sz="0" w:space="0" w:color="auto"/>
        <w:left w:val="none" w:sz="0" w:space="0" w:color="auto"/>
        <w:bottom w:val="none" w:sz="0" w:space="0" w:color="auto"/>
        <w:right w:val="none" w:sz="0" w:space="0" w:color="auto"/>
      </w:divBdr>
      <w:divsChild>
        <w:div w:id="1857383660">
          <w:marLeft w:val="446"/>
          <w:marRight w:val="0"/>
          <w:marTop w:val="0"/>
          <w:marBottom w:val="0"/>
          <w:divBdr>
            <w:top w:val="none" w:sz="0" w:space="0" w:color="auto"/>
            <w:left w:val="none" w:sz="0" w:space="0" w:color="auto"/>
            <w:bottom w:val="none" w:sz="0" w:space="0" w:color="auto"/>
            <w:right w:val="none" w:sz="0" w:space="0" w:color="auto"/>
          </w:divBdr>
        </w:div>
        <w:div w:id="1928492117">
          <w:marLeft w:val="446"/>
          <w:marRight w:val="0"/>
          <w:marTop w:val="0"/>
          <w:marBottom w:val="0"/>
          <w:divBdr>
            <w:top w:val="none" w:sz="0" w:space="0" w:color="auto"/>
            <w:left w:val="none" w:sz="0" w:space="0" w:color="auto"/>
            <w:bottom w:val="none" w:sz="0" w:space="0" w:color="auto"/>
            <w:right w:val="none" w:sz="0" w:space="0" w:color="auto"/>
          </w:divBdr>
        </w:div>
      </w:divsChild>
    </w:div>
    <w:div w:id="863446835">
      <w:bodyDiv w:val="1"/>
      <w:marLeft w:val="0"/>
      <w:marRight w:val="0"/>
      <w:marTop w:val="0"/>
      <w:marBottom w:val="0"/>
      <w:divBdr>
        <w:top w:val="none" w:sz="0" w:space="0" w:color="auto"/>
        <w:left w:val="none" w:sz="0" w:space="0" w:color="auto"/>
        <w:bottom w:val="none" w:sz="0" w:space="0" w:color="auto"/>
        <w:right w:val="none" w:sz="0" w:space="0" w:color="auto"/>
      </w:divBdr>
      <w:divsChild>
        <w:div w:id="2038308284">
          <w:marLeft w:val="0"/>
          <w:marRight w:val="0"/>
          <w:marTop w:val="0"/>
          <w:marBottom w:val="0"/>
          <w:divBdr>
            <w:top w:val="none" w:sz="0" w:space="0" w:color="auto"/>
            <w:left w:val="none" w:sz="0" w:space="0" w:color="auto"/>
            <w:bottom w:val="none" w:sz="0" w:space="0" w:color="auto"/>
            <w:right w:val="none" w:sz="0" w:space="0" w:color="auto"/>
          </w:divBdr>
          <w:divsChild>
            <w:div w:id="193083886">
              <w:marLeft w:val="0"/>
              <w:marRight w:val="0"/>
              <w:marTop w:val="0"/>
              <w:marBottom w:val="0"/>
              <w:divBdr>
                <w:top w:val="none" w:sz="0" w:space="0" w:color="auto"/>
                <w:left w:val="none" w:sz="0" w:space="0" w:color="auto"/>
                <w:bottom w:val="none" w:sz="0" w:space="0" w:color="auto"/>
                <w:right w:val="none" w:sz="0" w:space="0" w:color="auto"/>
              </w:divBdr>
              <w:divsChild>
                <w:div w:id="1730880465">
                  <w:marLeft w:val="0"/>
                  <w:marRight w:val="0"/>
                  <w:marTop w:val="0"/>
                  <w:marBottom w:val="0"/>
                  <w:divBdr>
                    <w:top w:val="none" w:sz="0" w:space="0" w:color="auto"/>
                    <w:left w:val="none" w:sz="0" w:space="0" w:color="auto"/>
                    <w:bottom w:val="none" w:sz="0" w:space="0" w:color="auto"/>
                    <w:right w:val="none" w:sz="0" w:space="0" w:color="auto"/>
                  </w:divBdr>
                  <w:divsChild>
                    <w:div w:id="3589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12609">
      <w:bodyDiv w:val="1"/>
      <w:marLeft w:val="0"/>
      <w:marRight w:val="0"/>
      <w:marTop w:val="0"/>
      <w:marBottom w:val="0"/>
      <w:divBdr>
        <w:top w:val="none" w:sz="0" w:space="0" w:color="auto"/>
        <w:left w:val="none" w:sz="0" w:space="0" w:color="auto"/>
        <w:bottom w:val="none" w:sz="0" w:space="0" w:color="auto"/>
        <w:right w:val="none" w:sz="0" w:space="0" w:color="auto"/>
      </w:divBdr>
    </w:div>
    <w:div w:id="936256307">
      <w:bodyDiv w:val="1"/>
      <w:marLeft w:val="0"/>
      <w:marRight w:val="0"/>
      <w:marTop w:val="0"/>
      <w:marBottom w:val="0"/>
      <w:divBdr>
        <w:top w:val="none" w:sz="0" w:space="0" w:color="auto"/>
        <w:left w:val="none" w:sz="0" w:space="0" w:color="auto"/>
        <w:bottom w:val="none" w:sz="0" w:space="0" w:color="auto"/>
        <w:right w:val="none" w:sz="0" w:space="0" w:color="auto"/>
      </w:divBdr>
    </w:div>
    <w:div w:id="973681298">
      <w:bodyDiv w:val="1"/>
      <w:marLeft w:val="0"/>
      <w:marRight w:val="0"/>
      <w:marTop w:val="0"/>
      <w:marBottom w:val="0"/>
      <w:divBdr>
        <w:top w:val="none" w:sz="0" w:space="0" w:color="auto"/>
        <w:left w:val="none" w:sz="0" w:space="0" w:color="auto"/>
        <w:bottom w:val="none" w:sz="0" w:space="0" w:color="auto"/>
        <w:right w:val="none" w:sz="0" w:space="0" w:color="auto"/>
      </w:divBdr>
      <w:divsChild>
        <w:div w:id="200675722">
          <w:marLeft w:val="1699"/>
          <w:marRight w:val="0"/>
          <w:marTop w:val="58"/>
          <w:marBottom w:val="0"/>
          <w:divBdr>
            <w:top w:val="none" w:sz="0" w:space="0" w:color="auto"/>
            <w:left w:val="none" w:sz="0" w:space="0" w:color="auto"/>
            <w:bottom w:val="none" w:sz="0" w:space="0" w:color="auto"/>
            <w:right w:val="none" w:sz="0" w:space="0" w:color="auto"/>
          </w:divBdr>
        </w:div>
        <w:div w:id="211843143">
          <w:marLeft w:val="547"/>
          <w:marRight w:val="0"/>
          <w:marTop w:val="58"/>
          <w:marBottom w:val="0"/>
          <w:divBdr>
            <w:top w:val="none" w:sz="0" w:space="0" w:color="auto"/>
            <w:left w:val="none" w:sz="0" w:space="0" w:color="auto"/>
            <w:bottom w:val="none" w:sz="0" w:space="0" w:color="auto"/>
            <w:right w:val="none" w:sz="0" w:space="0" w:color="auto"/>
          </w:divBdr>
        </w:div>
        <w:div w:id="471336552">
          <w:marLeft w:val="1123"/>
          <w:marRight w:val="0"/>
          <w:marTop w:val="58"/>
          <w:marBottom w:val="0"/>
          <w:divBdr>
            <w:top w:val="none" w:sz="0" w:space="0" w:color="auto"/>
            <w:left w:val="none" w:sz="0" w:space="0" w:color="auto"/>
            <w:bottom w:val="none" w:sz="0" w:space="0" w:color="auto"/>
            <w:right w:val="none" w:sz="0" w:space="0" w:color="auto"/>
          </w:divBdr>
        </w:div>
        <w:div w:id="561134184">
          <w:marLeft w:val="1123"/>
          <w:marRight w:val="0"/>
          <w:marTop w:val="58"/>
          <w:marBottom w:val="0"/>
          <w:divBdr>
            <w:top w:val="none" w:sz="0" w:space="0" w:color="auto"/>
            <w:left w:val="none" w:sz="0" w:space="0" w:color="auto"/>
            <w:bottom w:val="none" w:sz="0" w:space="0" w:color="auto"/>
            <w:right w:val="none" w:sz="0" w:space="0" w:color="auto"/>
          </w:divBdr>
        </w:div>
        <w:div w:id="633103764">
          <w:marLeft w:val="1699"/>
          <w:marRight w:val="0"/>
          <w:marTop w:val="58"/>
          <w:marBottom w:val="0"/>
          <w:divBdr>
            <w:top w:val="none" w:sz="0" w:space="0" w:color="auto"/>
            <w:left w:val="none" w:sz="0" w:space="0" w:color="auto"/>
            <w:bottom w:val="none" w:sz="0" w:space="0" w:color="auto"/>
            <w:right w:val="none" w:sz="0" w:space="0" w:color="auto"/>
          </w:divBdr>
        </w:div>
        <w:div w:id="919020351">
          <w:marLeft w:val="1123"/>
          <w:marRight w:val="0"/>
          <w:marTop w:val="58"/>
          <w:marBottom w:val="0"/>
          <w:divBdr>
            <w:top w:val="none" w:sz="0" w:space="0" w:color="auto"/>
            <w:left w:val="none" w:sz="0" w:space="0" w:color="auto"/>
            <w:bottom w:val="none" w:sz="0" w:space="0" w:color="auto"/>
            <w:right w:val="none" w:sz="0" w:space="0" w:color="auto"/>
          </w:divBdr>
        </w:div>
        <w:div w:id="1650281086">
          <w:marLeft w:val="547"/>
          <w:marRight w:val="0"/>
          <w:marTop w:val="58"/>
          <w:marBottom w:val="0"/>
          <w:divBdr>
            <w:top w:val="none" w:sz="0" w:space="0" w:color="auto"/>
            <w:left w:val="none" w:sz="0" w:space="0" w:color="auto"/>
            <w:bottom w:val="none" w:sz="0" w:space="0" w:color="auto"/>
            <w:right w:val="none" w:sz="0" w:space="0" w:color="auto"/>
          </w:divBdr>
        </w:div>
        <w:div w:id="1738549212">
          <w:marLeft w:val="1123"/>
          <w:marRight w:val="0"/>
          <w:marTop w:val="58"/>
          <w:marBottom w:val="0"/>
          <w:divBdr>
            <w:top w:val="none" w:sz="0" w:space="0" w:color="auto"/>
            <w:left w:val="none" w:sz="0" w:space="0" w:color="auto"/>
            <w:bottom w:val="none" w:sz="0" w:space="0" w:color="auto"/>
            <w:right w:val="none" w:sz="0" w:space="0" w:color="auto"/>
          </w:divBdr>
        </w:div>
        <w:div w:id="1935626463">
          <w:marLeft w:val="1123"/>
          <w:marRight w:val="0"/>
          <w:marTop w:val="58"/>
          <w:marBottom w:val="0"/>
          <w:divBdr>
            <w:top w:val="none" w:sz="0" w:space="0" w:color="auto"/>
            <w:left w:val="none" w:sz="0" w:space="0" w:color="auto"/>
            <w:bottom w:val="none" w:sz="0" w:space="0" w:color="auto"/>
            <w:right w:val="none" w:sz="0" w:space="0" w:color="auto"/>
          </w:divBdr>
        </w:div>
      </w:divsChild>
    </w:div>
    <w:div w:id="981227947">
      <w:bodyDiv w:val="1"/>
      <w:marLeft w:val="0"/>
      <w:marRight w:val="0"/>
      <w:marTop w:val="0"/>
      <w:marBottom w:val="0"/>
      <w:divBdr>
        <w:top w:val="none" w:sz="0" w:space="0" w:color="auto"/>
        <w:left w:val="none" w:sz="0" w:space="0" w:color="auto"/>
        <w:bottom w:val="none" w:sz="0" w:space="0" w:color="auto"/>
        <w:right w:val="none" w:sz="0" w:space="0" w:color="auto"/>
      </w:divBdr>
      <w:divsChild>
        <w:div w:id="80881264">
          <w:marLeft w:val="446"/>
          <w:marRight w:val="0"/>
          <w:marTop w:val="0"/>
          <w:marBottom w:val="0"/>
          <w:divBdr>
            <w:top w:val="none" w:sz="0" w:space="0" w:color="auto"/>
            <w:left w:val="none" w:sz="0" w:space="0" w:color="auto"/>
            <w:bottom w:val="none" w:sz="0" w:space="0" w:color="auto"/>
            <w:right w:val="none" w:sz="0" w:space="0" w:color="auto"/>
          </w:divBdr>
        </w:div>
        <w:div w:id="378476524">
          <w:marLeft w:val="446"/>
          <w:marRight w:val="0"/>
          <w:marTop w:val="0"/>
          <w:marBottom w:val="0"/>
          <w:divBdr>
            <w:top w:val="none" w:sz="0" w:space="0" w:color="auto"/>
            <w:left w:val="none" w:sz="0" w:space="0" w:color="auto"/>
            <w:bottom w:val="none" w:sz="0" w:space="0" w:color="auto"/>
            <w:right w:val="none" w:sz="0" w:space="0" w:color="auto"/>
          </w:divBdr>
        </w:div>
        <w:div w:id="2146922219">
          <w:marLeft w:val="446"/>
          <w:marRight w:val="0"/>
          <w:marTop w:val="0"/>
          <w:marBottom w:val="0"/>
          <w:divBdr>
            <w:top w:val="none" w:sz="0" w:space="0" w:color="auto"/>
            <w:left w:val="none" w:sz="0" w:space="0" w:color="auto"/>
            <w:bottom w:val="none" w:sz="0" w:space="0" w:color="auto"/>
            <w:right w:val="none" w:sz="0" w:space="0" w:color="auto"/>
          </w:divBdr>
        </w:div>
      </w:divsChild>
    </w:div>
    <w:div w:id="991525966">
      <w:bodyDiv w:val="1"/>
      <w:marLeft w:val="0"/>
      <w:marRight w:val="0"/>
      <w:marTop w:val="0"/>
      <w:marBottom w:val="0"/>
      <w:divBdr>
        <w:top w:val="none" w:sz="0" w:space="0" w:color="auto"/>
        <w:left w:val="none" w:sz="0" w:space="0" w:color="auto"/>
        <w:bottom w:val="none" w:sz="0" w:space="0" w:color="auto"/>
        <w:right w:val="none" w:sz="0" w:space="0" w:color="auto"/>
      </w:divBdr>
    </w:div>
    <w:div w:id="991757895">
      <w:bodyDiv w:val="1"/>
      <w:marLeft w:val="0"/>
      <w:marRight w:val="0"/>
      <w:marTop w:val="0"/>
      <w:marBottom w:val="0"/>
      <w:divBdr>
        <w:top w:val="none" w:sz="0" w:space="0" w:color="auto"/>
        <w:left w:val="none" w:sz="0" w:space="0" w:color="auto"/>
        <w:bottom w:val="none" w:sz="0" w:space="0" w:color="auto"/>
        <w:right w:val="none" w:sz="0" w:space="0" w:color="auto"/>
      </w:divBdr>
    </w:div>
    <w:div w:id="1006178961">
      <w:bodyDiv w:val="1"/>
      <w:marLeft w:val="0"/>
      <w:marRight w:val="0"/>
      <w:marTop w:val="0"/>
      <w:marBottom w:val="0"/>
      <w:divBdr>
        <w:top w:val="none" w:sz="0" w:space="0" w:color="auto"/>
        <w:left w:val="none" w:sz="0" w:space="0" w:color="auto"/>
        <w:bottom w:val="none" w:sz="0" w:space="0" w:color="auto"/>
        <w:right w:val="none" w:sz="0" w:space="0" w:color="auto"/>
      </w:divBdr>
    </w:div>
    <w:div w:id="1006441170">
      <w:bodyDiv w:val="1"/>
      <w:marLeft w:val="0"/>
      <w:marRight w:val="0"/>
      <w:marTop w:val="0"/>
      <w:marBottom w:val="0"/>
      <w:divBdr>
        <w:top w:val="none" w:sz="0" w:space="0" w:color="auto"/>
        <w:left w:val="none" w:sz="0" w:space="0" w:color="auto"/>
        <w:bottom w:val="none" w:sz="0" w:space="0" w:color="auto"/>
        <w:right w:val="none" w:sz="0" w:space="0" w:color="auto"/>
      </w:divBdr>
    </w:div>
    <w:div w:id="1020860781">
      <w:bodyDiv w:val="1"/>
      <w:marLeft w:val="0"/>
      <w:marRight w:val="0"/>
      <w:marTop w:val="0"/>
      <w:marBottom w:val="0"/>
      <w:divBdr>
        <w:top w:val="none" w:sz="0" w:space="0" w:color="auto"/>
        <w:left w:val="none" w:sz="0" w:space="0" w:color="auto"/>
        <w:bottom w:val="none" w:sz="0" w:space="0" w:color="auto"/>
        <w:right w:val="none" w:sz="0" w:space="0" w:color="auto"/>
      </w:divBdr>
    </w:div>
    <w:div w:id="1029919352">
      <w:bodyDiv w:val="1"/>
      <w:marLeft w:val="0"/>
      <w:marRight w:val="0"/>
      <w:marTop w:val="0"/>
      <w:marBottom w:val="0"/>
      <w:divBdr>
        <w:top w:val="none" w:sz="0" w:space="0" w:color="auto"/>
        <w:left w:val="none" w:sz="0" w:space="0" w:color="auto"/>
        <w:bottom w:val="none" w:sz="0" w:space="0" w:color="auto"/>
        <w:right w:val="none" w:sz="0" w:space="0" w:color="auto"/>
      </w:divBdr>
    </w:div>
    <w:div w:id="1046297970">
      <w:bodyDiv w:val="1"/>
      <w:marLeft w:val="0"/>
      <w:marRight w:val="0"/>
      <w:marTop w:val="0"/>
      <w:marBottom w:val="0"/>
      <w:divBdr>
        <w:top w:val="none" w:sz="0" w:space="0" w:color="auto"/>
        <w:left w:val="none" w:sz="0" w:space="0" w:color="auto"/>
        <w:bottom w:val="none" w:sz="0" w:space="0" w:color="auto"/>
        <w:right w:val="none" w:sz="0" w:space="0" w:color="auto"/>
      </w:divBdr>
    </w:div>
    <w:div w:id="1048650966">
      <w:bodyDiv w:val="1"/>
      <w:marLeft w:val="0"/>
      <w:marRight w:val="0"/>
      <w:marTop w:val="0"/>
      <w:marBottom w:val="0"/>
      <w:divBdr>
        <w:top w:val="none" w:sz="0" w:space="0" w:color="auto"/>
        <w:left w:val="none" w:sz="0" w:space="0" w:color="auto"/>
        <w:bottom w:val="none" w:sz="0" w:space="0" w:color="auto"/>
        <w:right w:val="none" w:sz="0" w:space="0" w:color="auto"/>
      </w:divBdr>
    </w:div>
    <w:div w:id="1081947468">
      <w:bodyDiv w:val="1"/>
      <w:marLeft w:val="0"/>
      <w:marRight w:val="0"/>
      <w:marTop w:val="0"/>
      <w:marBottom w:val="0"/>
      <w:divBdr>
        <w:top w:val="none" w:sz="0" w:space="0" w:color="auto"/>
        <w:left w:val="none" w:sz="0" w:space="0" w:color="auto"/>
        <w:bottom w:val="none" w:sz="0" w:space="0" w:color="auto"/>
        <w:right w:val="none" w:sz="0" w:space="0" w:color="auto"/>
      </w:divBdr>
    </w:div>
    <w:div w:id="1094785449">
      <w:bodyDiv w:val="1"/>
      <w:marLeft w:val="0"/>
      <w:marRight w:val="0"/>
      <w:marTop w:val="0"/>
      <w:marBottom w:val="0"/>
      <w:divBdr>
        <w:top w:val="none" w:sz="0" w:space="0" w:color="auto"/>
        <w:left w:val="none" w:sz="0" w:space="0" w:color="auto"/>
        <w:bottom w:val="none" w:sz="0" w:space="0" w:color="auto"/>
        <w:right w:val="none" w:sz="0" w:space="0" w:color="auto"/>
      </w:divBdr>
    </w:div>
    <w:div w:id="1098872321">
      <w:bodyDiv w:val="1"/>
      <w:marLeft w:val="0"/>
      <w:marRight w:val="0"/>
      <w:marTop w:val="0"/>
      <w:marBottom w:val="0"/>
      <w:divBdr>
        <w:top w:val="none" w:sz="0" w:space="0" w:color="auto"/>
        <w:left w:val="none" w:sz="0" w:space="0" w:color="auto"/>
        <w:bottom w:val="none" w:sz="0" w:space="0" w:color="auto"/>
        <w:right w:val="none" w:sz="0" w:space="0" w:color="auto"/>
      </w:divBdr>
      <w:divsChild>
        <w:div w:id="339358251">
          <w:marLeft w:val="274"/>
          <w:marRight w:val="0"/>
          <w:marTop w:val="0"/>
          <w:marBottom w:val="0"/>
          <w:divBdr>
            <w:top w:val="none" w:sz="0" w:space="0" w:color="auto"/>
            <w:left w:val="none" w:sz="0" w:space="0" w:color="auto"/>
            <w:bottom w:val="none" w:sz="0" w:space="0" w:color="auto"/>
            <w:right w:val="none" w:sz="0" w:space="0" w:color="auto"/>
          </w:divBdr>
        </w:div>
        <w:div w:id="561449185">
          <w:marLeft w:val="994"/>
          <w:marRight w:val="0"/>
          <w:marTop w:val="0"/>
          <w:marBottom w:val="0"/>
          <w:divBdr>
            <w:top w:val="none" w:sz="0" w:space="0" w:color="auto"/>
            <w:left w:val="none" w:sz="0" w:space="0" w:color="auto"/>
            <w:bottom w:val="none" w:sz="0" w:space="0" w:color="auto"/>
            <w:right w:val="none" w:sz="0" w:space="0" w:color="auto"/>
          </w:divBdr>
        </w:div>
        <w:div w:id="694235050">
          <w:marLeft w:val="274"/>
          <w:marRight w:val="0"/>
          <w:marTop w:val="0"/>
          <w:marBottom w:val="0"/>
          <w:divBdr>
            <w:top w:val="none" w:sz="0" w:space="0" w:color="auto"/>
            <w:left w:val="none" w:sz="0" w:space="0" w:color="auto"/>
            <w:bottom w:val="none" w:sz="0" w:space="0" w:color="auto"/>
            <w:right w:val="none" w:sz="0" w:space="0" w:color="auto"/>
          </w:divBdr>
        </w:div>
        <w:div w:id="1191651862">
          <w:marLeft w:val="274"/>
          <w:marRight w:val="0"/>
          <w:marTop w:val="0"/>
          <w:marBottom w:val="0"/>
          <w:divBdr>
            <w:top w:val="none" w:sz="0" w:space="0" w:color="auto"/>
            <w:left w:val="none" w:sz="0" w:space="0" w:color="auto"/>
            <w:bottom w:val="none" w:sz="0" w:space="0" w:color="auto"/>
            <w:right w:val="none" w:sz="0" w:space="0" w:color="auto"/>
          </w:divBdr>
        </w:div>
        <w:div w:id="1236277360">
          <w:marLeft w:val="274"/>
          <w:marRight w:val="0"/>
          <w:marTop w:val="0"/>
          <w:marBottom w:val="0"/>
          <w:divBdr>
            <w:top w:val="none" w:sz="0" w:space="0" w:color="auto"/>
            <w:left w:val="none" w:sz="0" w:space="0" w:color="auto"/>
            <w:bottom w:val="none" w:sz="0" w:space="0" w:color="auto"/>
            <w:right w:val="none" w:sz="0" w:space="0" w:color="auto"/>
          </w:divBdr>
        </w:div>
        <w:div w:id="1257323352">
          <w:marLeft w:val="274"/>
          <w:marRight w:val="0"/>
          <w:marTop w:val="0"/>
          <w:marBottom w:val="0"/>
          <w:divBdr>
            <w:top w:val="none" w:sz="0" w:space="0" w:color="auto"/>
            <w:left w:val="none" w:sz="0" w:space="0" w:color="auto"/>
            <w:bottom w:val="none" w:sz="0" w:space="0" w:color="auto"/>
            <w:right w:val="none" w:sz="0" w:space="0" w:color="auto"/>
          </w:divBdr>
        </w:div>
        <w:div w:id="1407801206">
          <w:marLeft w:val="274"/>
          <w:marRight w:val="0"/>
          <w:marTop w:val="0"/>
          <w:marBottom w:val="0"/>
          <w:divBdr>
            <w:top w:val="none" w:sz="0" w:space="0" w:color="auto"/>
            <w:left w:val="none" w:sz="0" w:space="0" w:color="auto"/>
            <w:bottom w:val="none" w:sz="0" w:space="0" w:color="auto"/>
            <w:right w:val="none" w:sz="0" w:space="0" w:color="auto"/>
          </w:divBdr>
        </w:div>
        <w:div w:id="1502350094">
          <w:marLeft w:val="274"/>
          <w:marRight w:val="0"/>
          <w:marTop w:val="0"/>
          <w:marBottom w:val="0"/>
          <w:divBdr>
            <w:top w:val="none" w:sz="0" w:space="0" w:color="auto"/>
            <w:left w:val="none" w:sz="0" w:space="0" w:color="auto"/>
            <w:bottom w:val="none" w:sz="0" w:space="0" w:color="auto"/>
            <w:right w:val="none" w:sz="0" w:space="0" w:color="auto"/>
          </w:divBdr>
        </w:div>
        <w:div w:id="1693533893">
          <w:marLeft w:val="274"/>
          <w:marRight w:val="0"/>
          <w:marTop w:val="0"/>
          <w:marBottom w:val="0"/>
          <w:divBdr>
            <w:top w:val="none" w:sz="0" w:space="0" w:color="auto"/>
            <w:left w:val="none" w:sz="0" w:space="0" w:color="auto"/>
            <w:bottom w:val="none" w:sz="0" w:space="0" w:color="auto"/>
            <w:right w:val="none" w:sz="0" w:space="0" w:color="auto"/>
          </w:divBdr>
        </w:div>
        <w:div w:id="1852257398">
          <w:marLeft w:val="994"/>
          <w:marRight w:val="0"/>
          <w:marTop w:val="0"/>
          <w:marBottom w:val="0"/>
          <w:divBdr>
            <w:top w:val="none" w:sz="0" w:space="0" w:color="auto"/>
            <w:left w:val="none" w:sz="0" w:space="0" w:color="auto"/>
            <w:bottom w:val="none" w:sz="0" w:space="0" w:color="auto"/>
            <w:right w:val="none" w:sz="0" w:space="0" w:color="auto"/>
          </w:divBdr>
        </w:div>
        <w:div w:id="2056192665">
          <w:marLeft w:val="994"/>
          <w:marRight w:val="0"/>
          <w:marTop w:val="0"/>
          <w:marBottom w:val="0"/>
          <w:divBdr>
            <w:top w:val="none" w:sz="0" w:space="0" w:color="auto"/>
            <w:left w:val="none" w:sz="0" w:space="0" w:color="auto"/>
            <w:bottom w:val="none" w:sz="0" w:space="0" w:color="auto"/>
            <w:right w:val="none" w:sz="0" w:space="0" w:color="auto"/>
          </w:divBdr>
        </w:div>
        <w:div w:id="2121754763">
          <w:marLeft w:val="274"/>
          <w:marRight w:val="0"/>
          <w:marTop w:val="0"/>
          <w:marBottom w:val="0"/>
          <w:divBdr>
            <w:top w:val="none" w:sz="0" w:space="0" w:color="auto"/>
            <w:left w:val="none" w:sz="0" w:space="0" w:color="auto"/>
            <w:bottom w:val="none" w:sz="0" w:space="0" w:color="auto"/>
            <w:right w:val="none" w:sz="0" w:space="0" w:color="auto"/>
          </w:divBdr>
        </w:div>
      </w:divsChild>
    </w:div>
    <w:div w:id="1109936239">
      <w:bodyDiv w:val="1"/>
      <w:marLeft w:val="0"/>
      <w:marRight w:val="0"/>
      <w:marTop w:val="0"/>
      <w:marBottom w:val="0"/>
      <w:divBdr>
        <w:top w:val="none" w:sz="0" w:space="0" w:color="auto"/>
        <w:left w:val="none" w:sz="0" w:space="0" w:color="auto"/>
        <w:bottom w:val="none" w:sz="0" w:space="0" w:color="auto"/>
        <w:right w:val="none" w:sz="0" w:space="0" w:color="auto"/>
      </w:divBdr>
    </w:div>
    <w:div w:id="1142113705">
      <w:bodyDiv w:val="1"/>
      <w:marLeft w:val="0"/>
      <w:marRight w:val="0"/>
      <w:marTop w:val="0"/>
      <w:marBottom w:val="0"/>
      <w:divBdr>
        <w:top w:val="none" w:sz="0" w:space="0" w:color="auto"/>
        <w:left w:val="none" w:sz="0" w:space="0" w:color="auto"/>
        <w:bottom w:val="none" w:sz="0" w:space="0" w:color="auto"/>
        <w:right w:val="none" w:sz="0" w:space="0" w:color="auto"/>
      </w:divBdr>
    </w:div>
    <w:div w:id="1143691600">
      <w:bodyDiv w:val="1"/>
      <w:marLeft w:val="0"/>
      <w:marRight w:val="0"/>
      <w:marTop w:val="0"/>
      <w:marBottom w:val="0"/>
      <w:divBdr>
        <w:top w:val="none" w:sz="0" w:space="0" w:color="auto"/>
        <w:left w:val="none" w:sz="0" w:space="0" w:color="auto"/>
        <w:bottom w:val="none" w:sz="0" w:space="0" w:color="auto"/>
        <w:right w:val="none" w:sz="0" w:space="0" w:color="auto"/>
      </w:divBdr>
    </w:div>
    <w:div w:id="1158618971">
      <w:bodyDiv w:val="1"/>
      <w:marLeft w:val="0"/>
      <w:marRight w:val="0"/>
      <w:marTop w:val="0"/>
      <w:marBottom w:val="0"/>
      <w:divBdr>
        <w:top w:val="none" w:sz="0" w:space="0" w:color="auto"/>
        <w:left w:val="none" w:sz="0" w:space="0" w:color="auto"/>
        <w:bottom w:val="none" w:sz="0" w:space="0" w:color="auto"/>
        <w:right w:val="none" w:sz="0" w:space="0" w:color="auto"/>
      </w:divBdr>
      <w:divsChild>
        <w:div w:id="89275023">
          <w:marLeft w:val="274"/>
          <w:marRight w:val="0"/>
          <w:marTop w:val="0"/>
          <w:marBottom w:val="0"/>
          <w:divBdr>
            <w:top w:val="none" w:sz="0" w:space="0" w:color="auto"/>
            <w:left w:val="none" w:sz="0" w:space="0" w:color="auto"/>
            <w:bottom w:val="none" w:sz="0" w:space="0" w:color="auto"/>
            <w:right w:val="none" w:sz="0" w:space="0" w:color="auto"/>
          </w:divBdr>
        </w:div>
        <w:div w:id="169835818">
          <w:marLeft w:val="274"/>
          <w:marRight w:val="0"/>
          <w:marTop w:val="0"/>
          <w:marBottom w:val="0"/>
          <w:divBdr>
            <w:top w:val="none" w:sz="0" w:space="0" w:color="auto"/>
            <w:left w:val="none" w:sz="0" w:space="0" w:color="auto"/>
            <w:bottom w:val="none" w:sz="0" w:space="0" w:color="auto"/>
            <w:right w:val="none" w:sz="0" w:space="0" w:color="auto"/>
          </w:divBdr>
        </w:div>
        <w:div w:id="294991948">
          <w:marLeft w:val="994"/>
          <w:marRight w:val="0"/>
          <w:marTop w:val="0"/>
          <w:marBottom w:val="0"/>
          <w:divBdr>
            <w:top w:val="none" w:sz="0" w:space="0" w:color="auto"/>
            <w:left w:val="none" w:sz="0" w:space="0" w:color="auto"/>
            <w:bottom w:val="none" w:sz="0" w:space="0" w:color="auto"/>
            <w:right w:val="none" w:sz="0" w:space="0" w:color="auto"/>
          </w:divBdr>
        </w:div>
        <w:div w:id="644506506">
          <w:marLeft w:val="994"/>
          <w:marRight w:val="0"/>
          <w:marTop w:val="0"/>
          <w:marBottom w:val="0"/>
          <w:divBdr>
            <w:top w:val="none" w:sz="0" w:space="0" w:color="auto"/>
            <w:left w:val="none" w:sz="0" w:space="0" w:color="auto"/>
            <w:bottom w:val="none" w:sz="0" w:space="0" w:color="auto"/>
            <w:right w:val="none" w:sz="0" w:space="0" w:color="auto"/>
          </w:divBdr>
        </w:div>
        <w:div w:id="706101510">
          <w:marLeft w:val="274"/>
          <w:marRight w:val="0"/>
          <w:marTop w:val="0"/>
          <w:marBottom w:val="0"/>
          <w:divBdr>
            <w:top w:val="none" w:sz="0" w:space="0" w:color="auto"/>
            <w:left w:val="none" w:sz="0" w:space="0" w:color="auto"/>
            <w:bottom w:val="none" w:sz="0" w:space="0" w:color="auto"/>
            <w:right w:val="none" w:sz="0" w:space="0" w:color="auto"/>
          </w:divBdr>
        </w:div>
        <w:div w:id="839541679">
          <w:marLeft w:val="274"/>
          <w:marRight w:val="0"/>
          <w:marTop w:val="0"/>
          <w:marBottom w:val="0"/>
          <w:divBdr>
            <w:top w:val="none" w:sz="0" w:space="0" w:color="auto"/>
            <w:left w:val="none" w:sz="0" w:space="0" w:color="auto"/>
            <w:bottom w:val="none" w:sz="0" w:space="0" w:color="auto"/>
            <w:right w:val="none" w:sz="0" w:space="0" w:color="auto"/>
          </w:divBdr>
        </w:div>
        <w:div w:id="1014652869">
          <w:marLeft w:val="274"/>
          <w:marRight w:val="0"/>
          <w:marTop w:val="0"/>
          <w:marBottom w:val="0"/>
          <w:divBdr>
            <w:top w:val="none" w:sz="0" w:space="0" w:color="auto"/>
            <w:left w:val="none" w:sz="0" w:space="0" w:color="auto"/>
            <w:bottom w:val="none" w:sz="0" w:space="0" w:color="auto"/>
            <w:right w:val="none" w:sz="0" w:space="0" w:color="auto"/>
          </w:divBdr>
        </w:div>
        <w:div w:id="1333408620">
          <w:marLeft w:val="274"/>
          <w:marRight w:val="0"/>
          <w:marTop w:val="0"/>
          <w:marBottom w:val="0"/>
          <w:divBdr>
            <w:top w:val="none" w:sz="0" w:space="0" w:color="auto"/>
            <w:left w:val="none" w:sz="0" w:space="0" w:color="auto"/>
            <w:bottom w:val="none" w:sz="0" w:space="0" w:color="auto"/>
            <w:right w:val="none" w:sz="0" w:space="0" w:color="auto"/>
          </w:divBdr>
        </w:div>
        <w:div w:id="1445153313">
          <w:marLeft w:val="994"/>
          <w:marRight w:val="0"/>
          <w:marTop w:val="0"/>
          <w:marBottom w:val="0"/>
          <w:divBdr>
            <w:top w:val="none" w:sz="0" w:space="0" w:color="auto"/>
            <w:left w:val="none" w:sz="0" w:space="0" w:color="auto"/>
            <w:bottom w:val="none" w:sz="0" w:space="0" w:color="auto"/>
            <w:right w:val="none" w:sz="0" w:space="0" w:color="auto"/>
          </w:divBdr>
        </w:div>
        <w:div w:id="1460143731">
          <w:marLeft w:val="274"/>
          <w:marRight w:val="0"/>
          <w:marTop w:val="0"/>
          <w:marBottom w:val="0"/>
          <w:divBdr>
            <w:top w:val="none" w:sz="0" w:space="0" w:color="auto"/>
            <w:left w:val="none" w:sz="0" w:space="0" w:color="auto"/>
            <w:bottom w:val="none" w:sz="0" w:space="0" w:color="auto"/>
            <w:right w:val="none" w:sz="0" w:space="0" w:color="auto"/>
          </w:divBdr>
        </w:div>
        <w:div w:id="1626766762">
          <w:marLeft w:val="274"/>
          <w:marRight w:val="0"/>
          <w:marTop w:val="0"/>
          <w:marBottom w:val="0"/>
          <w:divBdr>
            <w:top w:val="none" w:sz="0" w:space="0" w:color="auto"/>
            <w:left w:val="none" w:sz="0" w:space="0" w:color="auto"/>
            <w:bottom w:val="none" w:sz="0" w:space="0" w:color="auto"/>
            <w:right w:val="none" w:sz="0" w:space="0" w:color="auto"/>
          </w:divBdr>
        </w:div>
        <w:div w:id="1784497034">
          <w:marLeft w:val="274"/>
          <w:marRight w:val="0"/>
          <w:marTop w:val="0"/>
          <w:marBottom w:val="0"/>
          <w:divBdr>
            <w:top w:val="none" w:sz="0" w:space="0" w:color="auto"/>
            <w:left w:val="none" w:sz="0" w:space="0" w:color="auto"/>
            <w:bottom w:val="none" w:sz="0" w:space="0" w:color="auto"/>
            <w:right w:val="none" w:sz="0" w:space="0" w:color="auto"/>
          </w:divBdr>
        </w:div>
      </w:divsChild>
    </w:div>
    <w:div w:id="1211916701">
      <w:bodyDiv w:val="1"/>
      <w:marLeft w:val="0"/>
      <w:marRight w:val="0"/>
      <w:marTop w:val="0"/>
      <w:marBottom w:val="0"/>
      <w:divBdr>
        <w:top w:val="none" w:sz="0" w:space="0" w:color="auto"/>
        <w:left w:val="none" w:sz="0" w:space="0" w:color="auto"/>
        <w:bottom w:val="none" w:sz="0" w:space="0" w:color="auto"/>
        <w:right w:val="none" w:sz="0" w:space="0" w:color="auto"/>
      </w:divBdr>
    </w:div>
    <w:div w:id="1240555193">
      <w:bodyDiv w:val="1"/>
      <w:marLeft w:val="0"/>
      <w:marRight w:val="0"/>
      <w:marTop w:val="0"/>
      <w:marBottom w:val="0"/>
      <w:divBdr>
        <w:top w:val="none" w:sz="0" w:space="0" w:color="auto"/>
        <w:left w:val="none" w:sz="0" w:space="0" w:color="auto"/>
        <w:bottom w:val="none" w:sz="0" w:space="0" w:color="auto"/>
        <w:right w:val="none" w:sz="0" w:space="0" w:color="auto"/>
      </w:divBdr>
    </w:div>
    <w:div w:id="1290084598">
      <w:bodyDiv w:val="1"/>
      <w:marLeft w:val="0"/>
      <w:marRight w:val="0"/>
      <w:marTop w:val="0"/>
      <w:marBottom w:val="0"/>
      <w:divBdr>
        <w:top w:val="none" w:sz="0" w:space="0" w:color="auto"/>
        <w:left w:val="none" w:sz="0" w:space="0" w:color="auto"/>
        <w:bottom w:val="none" w:sz="0" w:space="0" w:color="auto"/>
        <w:right w:val="none" w:sz="0" w:space="0" w:color="auto"/>
      </w:divBdr>
    </w:div>
    <w:div w:id="1310747827">
      <w:bodyDiv w:val="1"/>
      <w:marLeft w:val="0"/>
      <w:marRight w:val="0"/>
      <w:marTop w:val="0"/>
      <w:marBottom w:val="0"/>
      <w:divBdr>
        <w:top w:val="none" w:sz="0" w:space="0" w:color="auto"/>
        <w:left w:val="none" w:sz="0" w:space="0" w:color="auto"/>
        <w:bottom w:val="none" w:sz="0" w:space="0" w:color="auto"/>
        <w:right w:val="none" w:sz="0" w:space="0" w:color="auto"/>
      </w:divBdr>
    </w:div>
    <w:div w:id="1320770456">
      <w:bodyDiv w:val="1"/>
      <w:marLeft w:val="0"/>
      <w:marRight w:val="0"/>
      <w:marTop w:val="0"/>
      <w:marBottom w:val="0"/>
      <w:divBdr>
        <w:top w:val="none" w:sz="0" w:space="0" w:color="auto"/>
        <w:left w:val="none" w:sz="0" w:space="0" w:color="auto"/>
        <w:bottom w:val="none" w:sz="0" w:space="0" w:color="auto"/>
        <w:right w:val="none" w:sz="0" w:space="0" w:color="auto"/>
      </w:divBdr>
    </w:div>
    <w:div w:id="1356158083">
      <w:bodyDiv w:val="1"/>
      <w:marLeft w:val="0"/>
      <w:marRight w:val="0"/>
      <w:marTop w:val="0"/>
      <w:marBottom w:val="0"/>
      <w:divBdr>
        <w:top w:val="none" w:sz="0" w:space="0" w:color="auto"/>
        <w:left w:val="none" w:sz="0" w:space="0" w:color="auto"/>
        <w:bottom w:val="none" w:sz="0" w:space="0" w:color="auto"/>
        <w:right w:val="none" w:sz="0" w:space="0" w:color="auto"/>
      </w:divBdr>
    </w:div>
    <w:div w:id="1378628317">
      <w:bodyDiv w:val="1"/>
      <w:marLeft w:val="0"/>
      <w:marRight w:val="0"/>
      <w:marTop w:val="0"/>
      <w:marBottom w:val="0"/>
      <w:divBdr>
        <w:top w:val="none" w:sz="0" w:space="0" w:color="auto"/>
        <w:left w:val="none" w:sz="0" w:space="0" w:color="auto"/>
        <w:bottom w:val="none" w:sz="0" w:space="0" w:color="auto"/>
        <w:right w:val="none" w:sz="0" w:space="0" w:color="auto"/>
      </w:divBdr>
      <w:divsChild>
        <w:div w:id="316885853">
          <w:marLeft w:val="446"/>
          <w:marRight w:val="0"/>
          <w:marTop w:val="0"/>
          <w:marBottom w:val="0"/>
          <w:divBdr>
            <w:top w:val="none" w:sz="0" w:space="0" w:color="auto"/>
            <w:left w:val="none" w:sz="0" w:space="0" w:color="auto"/>
            <w:bottom w:val="none" w:sz="0" w:space="0" w:color="auto"/>
            <w:right w:val="none" w:sz="0" w:space="0" w:color="auto"/>
          </w:divBdr>
        </w:div>
        <w:div w:id="638656426">
          <w:marLeft w:val="446"/>
          <w:marRight w:val="0"/>
          <w:marTop w:val="0"/>
          <w:marBottom w:val="0"/>
          <w:divBdr>
            <w:top w:val="none" w:sz="0" w:space="0" w:color="auto"/>
            <w:left w:val="none" w:sz="0" w:space="0" w:color="auto"/>
            <w:bottom w:val="none" w:sz="0" w:space="0" w:color="auto"/>
            <w:right w:val="none" w:sz="0" w:space="0" w:color="auto"/>
          </w:divBdr>
        </w:div>
        <w:div w:id="1589003162">
          <w:marLeft w:val="446"/>
          <w:marRight w:val="0"/>
          <w:marTop w:val="0"/>
          <w:marBottom w:val="0"/>
          <w:divBdr>
            <w:top w:val="none" w:sz="0" w:space="0" w:color="auto"/>
            <w:left w:val="none" w:sz="0" w:space="0" w:color="auto"/>
            <w:bottom w:val="none" w:sz="0" w:space="0" w:color="auto"/>
            <w:right w:val="none" w:sz="0" w:space="0" w:color="auto"/>
          </w:divBdr>
        </w:div>
      </w:divsChild>
    </w:div>
    <w:div w:id="1393893203">
      <w:bodyDiv w:val="1"/>
      <w:marLeft w:val="0"/>
      <w:marRight w:val="0"/>
      <w:marTop w:val="0"/>
      <w:marBottom w:val="0"/>
      <w:divBdr>
        <w:top w:val="none" w:sz="0" w:space="0" w:color="auto"/>
        <w:left w:val="none" w:sz="0" w:space="0" w:color="auto"/>
        <w:bottom w:val="none" w:sz="0" w:space="0" w:color="auto"/>
        <w:right w:val="none" w:sz="0" w:space="0" w:color="auto"/>
      </w:divBdr>
    </w:div>
    <w:div w:id="1401246876">
      <w:bodyDiv w:val="1"/>
      <w:marLeft w:val="0"/>
      <w:marRight w:val="0"/>
      <w:marTop w:val="0"/>
      <w:marBottom w:val="0"/>
      <w:divBdr>
        <w:top w:val="none" w:sz="0" w:space="0" w:color="auto"/>
        <w:left w:val="none" w:sz="0" w:space="0" w:color="auto"/>
        <w:bottom w:val="none" w:sz="0" w:space="0" w:color="auto"/>
        <w:right w:val="none" w:sz="0" w:space="0" w:color="auto"/>
      </w:divBdr>
      <w:divsChild>
        <w:div w:id="288442171">
          <w:marLeft w:val="274"/>
          <w:marRight w:val="0"/>
          <w:marTop w:val="0"/>
          <w:marBottom w:val="0"/>
          <w:divBdr>
            <w:top w:val="none" w:sz="0" w:space="0" w:color="auto"/>
            <w:left w:val="none" w:sz="0" w:space="0" w:color="auto"/>
            <w:bottom w:val="none" w:sz="0" w:space="0" w:color="auto"/>
            <w:right w:val="none" w:sz="0" w:space="0" w:color="auto"/>
          </w:divBdr>
        </w:div>
        <w:div w:id="558592648">
          <w:marLeft w:val="274"/>
          <w:marRight w:val="0"/>
          <w:marTop w:val="0"/>
          <w:marBottom w:val="0"/>
          <w:divBdr>
            <w:top w:val="none" w:sz="0" w:space="0" w:color="auto"/>
            <w:left w:val="none" w:sz="0" w:space="0" w:color="auto"/>
            <w:bottom w:val="none" w:sz="0" w:space="0" w:color="auto"/>
            <w:right w:val="none" w:sz="0" w:space="0" w:color="auto"/>
          </w:divBdr>
        </w:div>
        <w:div w:id="604657264">
          <w:marLeft w:val="274"/>
          <w:marRight w:val="0"/>
          <w:marTop w:val="0"/>
          <w:marBottom w:val="0"/>
          <w:divBdr>
            <w:top w:val="none" w:sz="0" w:space="0" w:color="auto"/>
            <w:left w:val="none" w:sz="0" w:space="0" w:color="auto"/>
            <w:bottom w:val="none" w:sz="0" w:space="0" w:color="auto"/>
            <w:right w:val="none" w:sz="0" w:space="0" w:color="auto"/>
          </w:divBdr>
        </w:div>
        <w:div w:id="764765445">
          <w:marLeft w:val="274"/>
          <w:marRight w:val="0"/>
          <w:marTop w:val="0"/>
          <w:marBottom w:val="0"/>
          <w:divBdr>
            <w:top w:val="none" w:sz="0" w:space="0" w:color="auto"/>
            <w:left w:val="none" w:sz="0" w:space="0" w:color="auto"/>
            <w:bottom w:val="none" w:sz="0" w:space="0" w:color="auto"/>
            <w:right w:val="none" w:sz="0" w:space="0" w:color="auto"/>
          </w:divBdr>
        </w:div>
        <w:div w:id="1531912847">
          <w:marLeft w:val="274"/>
          <w:marRight w:val="0"/>
          <w:marTop w:val="0"/>
          <w:marBottom w:val="0"/>
          <w:divBdr>
            <w:top w:val="none" w:sz="0" w:space="0" w:color="auto"/>
            <w:left w:val="none" w:sz="0" w:space="0" w:color="auto"/>
            <w:bottom w:val="none" w:sz="0" w:space="0" w:color="auto"/>
            <w:right w:val="none" w:sz="0" w:space="0" w:color="auto"/>
          </w:divBdr>
        </w:div>
      </w:divsChild>
    </w:div>
    <w:div w:id="1403523511">
      <w:bodyDiv w:val="1"/>
      <w:marLeft w:val="0"/>
      <w:marRight w:val="0"/>
      <w:marTop w:val="0"/>
      <w:marBottom w:val="0"/>
      <w:divBdr>
        <w:top w:val="none" w:sz="0" w:space="0" w:color="auto"/>
        <w:left w:val="none" w:sz="0" w:space="0" w:color="auto"/>
        <w:bottom w:val="none" w:sz="0" w:space="0" w:color="auto"/>
        <w:right w:val="none" w:sz="0" w:space="0" w:color="auto"/>
      </w:divBdr>
      <w:divsChild>
        <w:div w:id="73093423">
          <w:marLeft w:val="418"/>
          <w:marRight w:val="0"/>
          <w:marTop w:val="20"/>
          <w:marBottom w:val="40"/>
          <w:divBdr>
            <w:top w:val="none" w:sz="0" w:space="0" w:color="auto"/>
            <w:left w:val="none" w:sz="0" w:space="0" w:color="auto"/>
            <w:bottom w:val="none" w:sz="0" w:space="0" w:color="auto"/>
            <w:right w:val="none" w:sz="0" w:space="0" w:color="auto"/>
          </w:divBdr>
        </w:div>
        <w:div w:id="359093686">
          <w:marLeft w:val="418"/>
          <w:marRight w:val="0"/>
          <w:marTop w:val="20"/>
          <w:marBottom w:val="40"/>
          <w:divBdr>
            <w:top w:val="none" w:sz="0" w:space="0" w:color="auto"/>
            <w:left w:val="none" w:sz="0" w:space="0" w:color="auto"/>
            <w:bottom w:val="none" w:sz="0" w:space="0" w:color="auto"/>
            <w:right w:val="none" w:sz="0" w:space="0" w:color="auto"/>
          </w:divBdr>
        </w:div>
        <w:div w:id="711424807">
          <w:marLeft w:val="418"/>
          <w:marRight w:val="0"/>
          <w:marTop w:val="20"/>
          <w:marBottom w:val="40"/>
          <w:divBdr>
            <w:top w:val="none" w:sz="0" w:space="0" w:color="auto"/>
            <w:left w:val="none" w:sz="0" w:space="0" w:color="auto"/>
            <w:bottom w:val="none" w:sz="0" w:space="0" w:color="auto"/>
            <w:right w:val="none" w:sz="0" w:space="0" w:color="auto"/>
          </w:divBdr>
        </w:div>
        <w:div w:id="788159807">
          <w:marLeft w:val="418"/>
          <w:marRight w:val="0"/>
          <w:marTop w:val="20"/>
          <w:marBottom w:val="40"/>
          <w:divBdr>
            <w:top w:val="none" w:sz="0" w:space="0" w:color="auto"/>
            <w:left w:val="none" w:sz="0" w:space="0" w:color="auto"/>
            <w:bottom w:val="none" w:sz="0" w:space="0" w:color="auto"/>
            <w:right w:val="none" w:sz="0" w:space="0" w:color="auto"/>
          </w:divBdr>
        </w:div>
        <w:div w:id="851645390">
          <w:marLeft w:val="418"/>
          <w:marRight w:val="0"/>
          <w:marTop w:val="20"/>
          <w:marBottom w:val="40"/>
          <w:divBdr>
            <w:top w:val="none" w:sz="0" w:space="0" w:color="auto"/>
            <w:left w:val="none" w:sz="0" w:space="0" w:color="auto"/>
            <w:bottom w:val="none" w:sz="0" w:space="0" w:color="auto"/>
            <w:right w:val="none" w:sz="0" w:space="0" w:color="auto"/>
          </w:divBdr>
        </w:div>
        <w:div w:id="1135953118">
          <w:marLeft w:val="418"/>
          <w:marRight w:val="0"/>
          <w:marTop w:val="20"/>
          <w:marBottom w:val="40"/>
          <w:divBdr>
            <w:top w:val="none" w:sz="0" w:space="0" w:color="auto"/>
            <w:left w:val="none" w:sz="0" w:space="0" w:color="auto"/>
            <w:bottom w:val="none" w:sz="0" w:space="0" w:color="auto"/>
            <w:right w:val="none" w:sz="0" w:space="0" w:color="auto"/>
          </w:divBdr>
        </w:div>
        <w:div w:id="1216116024">
          <w:marLeft w:val="418"/>
          <w:marRight w:val="0"/>
          <w:marTop w:val="20"/>
          <w:marBottom w:val="40"/>
          <w:divBdr>
            <w:top w:val="none" w:sz="0" w:space="0" w:color="auto"/>
            <w:left w:val="none" w:sz="0" w:space="0" w:color="auto"/>
            <w:bottom w:val="none" w:sz="0" w:space="0" w:color="auto"/>
            <w:right w:val="none" w:sz="0" w:space="0" w:color="auto"/>
          </w:divBdr>
        </w:div>
        <w:div w:id="1258322092">
          <w:marLeft w:val="418"/>
          <w:marRight w:val="0"/>
          <w:marTop w:val="20"/>
          <w:marBottom w:val="40"/>
          <w:divBdr>
            <w:top w:val="none" w:sz="0" w:space="0" w:color="auto"/>
            <w:left w:val="none" w:sz="0" w:space="0" w:color="auto"/>
            <w:bottom w:val="none" w:sz="0" w:space="0" w:color="auto"/>
            <w:right w:val="none" w:sz="0" w:space="0" w:color="auto"/>
          </w:divBdr>
        </w:div>
        <w:div w:id="1312754642">
          <w:marLeft w:val="418"/>
          <w:marRight w:val="0"/>
          <w:marTop w:val="20"/>
          <w:marBottom w:val="40"/>
          <w:divBdr>
            <w:top w:val="none" w:sz="0" w:space="0" w:color="auto"/>
            <w:left w:val="none" w:sz="0" w:space="0" w:color="auto"/>
            <w:bottom w:val="none" w:sz="0" w:space="0" w:color="auto"/>
            <w:right w:val="none" w:sz="0" w:space="0" w:color="auto"/>
          </w:divBdr>
        </w:div>
        <w:div w:id="1598441183">
          <w:marLeft w:val="418"/>
          <w:marRight w:val="0"/>
          <w:marTop w:val="20"/>
          <w:marBottom w:val="40"/>
          <w:divBdr>
            <w:top w:val="none" w:sz="0" w:space="0" w:color="auto"/>
            <w:left w:val="none" w:sz="0" w:space="0" w:color="auto"/>
            <w:bottom w:val="none" w:sz="0" w:space="0" w:color="auto"/>
            <w:right w:val="none" w:sz="0" w:space="0" w:color="auto"/>
          </w:divBdr>
        </w:div>
        <w:div w:id="1744911416">
          <w:marLeft w:val="418"/>
          <w:marRight w:val="0"/>
          <w:marTop w:val="20"/>
          <w:marBottom w:val="40"/>
          <w:divBdr>
            <w:top w:val="none" w:sz="0" w:space="0" w:color="auto"/>
            <w:left w:val="none" w:sz="0" w:space="0" w:color="auto"/>
            <w:bottom w:val="none" w:sz="0" w:space="0" w:color="auto"/>
            <w:right w:val="none" w:sz="0" w:space="0" w:color="auto"/>
          </w:divBdr>
        </w:div>
        <w:div w:id="1817603679">
          <w:marLeft w:val="418"/>
          <w:marRight w:val="0"/>
          <w:marTop w:val="20"/>
          <w:marBottom w:val="40"/>
          <w:divBdr>
            <w:top w:val="none" w:sz="0" w:space="0" w:color="auto"/>
            <w:left w:val="none" w:sz="0" w:space="0" w:color="auto"/>
            <w:bottom w:val="none" w:sz="0" w:space="0" w:color="auto"/>
            <w:right w:val="none" w:sz="0" w:space="0" w:color="auto"/>
          </w:divBdr>
        </w:div>
        <w:div w:id="1997225357">
          <w:marLeft w:val="418"/>
          <w:marRight w:val="0"/>
          <w:marTop w:val="20"/>
          <w:marBottom w:val="40"/>
          <w:divBdr>
            <w:top w:val="none" w:sz="0" w:space="0" w:color="auto"/>
            <w:left w:val="none" w:sz="0" w:space="0" w:color="auto"/>
            <w:bottom w:val="none" w:sz="0" w:space="0" w:color="auto"/>
            <w:right w:val="none" w:sz="0" w:space="0" w:color="auto"/>
          </w:divBdr>
        </w:div>
        <w:div w:id="2113477057">
          <w:marLeft w:val="418"/>
          <w:marRight w:val="0"/>
          <w:marTop w:val="20"/>
          <w:marBottom w:val="40"/>
          <w:divBdr>
            <w:top w:val="none" w:sz="0" w:space="0" w:color="auto"/>
            <w:left w:val="none" w:sz="0" w:space="0" w:color="auto"/>
            <w:bottom w:val="none" w:sz="0" w:space="0" w:color="auto"/>
            <w:right w:val="none" w:sz="0" w:space="0" w:color="auto"/>
          </w:divBdr>
        </w:div>
      </w:divsChild>
    </w:div>
    <w:div w:id="1411466230">
      <w:bodyDiv w:val="1"/>
      <w:marLeft w:val="0"/>
      <w:marRight w:val="0"/>
      <w:marTop w:val="0"/>
      <w:marBottom w:val="0"/>
      <w:divBdr>
        <w:top w:val="none" w:sz="0" w:space="0" w:color="auto"/>
        <w:left w:val="none" w:sz="0" w:space="0" w:color="auto"/>
        <w:bottom w:val="none" w:sz="0" w:space="0" w:color="auto"/>
        <w:right w:val="none" w:sz="0" w:space="0" w:color="auto"/>
      </w:divBdr>
    </w:div>
    <w:div w:id="1419135261">
      <w:bodyDiv w:val="1"/>
      <w:marLeft w:val="0"/>
      <w:marRight w:val="0"/>
      <w:marTop w:val="0"/>
      <w:marBottom w:val="0"/>
      <w:divBdr>
        <w:top w:val="none" w:sz="0" w:space="0" w:color="auto"/>
        <w:left w:val="none" w:sz="0" w:space="0" w:color="auto"/>
        <w:bottom w:val="none" w:sz="0" w:space="0" w:color="auto"/>
        <w:right w:val="none" w:sz="0" w:space="0" w:color="auto"/>
      </w:divBdr>
    </w:div>
    <w:div w:id="1425809214">
      <w:bodyDiv w:val="1"/>
      <w:marLeft w:val="0"/>
      <w:marRight w:val="0"/>
      <w:marTop w:val="0"/>
      <w:marBottom w:val="0"/>
      <w:divBdr>
        <w:top w:val="none" w:sz="0" w:space="0" w:color="auto"/>
        <w:left w:val="none" w:sz="0" w:space="0" w:color="auto"/>
        <w:bottom w:val="none" w:sz="0" w:space="0" w:color="auto"/>
        <w:right w:val="none" w:sz="0" w:space="0" w:color="auto"/>
      </w:divBdr>
    </w:div>
    <w:div w:id="1426655792">
      <w:bodyDiv w:val="1"/>
      <w:marLeft w:val="0"/>
      <w:marRight w:val="0"/>
      <w:marTop w:val="0"/>
      <w:marBottom w:val="0"/>
      <w:divBdr>
        <w:top w:val="none" w:sz="0" w:space="0" w:color="auto"/>
        <w:left w:val="none" w:sz="0" w:space="0" w:color="auto"/>
        <w:bottom w:val="none" w:sz="0" w:space="0" w:color="auto"/>
        <w:right w:val="none" w:sz="0" w:space="0" w:color="auto"/>
      </w:divBdr>
    </w:div>
    <w:div w:id="1465193218">
      <w:bodyDiv w:val="1"/>
      <w:marLeft w:val="0"/>
      <w:marRight w:val="0"/>
      <w:marTop w:val="0"/>
      <w:marBottom w:val="0"/>
      <w:divBdr>
        <w:top w:val="none" w:sz="0" w:space="0" w:color="auto"/>
        <w:left w:val="none" w:sz="0" w:space="0" w:color="auto"/>
        <w:bottom w:val="none" w:sz="0" w:space="0" w:color="auto"/>
        <w:right w:val="none" w:sz="0" w:space="0" w:color="auto"/>
      </w:divBdr>
    </w:div>
    <w:div w:id="1490555011">
      <w:bodyDiv w:val="1"/>
      <w:marLeft w:val="0"/>
      <w:marRight w:val="0"/>
      <w:marTop w:val="0"/>
      <w:marBottom w:val="0"/>
      <w:divBdr>
        <w:top w:val="none" w:sz="0" w:space="0" w:color="auto"/>
        <w:left w:val="none" w:sz="0" w:space="0" w:color="auto"/>
        <w:bottom w:val="none" w:sz="0" w:space="0" w:color="auto"/>
        <w:right w:val="none" w:sz="0" w:space="0" w:color="auto"/>
      </w:divBdr>
    </w:div>
    <w:div w:id="1499224090">
      <w:bodyDiv w:val="1"/>
      <w:marLeft w:val="0"/>
      <w:marRight w:val="0"/>
      <w:marTop w:val="0"/>
      <w:marBottom w:val="0"/>
      <w:divBdr>
        <w:top w:val="none" w:sz="0" w:space="0" w:color="auto"/>
        <w:left w:val="none" w:sz="0" w:space="0" w:color="auto"/>
        <w:bottom w:val="none" w:sz="0" w:space="0" w:color="auto"/>
        <w:right w:val="none" w:sz="0" w:space="0" w:color="auto"/>
      </w:divBdr>
    </w:div>
    <w:div w:id="1501580242">
      <w:bodyDiv w:val="1"/>
      <w:marLeft w:val="0"/>
      <w:marRight w:val="0"/>
      <w:marTop w:val="0"/>
      <w:marBottom w:val="0"/>
      <w:divBdr>
        <w:top w:val="none" w:sz="0" w:space="0" w:color="auto"/>
        <w:left w:val="none" w:sz="0" w:space="0" w:color="auto"/>
        <w:bottom w:val="none" w:sz="0" w:space="0" w:color="auto"/>
        <w:right w:val="none" w:sz="0" w:space="0" w:color="auto"/>
      </w:divBdr>
    </w:div>
    <w:div w:id="1518152514">
      <w:bodyDiv w:val="1"/>
      <w:marLeft w:val="0"/>
      <w:marRight w:val="0"/>
      <w:marTop w:val="0"/>
      <w:marBottom w:val="0"/>
      <w:divBdr>
        <w:top w:val="none" w:sz="0" w:space="0" w:color="auto"/>
        <w:left w:val="none" w:sz="0" w:space="0" w:color="auto"/>
        <w:bottom w:val="none" w:sz="0" w:space="0" w:color="auto"/>
        <w:right w:val="none" w:sz="0" w:space="0" w:color="auto"/>
      </w:divBdr>
    </w:div>
    <w:div w:id="1523595656">
      <w:bodyDiv w:val="1"/>
      <w:marLeft w:val="0"/>
      <w:marRight w:val="0"/>
      <w:marTop w:val="0"/>
      <w:marBottom w:val="0"/>
      <w:divBdr>
        <w:top w:val="none" w:sz="0" w:space="0" w:color="auto"/>
        <w:left w:val="none" w:sz="0" w:space="0" w:color="auto"/>
        <w:bottom w:val="none" w:sz="0" w:space="0" w:color="auto"/>
        <w:right w:val="none" w:sz="0" w:space="0" w:color="auto"/>
      </w:divBdr>
      <w:divsChild>
        <w:div w:id="783769292">
          <w:marLeft w:val="274"/>
          <w:marRight w:val="0"/>
          <w:marTop w:val="0"/>
          <w:marBottom w:val="0"/>
          <w:divBdr>
            <w:top w:val="none" w:sz="0" w:space="0" w:color="auto"/>
            <w:left w:val="none" w:sz="0" w:space="0" w:color="auto"/>
            <w:bottom w:val="none" w:sz="0" w:space="0" w:color="auto"/>
            <w:right w:val="none" w:sz="0" w:space="0" w:color="auto"/>
          </w:divBdr>
        </w:div>
        <w:div w:id="1257135620">
          <w:marLeft w:val="274"/>
          <w:marRight w:val="0"/>
          <w:marTop w:val="0"/>
          <w:marBottom w:val="0"/>
          <w:divBdr>
            <w:top w:val="none" w:sz="0" w:space="0" w:color="auto"/>
            <w:left w:val="none" w:sz="0" w:space="0" w:color="auto"/>
            <w:bottom w:val="none" w:sz="0" w:space="0" w:color="auto"/>
            <w:right w:val="none" w:sz="0" w:space="0" w:color="auto"/>
          </w:divBdr>
        </w:div>
        <w:div w:id="1899436380">
          <w:marLeft w:val="274"/>
          <w:marRight w:val="0"/>
          <w:marTop w:val="0"/>
          <w:marBottom w:val="0"/>
          <w:divBdr>
            <w:top w:val="none" w:sz="0" w:space="0" w:color="auto"/>
            <w:left w:val="none" w:sz="0" w:space="0" w:color="auto"/>
            <w:bottom w:val="none" w:sz="0" w:space="0" w:color="auto"/>
            <w:right w:val="none" w:sz="0" w:space="0" w:color="auto"/>
          </w:divBdr>
        </w:div>
        <w:div w:id="2066489733">
          <w:marLeft w:val="274"/>
          <w:marRight w:val="0"/>
          <w:marTop w:val="0"/>
          <w:marBottom w:val="0"/>
          <w:divBdr>
            <w:top w:val="none" w:sz="0" w:space="0" w:color="auto"/>
            <w:left w:val="none" w:sz="0" w:space="0" w:color="auto"/>
            <w:bottom w:val="none" w:sz="0" w:space="0" w:color="auto"/>
            <w:right w:val="none" w:sz="0" w:space="0" w:color="auto"/>
          </w:divBdr>
        </w:div>
      </w:divsChild>
    </w:div>
    <w:div w:id="1529291806">
      <w:bodyDiv w:val="1"/>
      <w:marLeft w:val="0"/>
      <w:marRight w:val="0"/>
      <w:marTop w:val="0"/>
      <w:marBottom w:val="0"/>
      <w:divBdr>
        <w:top w:val="none" w:sz="0" w:space="0" w:color="auto"/>
        <w:left w:val="none" w:sz="0" w:space="0" w:color="auto"/>
        <w:bottom w:val="none" w:sz="0" w:space="0" w:color="auto"/>
        <w:right w:val="none" w:sz="0" w:space="0" w:color="auto"/>
      </w:divBdr>
    </w:div>
    <w:div w:id="1530341735">
      <w:bodyDiv w:val="1"/>
      <w:marLeft w:val="0"/>
      <w:marRight w:val="0"/>
      <w:marTop w:val="0"/>
      <w:marBottom w:val="0"/>
      <w:divBdr>
        <w:top w:val="none" w:sz="0" w:space="0" w:color="auto"/>
        <w:left w:val="none" w:sz="0" w:space="0" w:color="auto"/>
        <w:bottom w:val="none" w:sz="0" w:space="0" w:color="auto"/>
        <w:right w:val="none" w:sz="0" w:space="0" w:color="auto"/>
      </w:divBdr>
    </w:div>
    <w:div w:id="1531987592">
      <w:bodyDiv w:val="1"/>
      <w:marLeft w:val="0"/>
      <w:marRight w:val="0"/>
      <w:marTop w:val="0"/>
      <w:marBottom w:val="0"/>
      <w:divBdr>
        <w:top w:val="none" w:sz="0" w:space="0" w:color="auto"/>
        <w:left w:val="none" w:sz="0" w:space="0" w:color="auto"/>
        <w:bottom w:val="none" w:sz="0" w:space="0" w:color="auto"/>
        <w:right w:val="none" w:sz="0" w:space="0" w:color="auto"/>
      </w:divBdr>
    </w:div>
    <w:div w:id="1532377625">
      <w:bodyDiv w:val="1"/>
      <w:marLeft w:val="0"/>
      <w:marRight w:val="0"/>
      <w:marTop w:val="0"/>
      <w:marBottom w:val="0"/>
      <w:divBdr>
        <w:top w:val="none" w:sz="0" w:space="0" w:color="auto"/>
        <w:left w:val="none" w:sz="0" w:space="0" w:color="auto"/>
        <w:bottom w:val="none" w:sz="0" w:space="0" w:color="auto"/>
        <w:right w:val="none" w:sz="0" w:space="0" w:color="auto"/>
      </w:divBdr>
    </w:div>
    <w:div w:id="1536232502">
      <w:bodyDiv w:val="1"/>
      <w:marLeft w:val="0"/>
      <w:marRight w:val="0"/>
      <w:marTop w:val="0"/>
      <w:marBottom w:val="0"/>
      <w:divBdr>
        <w:top w:val="none" w:sz="0" w:space="0" w:color="auto"/>
        <w:left w:val="none" w:sz="0" w:space="0" w:color="auto"/>
        <w:bottom w:val="none" w:sz="0" w:space="0" w:color="auto"/>
        <w:right w:val="none" w:sz="0" w:space="0" w:color="auto"/>
      </w:divBdr>
      <w:divsChild>
        <w:div w:id="141506006">
          <w:marLeft w:val="547"/>
          <w:marRight w:val="0"/>
          <w:marTop w:val="53"/>
          <w:marBottom w:val="0"/>
          <w:divBdr>
            <w:top w:val="none" w:sz="0" w:space="0" w:color="auto"/>
            <w:left w:val="none" w:sz="0" w:space="0" w:color="auto"/>
            <w:bottom w:val="none" w:sz="0" w:space="0" w:color="auto"/>
            <w:right w:val="none" w:sz="0" w:space="0" w:color="auto"/>
          </w:divBdr>
        </w:div>
        <w:div w:id="1416823104">
          <w:marLeft w:val="547"/>
          <w:marRight w:val="0"/>
          <w:marTop w:val="53"/>
          <w:marBottom w:val="0"/>
          <w:divBdr>
            <w:top w:val="none" w:sz="0" w:space="0" w:color="auto"/>
            <w:left w:val="none" w:sz="0" w:space="0" w:color="auto"/>
            <w:bottom w:val="none" w:sz="0" w:space="0" w:color="auto"/>
            <w:right w:val="none" w:sz="0" w:space="0" w:color="auto"/>
          </w:divBdr>
        </w:div>
        <w:div w:id="1803376952">
          <w:marLeft w:val="547"/>
          <w:marRight w:val="0"/>
          <w:marTop w:val="53"/>
          <w:marBottom w:val="0"/>
          <w:divBdr>
            <w:top w:val="none" w:sz="0" w:space="0" w:color="auto"/>
            <w:left w:val="none" w:sz="0" w:space="0" w:color="auto"/>
            <w:bottom w:val="none" w:sz="0" w:space="0" w:color="auto"/>
            <w:right w:val="none" w:sz="0" w:space="0" w:color="auto"/>
          </w:divBdr>
        </w:div>
      </w:divsChild>
    </w:div>
    <w:div w:id="1556357617">
      <w:bodyDiv w:val="1"/>
      <w:marLeft w:val="0"/>
      <w:marRight w:val="0"/>
      <w:marTop w:val="0"/>
      <w:marBottom w:val="0"/>
      <w:divBdr>
        <w:top w:val="none" w:sz="0" w:space="0" w:color="auto"/>
        <w:left w:val="none" w:sz="0" w:space="0" w:color="auto"/>
        <w:bottom w:val="none" w:sz="0" w:space="0" w:color="auto"/>
        <w:right w:val="none" w:sz="0" w:space="0" w:color="auto"/>
      </w:divBdr>
    </w:div>
    <w:div w:id="1573271839">
      <w:bodyDiv w:val="1"/>
      <w:marLeft w:val="0"/>
      <w:marRight w:val="0"/>
      <w:marTop w:val="0"/>
      <w:marBottom w:val="0"/>
      <w:divBdr>
        <w:top w:val="none" w:sz="0" w:space="0" w:color="auto"/>
        <w:left w:val="none" w:sz="0" w:space="0" w:color="auto"/>
        <w:bottom w:val="none" w:sz="0" w:space="0" w:color="auto"/>
        <w:right w:val="none" w:sz="0" w:space="0" w:color="auto"/>
      </w:divBdr>
    </w:div>
    <w:div w:id="1577201388">
      <w:bodyDiv w:val="1"/>
      <w:marLeft w:val="0"/>
      <w:marRight w:val="0"/>
      <w:marTop w:val="0"/>
      <w:marBottom w:val="0"/>
      <w:divBdr>
        <w:top w:val="none" w:sz="0" w:space="0" w:color="auto"/>
        <w:left w:val="none" w:sz="0" w:space="0" w:color="auto"/>
        <w:bottom w:val="none" w:sz="0" w:space="0" w:color="auto"/>
        <w:right w:val="none" w:sz="0" w:space="0" w:color="auto"/>
      </w:divBdr>
    </w:div>
    <w:div w:id="1577395443">
      <w:bodyDiv w:val="1"/>
      <w:marLeft w:val="0"/>
      <w:marRight w:val="0"/>
      <w:marTop w:val="0"/>
      <w:marBottom w:val="0"/>
      <w:divBdr>
        <w:top w:val="none" w:sz="0" w:space="0" w:color="auto"/>
        <w:left w:val="none" w:sz="0" w:space="0" w:color="auto"/>
        <w:bottom w:val="none" w:sz="0" w:space="0" w:color="auto"/>
        <w:right w:val="none" w:sz="0" w:space="0" w:color="auto"/>
      </w:divBdr>
    </w:div>
    <w:div w:id="1585335239">
      <w:bodyDiv w:val="1"/>
      <w:marLeft w:val="0"/>
      <w:marRight w:val="0"/>
      <w:marTop w:val="0"/>
      <w:marBottom w:val="0"/>
      <w:divBdr>
        <w:top w:val="none" w:sz="0" w:space="0" w:color="auto"/>
        <w:left w:val="none" w:sz="0" w:space="0" w:color="auto"/>
        <w:bottom w:val="none" w:sz="0" w:space="0" w:color="auto"/>
        <w:right w:val="none" w:sz="0" w:space="0" w:color="auto"/>
      </w:divBdr>
    </w:div>
    <w:div w:id="1602492199">
      <w:bodyDiv w:val="1"/>
      <w:marLeft w:val="0"/>
      <w:marRight w:val="0"/>
      <w:marTop w:val="0"/>
      <w:marBottom w:val="0"/>
      <w:divBdr>
        <w:top w:val="none" w:sz="0" w:space="0" w:color="auto"/>
        <w:left w:val="none" w:sz="0" w:space="0" w:color="auto"/>
        <w:bottom w:val="none" w:sz="0" w:space="0" w:color="auto"/>
        <w:right w:val="none" w:sz="0" w:space="0" w:color="auto"/>
      </w:divBdr>
    </w:div>
    <w:div w:id="1607034660">
      <w:bodyDiv w:val="1"/>
      <w:marLeft w:val="0"/>
      <w:marRight w:val="0"/>
      <w:marTop w:val="0"/>
      <w:marBottom w:val="0"/>
      <w:divBdr>
        <w:top w:val="none" w:sz="0" w:space="0" w:color="auto"/>
        <w:left w:val="none" w:sz="0" w:space="0" w:color="auto"/>
        <w:bottom w:val="none" w:sz="0" w:space="0" w:color="auto"/>
        <w:right w:val="none" w:sz="0" w:space="0" w:color="auto"/>
      </w:divBdr>
    </w:div>
    <w:div w:id="1617251582">
      <w:bodyDiv w:val="1"/>
      <w:marLeft w:val="0"/>
      <w:marRight w:val="0"/>
      <w:marTop w:val="0"/>
      <w:marBottom w:val="0"/>
      <w:divBdr>
        <w:top w:val="none" w:sz="0" w:space="0" w:color="auto"/>
        <w:left w:val="none" w:sz="0" w:space="0" w:color="auto"/>
        <w:bottom w:val="none" w:sz="0" w:space="0" w:color="auto"/>
        <w:right w:val="none" w:sz="0" w:space="0" w:color="auto"/>
      </w:divBdr>
    </w:div>
    <w:div w:id="1638025364">
      <w:bodyDiv w:val="1"/>
      <w:marLeft w:val="0"/>
      <w:marRight w:val="0"/>
      <w:marTop w:val="0"/>
      <w:marBottom w:val="0"/>
      <w:divBdr>
        <w:top w:val="none" w:sz="0" w:space="0" w:color="auto"/>
        <w:left w:val="none" w:sz="0" w:space="0" w:color="auto"/>
        <w:bottom w:val="none" w:sz="0" w:space="0" w:color="auto"/>
        <w:right w:val="none" w:sz="0" w:space="0" w:color="auto"/>
      </w:divBdr>
    </w:div>
    <w:div w:id="1649745901">
      <w:bodyDiv w:val="1"/>
      <w:marLeft w:val="0"/>
      <w:marRight w:val="0"/>
      <w:marTop w:val="0"/>
      <w:marBottom w:val="0"/>
      <w:divBdr>
        <w:top w:val="none" w:sz="0" w:space="0" w:color="auto"/>
        <w:left w:val="none" w:sz="0" w:space="0" w:color="auto"/>
        <w:bottom w:val="none" w:sz="0" w:space="0" w:color="auto"/>
        <w:right w:val="none" w:sz="0" w:space="0" w:color="auto"/>
      </w:divBdr>
    </w:div>
    <w:div w:id="1658142965">
      <w:bodyDiv w:val="1"/>
      <w:marLeft w:val="0"/>
      <w:marRight w:val="0"/>
      <w:marTop w:val="0"/>
      <w:marBottom w:val="0"/>
      <w:divBdr>
        <w:top w:val="none" w:sz="0" w:space="0" w:color="auto"/>
        <w:left w:val="none" w:sz="0" w:space="0" w:color="auto"/>
        <w:bottom w:val="none" w:sz="0" w:space="0" w:color="auto"/>
        <w:right w:val="none" w:sz="0" w:space="0" w:color="auto"/>
      </w:divBdr>
      <w:divsChild>
        <w:div w:id="200484428">
          <w:marLeft w:val="1123"/>
          <w:marRight w:val="0"/>
          <w:marTop w:val="58"/>
          <w:marBottom w:val="0"/>
          <w:divBdr>
            <w:top w:val="none" w:sz="0" w:space="0" w:color="auto"/>
            <w:left w:val="none" w:sz="0" w:space="0" w:color="auto"/>
            <w:bottom w:val="none" w:sz="0" w:space="0" w:color="auto"/>
            <w:right w:val="none" w:sz="0" w:space="0" w:color="auto"/>
          </w:divBdr>
        </w:div>
        <w:div w:id="380249519">
          <w:marLeft w:val="547"/>
          <w:marRight w:val="0"/>
          <w:marTop w:val="58"/>
          <w:marBottom w:val="0"/>
          <w:divBdr>
            <w:top w:val="none" w:sz="0" w:space="0" w:color="auto"/>
            <w:left w:val="none" w:sz="0" w:space="0" w:color="auto"/>
            <w:bottom w:val="none" w:sz="0" w:space="0" w:color="auto"/>
            <w:right w:val="none" w:sz="0" w:space="0" w:color="auto"/>
          </w:divBdr>
        </w:div>
        <w:div w:id="784427325">
          <w:marLeft w:val="1699"/>
          <w:marRight w:val="0"/>
          <w:marTop w:val="58"/>
          <w:marBottom w:val="0"/>
          <w:divBdr>
            <w:top w:val="none" w:sz="0" w:space="0" w:color="auto"/>
            <w:left w:val="none" w:sz="0" w:space="0" w:color="auto"/>
            <w:bottom w:val="none" w:sz="0" w:space="0" w:color="auto"/>
            <w:right w:val="none" w:sz="0" w:space="0" w:color="auto"/>
          </w:divBdr>
        </w:div>
        <w:div w:id="1024358741">
          <w:marLeft w:val="1123"/>
          <w:marRight w:val="0"/>
          <w:marTop w:val="58"/>
          <w:marBottom w:val="0"/>
          <w:divBdr>
            <w:top w:val="none" w:sz="0" w:space="0" w:color="auto"/>
            <w:left w:val="none" w:sz="0" w:space="0" w:color="auto"/>
            <w:bottom w:val="none" w:sz="0" w:space="0" w:color="auto"/>
            <w:right w:val="none" w:sz="0" w:space="0" w:color="auto"/>
          </w:divBdr>
        </w:div>
        <w:div w:id="1106923379">
          <w:marLeft w:val="1123"/>
          <w:marRight w:val="0"/>
          <w:marTop w:val="58"/>
          <w:marBottom w:val="0"/>
          <w:divBdr>
            <w:top w:val="none" w:sz="0" w:space="0" w:color="auto"/>
            <w:left w:val="none" w:sz="0" w:space="0" w:color="auto"/>
            <w:bottom w:val="none" w:sz="0" w:space="0" w:color="auto"/>
            <w:right w:val="none" w:sz="0" w:space="0" w:color="auto"/>
          </w:divBdr>
        </w:div>
        <w:div w:id="1330871044">
          <w:marLeft w:val="1123"/>
          <w:marRight w:val="0"/>
          <w:marTop w:val="58"/>
          <w:marBottom w:val="0"/>
          <w:divBdr>
            <w:top w:val="none" w:sz="0" w:space="0" w:color="auto"/>
            <w:left w:val="none" w:sz="0" w:space="0" w:color="auto"/>
            <w:bottom w:val="none" w:sz="0" w:space="0" w:color="auto"/>
            <w:right w:val="none" w:sz="0" w:space="0" w:color="auto"/>
          </w:divBdr>
        </w:div>
        <w:div w:id="1808544664">
          <w:marLeft w:val="547"/>
          <w:marRight w:val="0"/>
          <w:marTop w:val="58"/>
          <w:marBottom w:val="0"/>
          <w:divBdr>
            <w:top w:val="none" w:sz="0" w:space="0" w:color="auto"/>
            <w:left w:val="none" w:sz="0" w:space="0" w:color="auto"/>
            <w:bottom w:val="none" w:sz="0" w:space="0" w:color="auto"/>
            <w:right w:val="none" w:sz="0" w:space="0" w:color="auto"/>
          </w:divBdr>
        </w:div>
        <w:div w:id="1939213411">
          <w:marLeft w:val="1123"/>
          <w:marRight w:val="0"/>
          <w:marTop w:val="58"/>
          <w:marBottom w:val="0"/>
          <w:divBdr>
            <w:top w:val="none" w:sz="0" w:space="0" w:color="auto"/>
            <w:left w:val="none" w:sz="0" w:space="0" w:color="auto"/>
            <w:bottom w:val="none" w:sz="0" w:space="0" w:color="auto"/>
            <w:right w:val="none" w:sz="0" w:space="0" w:color="auto"/>
          </w:divBdr>
        </w:div>
        <w:div w:id="2116751570">
          <w:marLeft w:val="1699"/>
          <w:marRight w:val="0"/>
          <w:marTop w:val="58"/>
          <w:marBottom w:val="0"/>
          <w:divBdr>
            <w:top w:val="none" w:sz="0" w:space="0" w:color="auto"/>
            <w:left w:val="none" w:sz="0" w:space="0" w:color="auto"/>
            <w:bottom w:val="none" w:sz="0" w:space="0" w:color="auto"/>
            <w:right w:val="none" w:sz="0" w:space="0" w:color="auto"/>
          </w:divBdr>
        </w:div>
      </w:divsChild>
    </w:div>
    <w:div w:id="1662467894">
      <w:bodyDiv w:val="1"/>
      <w:marLeft w:val="0"/>
      <w:marRight w:val="0"/>
      <w:marTop w:val="0"/>
      <w:marBottom w:val="0"/>
      <w:divBdr>
        <w:top w:val="none" w:sz="0" w:space="0" w:color="auto"/>
        <w:left w:val="none" w:sz="0" w:space="0" w:color="auto"/>
        <w:bottom w:val="none" w:sz="0" w:space="0" w:color="auto"/>
        <w:right w:val="none" w:sz="0" w:space="0" w:color="auto"/>
      </w:divBdr>
    </w:div>
    <w:div w:id="1662852170">
      <w:bodyDiv w:val="1"/>
      <w:marLeft w:val="0"/>
      <w:marRight w:val="0"/>
      <w:marTop w:val="0"/>
      <w:marBottom w:val="0"/>
      <w:divBdr>
        <w:top w:val="none" w:sz="0" w:space="0" w:color="auto"/>
        <w:left w:val="none" w:sz="0" w:space="0" w:color="auto"/>
        <w:bottom w:val="none" w:sz="0" w:space="0" w:color="auto"/>
        <w:right w:val="none" w:sz="0" w:space="0" w:color="auto"/>
      </w:divBdr>
    </w:div>
    <w:div w:id="1675063729">
      <w:bodyDiv w:val="1"/>
      <w:marLeft w:val="0"/>
      <w:marRight w:val="0"/>
      <w:marTop w:val="0"/>
      <w:marBottom w:val="0"/>
      <w:divBdr>
        <w:top w:val="none" w:sz="0" w:space="0" w:color="auto"/>
        <w:left w:val="none" w:sz="0" w:space="0" w:color="auto"/>
        <w:bottom w:val="none" w:sz="0" w:space="0" w:color="auto"/>
        <w:right w:val="none" w:sz="0" w:space="0" w:color="auto"/>
      </w:divBdr>
    </w:div>
    <w:div w:id="1680112312">
      <w:bodyDiv w:val="1"/>
      <w:marLeft w:val="0"/>
      <w:marRight w:val="0"/>
      <w:marTop w:val="0"/>
      <w:marBottom w:val="0"/>
      <w:divBdr>
        <w:top w:val="none" w:sz="0" w:space="0" w:color="auto"/>
        <w:left w:val="none" w:sz="0" w:space="0" w:color="auto"/>
        <w:bottom w:val="none" w:sz="0" w:space="0" w:color="auto"/>
        <w:right w:val="none" w:sz="0" w:space="0" w:color="auto"/>
      </w:divBdr>
    </w:div>
    <w:div w:id="1682051754">
      <w:bodyDiv w:val="1"/>
      <w:marLeft w:val="0"/>
      <w:marRight w:val="0"/>
      <w:marTop w:val="0"/>
      <w:marBottom w:val="0"/>
      <w:divBdr>
        <w:top w:val="none" w:sz="0" w:space="0" w:color="auto"/>
        <w:left w:val="none" w:sz="0" w:space="0" w:color="auto"/>
        <w:bottom w:val="none" w:sz="0" w:space="0" w:color="auto"/>
        <w:right w:val="none" w:sz="0" w:space="0" w:color="auto"/>
      </w:divBdr>
    </w:div>
    <w:div w:id="1719936583">
      <w:bodyDiv w:val="1"/>
      <w:marLeft w:val="0"/>
      <w:marRight w:val="0"/>
      <w:marTop w:val="0"/>
      <w:marBottom w:val="0"/>
      <w:divBdr>
        <w:top w:val="none" w:sz="0" w:space="0" w:color="auto"/>
        <w:left w:val="none" w:sz="0" w:space="0" w:color="auto"/>
        <w:bottom w:val="none" w:sz="0" w:space="0" w:color="auto"/>
        <w:right w:val="none" w:sz="0" w:space="0" w:color="auto"/>
      </w:divBdr>
    </w:div>
    <w:div w:id="1748111796">
      <w:bodyDiv w:val="1"/>
      <w:marLeft w:val="0"/>
      <w:marRight w:val="0"/>
      <w:marTop w:val="0"/>
      <w:marBottom w:val="0"/>
      <w:divBdr>
        <w:top w:val="none" w:sz="0" w:space="0" w:color="auto"/>
        <w:left w:val="none" w:sz="0" w:space="0" w:color="auto"/>
        <w:bottom w:val="none" w:sz="0" w:space="0" w:color="auto"/>
        <w:right w:val="none" w:sz="0" w:space="0" w:color="auto"/>
      </w:divBdr>
      <w:divsChild>
        <w:div w:id="593365228">
          <w:marLeft w:val="274"/>
          <w:marRight w:val="0"/>
          <w:marTop w:val="0"/>
          <w:marBottom w:val="0"/>
          <w:divBdr>
            <w:top w:val="none" w:sz="0" w:space="0" w:color="auto"/>
            <w:left w:val="none" w:sz="0" w:space="0" w:color="auto"/>
            <w:bottom w:val="none" w:sz="0" w:space="0" w:color="auto"/>
            <w:right w:val="none" w:sz="0" w:space="0" w:color="auto"/>
          </w:divBdr>
        </w:div>
        <w:div w:id="911892236">
          <w:marLeft w:val="274"/>
          <w:marRight w:val="0"/>
          <w:marTop w:val="0"/>
          <w:marBottom w:val="120"/>
          <w:divBdr>
            <w:top w:val="none" w:sz="0" w:space="0" w:color="auto"/>
            <w:left w:val="none" w:sz="0" w:space="0" w:color="auto"/>
            <w:bottom w:val="none" w:sz="0" w:space="0" w:color="auto"/>
            <w:right w:val="none" w:sz="0" w:space="0" w:color="auto"/>
          </w:divBdr>
        </w:div>
      </w:divsChild>
    </w:div>
    <w:div w:id="1753046441">
      <w:bodyDiv w:val="1"/>
      <w:marLeft w:val="0"/>
      <w:marRight w:val="0"/>
      <w:marTop w:val="0"/>
      <w:marBottom w:val="0"/>
      <w:divBdr>
        <w:top w:val="none" w:sz="0" w:space="0" w:color="auto"/>
        <w:left w:val="none" w:sz="0" w:space="0" w:color="auto"/>
        <w:bottom w:val="none" w:sz="0" w:space="0" w:color="auto"/>
        <w:right w:val="none" w:sz="0" w:space="0" w:color="auto"/>
      </w:divBdr>
      <w:divsChild>
        <w:div w:id="550650069">
          <w:marLeft w:val="274"/>
          <w:marRight w:val="0"/>
          <w:marTop w:val="0"/>
          <w:marBottom w:val="0"/>
          <w:divBdr>
            <w:top w:val="none" w:sz="0" w:space="0" w:color="auto"/>
            <w:left w:val="none" w:sz="0" w:space="0" w:color="auto"/>
            <w:bottom w:val="none" w:sz="0" w:space="0" w:color="auto"/>
            <w:right w:val="none" w:sz="0" w:space="0" w:color="auto"/>
          </w:divBdr>
        </w:div>
        <w:div w:id="871307772">
          <w:marLeft w:val="274"/>
          <w:marRight w:val="0"/>
          <w:marTop w:val="0"/>
          <w:marBottom w:val="0"/>
          <w:divBdr>
            <w:top w:val="none" w:sz="0" w:space="0" w:color="auto"/>
            <w:left w:val="none" w:sz="0" w:space="0" w:color="auto"/>
            <w:bottom w:val="none" w:sz="0" w:space="0" w:color="auto"/>
            <w:right w:val="none" w:sz="0" w:space="0" w:color="auto"/>
          </w:divBdr>
        </w:div>
        <w:div w:id="1011026005">
          <w:marLeft w:val="274"/>
          <w:marRight w:val="0"/>
          <w:marTop w:val="0"/>
          <w:marBottom w:val="0"/>
          <w:divBdr>
            <w:top w:val="none" w:sz="0" w:space="0" w:color="auto"/>
            <w:left w:val="none" w:sz="0" w:space="0" w:color="auto"/>
            <w:bottom w:val="none" w:sz="0" w:space="0" w:color="auto"/>
            <w:right w:val="none" w:sz="0" w:space="0" w:color="auto"/>
          </w:divBdr>
        </w:div>
        <w:div w:id="1578245389">
          <w:marLeft w:val="274"/>
          <w:marRight w:val="0"/>
          <w:marTop w:val="0"/>
          <w:marBottom w:val="0"/>
          <w:divBdr>
            <w:top w:val="none" w:sz="0" w:space="0" w:color="auto"/>
            <w:left w:val="none" w:sz="0" w:space="0" w:color="auto"/>
            <w:bottom w:val="none" w:sz="0" w:space="0" w:color="auto"/>
            <w:right w:val="none" w:sz="0" w:space="0" w:color="auto"/>
          </w:divBdr>
        </w:div>
        <w:div w:id="1732996108">
          <w:marLeft w:val="274"/>
          <w:marRight w:val="0"/>
          <w:marTop w:val="0"/>
          <w:marBottom w:val="0"/>
          <w:divBdr>
            <w:top w:val="none" w:sz="0" w:space="0" w:color="auto"/>
            <w:left w:val="none" w:sz="0" w:space="0" w:color="auto"/>
            <w:bottom w:val="none" w:sz="0" w:space="0" w:color="auto"/>
            <w:right w:val="none" w:sz="0" w:space="0" w:color="auto"/>
          </w:divBdr>
        </w:div>
        <w:div w:id="1747454811">
          <w:marLeft w:val="274"/>
          <w:marRight w:val="0"/>
          <w:marTop w:val="0"/>
          <w:marBottom w:val="0"/>
          <w:divBdr>
            <w:top w:val="none" w:sz="0" w:space="0" w:color="auto"/>
            <w:left w:val="none" w:sz="0" w:space="0" w:color="auto"/>
            <w:bottom w:val="none" w:sz="0" w:space="0" w:color="auto"/>
            <w:right w:val="none" w:sz="0" w:space="0" w:color="auto"/>
          </w:divBdr>
        </w:div>
      </w:divsChild>
    </w:div>
    <w:div w:id="1769688970">
      <w:bodyDiv w:val="1"/>
      <w:marLeft w:val="0"/>
      <w:marRight w:val="0"/>
      <w:marTop w:val="0"/>
      <w:marBottom w:val="0"/>
      <w:divBdr>
        <w:top w:val="none" w:sz="0" w:space="0" w:color="auto"/>
        <w:left w:val="none" w:sz="0" w:space="0" w:color="auto"/>
        <w:bottom w:val="none" w:sz="0" w:space="0" w:color="auto"/>
        <w:right w:val="none" w:sz="0" w:space="0" w:color="auto"/>
      </w:divBdr>
      <w:divsChild>
        <w:div w:id="167643228">
          <w:marLeft w:val="547"/>
          <w:marRight w:val="0"/>
          <w:marTop w:val="58"/>
          <w:marBottom w:val="0"/>
          <w:divBdr>
            <w:top w:val="none" w:sz="0" w:space="0" w:color="auto"/>
            <w:left w:val="none" w:sz="0" w:space="0" w:color="auto"/>
            <w:bottom w:val="none" w:sz="0" w:space="0" w:color="auto"/>
            <w:right w:val="none" w:sz="0" w:space="0" w:color="auto"/>
          </w:divBdr>
        </w:div>
        <w:div w:id="290794613">
          <w:marLeft w:val="547"/>
          <w:marRight w:val="0"/>
          <w:marTop w:val="58"/>
          <w:marBottom w:val="0"/>
          <w:divBdr>
            <w:top w:val="none" w:sz="0" w:space="0" w:color="auto"/>
            <w:left w:val="none" w:sz="0" w:space="0" w:color="auto"/>
            <w:bottom w:val="none" w:sz="0" w:space="0" w:color="auto"/>
            <w:right w:val="none" w:sz="0" w:space="0" w:color="auto"/>
          </w:divBdr>
        </w:div>
        <w:div w:id="806896576">
          <w:marLeft w:val="547"/>
          <w:marRight w:val="0"/>
          <w:marTop w:val="58"/>
          <w:marBottom w:val="0"/>
          <w:divBdr>
            <w:top w:val="none" w:sz="0" w:space="0" w:color="auto"/>
            <w:left w:val="none" w:sz="0" w:space="0" w:color="auto"/>
            <w:bottom w:val="none" w:sz="0" w:space="0" w:color="auto"/>
            <w:right w:val="none" w:sz="0" w:space="0" w:color="auto"/>
          </w:divBdr>
        </w:div>
        <w:div w:id="1671903579">
          <w:marLeft w:val="547"/>
          <w:marRight w:val="0"/>
          <w:marTop w:val="58"/>
          <w:marBottom w:val="0"/>
          <w:divBdr>
            <w:top w:val="none" w:sz="0" w:space="0" w:color="auto"/>
            <w:left w:val="none" w:sz="0" w:space="0" w:color="auto"/>
            <w:bottom w:val="none" w:sz="0" w:space="0" w:color="auto"/>
            <w:right w:val="none" w:sz="0" w:space="0" w:color="auto"/>
          </w:divBdr>
        </w:div>
        <w:div w:id="1993944057">
          <w:marLeft w:val="547"/>
          <w:marRight w:val="0"/>
          <w:marTop w:val="58"/>
          <w:marBottom w:val="0"/>
          <w:divBdr>
            <w:top w:val="none" w:sz="0" w:space="0" w:color="auto"/>
            <w:left w:val="none" w:sz="0" w:space="0" w:color="auto"/>
            <w:bottom w:val="none" w:sz="0" w:space="0" w:color="auto"/>
            <w:right w:val="none" w:sz="0" w:space="0" w:color="auto"/>
          </w:divBdr>
        </w:div>
      </w:divsChild>
    </w:div>
    <w:div w:id="1769740773">
      <w:bodyDiv w:val="1"/>
      <w:marLeft w:val="0"/>
      <w:marRight w:val="0"/>
      <w:marTop w:val="0"/>
      <w:marBottom w:val="0"/>
      <w:divBdr>
        <w:top w:val="none" w:sz="0" w:space="0" w:color="auto"/>
        <w:left w:val="none" w:sz="0" w:space="0" w:color="auto"/>
        <w:bottom w:val="none" w:sz="0" w:space="0" w:color="auto"/>
        <w:right w:val="none" w:sz="0" w:space="0" w:color="auto"/>
      </w:divBdr>
      <w:divsChild>
        <w:div w:id="371925814">
          <w:marLeft w:val="1123"/>
          <w:marRight w:val="0"/>
          <w:marTop w:val="58"/>
          <w:marBottom w:val="0"/>
          <w:divBdr>
            <w:top w:val="none" w:sz="0" w:space="0" w:color="auto"/>
            <w:left w:val="none" w:sz="0" w:space="0" w:color="auto"/>
            <w:bottom w:val="none" w:sz="0" w:space="0" w:color="auto"/>
            <w:right w:val="none" w:sz="0" w:space="0" w:color="auto"/>
          </w:divBdr>
        </w:div>
        <w:div w:id="1304969415">
          <w:marLeft w:val="1123"/>
          <w:marRight w:val="0"/>
          <w:marTop w:val="58"/>
          <w:marBottom w:val="0"/>
          <w:divBdr>
            <w:top w:val="none" w:sz="0" w:space="0" w:color="auto"/>
            <w:left w:val="none" w:sz="0" w:space="0" w:color="auto"/>
            <w:bottom w:val="none" w:sz="0" w:space="0" w:color="auto"/>
            <w:right w:val="none" w:sz="0" w:space="0" w:color="auto"/>
          </w:divBdr>
        </w:div>
      </w:divsChild>
    </w:div>
    <w:div w:id="1778325560">
      <w:bodyDiv w:val="1"/>
      <w:marLeft w:val="0"/>
      <w:marRight w:val="0"/>
      <w:marTop w:val="0"/>
      <w:marBottom w:val="0"/>
      <w:divBdr>
        <w:top w:val="none" w:sz="0" w:space="0" w:color="auto"/>
        <w:left w:val="none" w:sz="0" w:space="0" w:color="auto"/>
        <w:bottom w:val="none" w:sz="0" w:space="0" w:color="auto"/>
        <w:right w:val="none" w:sz="0" w:space="0" w:color="auto"/>
      </w:divBdr>
    </w:div>
    <w:div w:id="1786149324">
      <w:bodyDiv w:val="1"/>
      <w:marLeft w:val="0"/>
      <w:marRight w:val="0"/>
      <w:marTop w:val="0"/>
      <w:marBottom w:val="0"/>
      <w:divBdr>
        <w:top w:val="none" w:sz="0" w:space="0" w:color="auto"/>
        <w:left w:val="none" w:sz="0" w:space="0" w:color="auto"/>
        <w:bottom w:val="none" w:sz="0" w:space="0" w:color="auto"/>
        <w:right w:val="none" w:sz="0" w:space="0" w:color="auto"/>
      </w:divBdr>
    </w:div>
    <w:div w:id="1850830903">
      <w:bodyDiv w:val="1"/>
      <w:marLeft w:val="0"/>
      <w:marRight w:val="0"/>
      <w:marTop w:val="0"/>
      <w:marBottom w:val="0"/>
      <w:divBdr>
        <w:top w:val="none" w:sz="0" w:space="0" w:color="auto"/>
        <w:left w:val="none" w:sz="0" w:space="0" w:color="auto"/>
        <w:bottom w:val="none" w:sz="0" w:space="0" w:color="auto"/>
        <w:right w:val="none" w:sz="0" w:space="0" w:color="auto"/>
      </w:divBdr>
    </w:div>
    <w:div w:id="1862821874">
      <w:bodyDiv w:val="1"/>
      <w:marLeft w:val="0"/>
      <w:marRight w:val="0"/>
      <w:marTop w:val="0"/>
      <w:marBottom w:val="0"/>
      <w:divBdr>
        <w:top w:val="none" w:sz="0" w:space="0" w:color="auto"/>
        <w:left w:val="none" w:sz="0" w:space="0" w:color="auto"/>
        <w:bottom w:val="none" w:sz="0" w:space="0" w:color="auto"/>
        <w:right w:val="none" w:sz="0" w:space="0" w:color="auto"/>
      </w:divBdr>
    </w:div>
    <w:div w:id="1866821331">
      <w:bodyDiv w:val="1"/>
      <w:marLeft w:val="0"/>
      <w:marRight w:val="0"/>
      <w:marTop w:val="0"/>
      <w:marBottom w:val="0"/>
      <w:divBdr>
        <w:top w:val="none" w:sz="0" w:space="0" w:color="auto"/>
        <w:left w:val="none" w:sz="0" w:space="0" w:color="auto"/>
        <w:bottom w:val="none" w:sz="0" w:space="0" w:color="auto"/>
        <w:right w:val="none" w:sz="0" w:space="0" w:color="auto"/>
      </w:divBdr>
    </w:div>
    <w:div w:id="1870020421">
      <w:bodyDiv w:val="1"/>
      <w:marLeft w:val="0"/>
      <w:marRight w:val="0"/>
      <w:marTop w:val="0"/>
      <w:marBottom w:val="0"/>
      <w:divBdr>
        <w:top w:val="none" w:sz="0" w:space="0" w:color="auto"/>
        <w:left w:val="none" w:sz="0" w:space="0" w:color="auto"/>
        <w:bottom w:val="none" w:sz="0" w:space="0" w:color="auto"/>
        <w:right w:val="none" w:sz="0" w:space="0" w:color="auto"/>
      </w:divBdr>
    </w:div>
    <w:div w:id="1885553640">
      <w:bodyDiv w:val="1"/>
      <w:marLeft w:val="0"/>
      <w:marRight w:val="0"/>
      <w:marTop w:val="0"/>
      <w:marBottom w:val="0"/>
      <w:divBdr>
        <w:top w:val="none" w:sz="0" w:space="0" w:color="auto"/>
        <w:left w:val="none" w:sz="0" w:space="0" w:color="auto"/>
        <w:bottom w:val="none" w:sz="0" w:space="0" w:color="auto"/>
        <w:right w:val="none" w:sz="0" w:space="0" w:color="auto"/>
      </w:divBdr>
    </w:div>
    <w:div w:id="1888224813">
      <w:bodyDiv w:val="1"/>
      <w:marLeft w:val="0"/>
      <w:marRight w:val="0"/>
      <w:marTop w:val="0"/>
      <w:marBottom w:val="0"/>
      <w:divBdr>
        <w:top w:val="none" w:sz="0" w:space="0" w:color="auto"/>
        <w:left w:val="none" w:sz="0" w:space="0" w:color="auto"/>
        <w:bottom w:val="none" w:sz="0" w:space="0" w:color="auto"/>
        <w:right w:val="none" w:sz="0" w:space="0" w:color="auto"/>
      </w:divBdr>
    </w:div>
    <w:div w:id="1893079345">
      <w:bodyDiv w:val="1"/>
      <w:marLeft w:val="0"/>
      <w:marRight w:val="0"/>
      <w:marTop w:val="0"/>
      <w:marBottom w:val="0"/>
      <w:divBdr>
        <w:top w:val="none" w:sz="0" w:space="0" w:color="auto"/>
        <w:left w:val="none" w:sz="0" w:space="0" w:color="auto"/>
        <w:bottom w:val="none" w:sz="0" w:space="0" w:color="auto"/>
        <w:right w:val="none" w:sz="0" w:space="0" w:color="auto"/>
      </w:divBdr>
    </w:div>
    <w:div w:id="1909805291">
      <w:bodyDiv w:val="1"/>
      <w:marLeft w:val="0"/>
      <w:marRight w:val="0"/>
      <w:marTop w:val="0"/>
      <w:marBottom w:val="0"/>
      <w:divBdr>
        <w:top w:val="none" w:sz="0" w:space="0" w:color="auto"/>
        <w:left w:val="none" w:sz="0" w:space="0" w:color="auto"/>
        <w:bottom w:val="none" w:sz="0" w:space="0" w:color="auto"/>
        <w:right w:val="none" w:sz="0" w:space="0" w:color="auto"/>
      </w:divBdr>
    </w:div>
    <w:div w:id="1915772088">
      <w:bodyDiv w:val="1"/>
      <w:marLeft w:val="0"/>
      <w:marRight w:val="0"/>
      <w:marTop w:val="0"/>
      <w:marBottom w:val="0"/>
      <w:divBdr>
        <w:top w:val="none" w:sz="0" w:space="0" w:color="auto"/>
        <w:left w:val="none" w:sz="0" w:space="0" w:color="auto"/>
        <w:bottom w:val="none" w:sz="0" w:space="0" w:color="auto"/>
        <w:right w:val="none" w:sz="0" w:space="0" w:color="auto"/>
      </w:divBdr>
    </w:div>
    <w:div w:id="1919707373">
      <w:bodyDiv w:val="1"/>
      <w:marLeft w:val="0"/>
      <w:marRight w:val="0"/>
      <w:marTop w:val="0"/>
      <w:marBottom w:val="0"/>
      <w:divBdr>
        <w:top w:val="none" w:sz="0" w:space="0" w:color="auto"/>
        <w:left w:val="none" w:sz="0" w:space="0" w:color="auto"/>
        <w:bottom w:val="none" w:sz="0" w:space="0" w:color="auto"/>
        <w:right w:val="none" w:sz="0" w:space="0" w:color="auto"/>
      </w:divBdr>
    </w:div>
    <w:div w:id="1929465832">
      <w:bodyDiv w:val="1"/>
      <w:marLeft w:val="0"/>
      <w:marRight w:val="0"/>
      <w:marTop w:val="0"/>
      <w:marBottom w:val="0"/>
      <w:divBdr>
        <w:top w:val="none" w:sz="0" w:space="0" w:color="auto"/>
        <w:left w:val="none" w:sz="0" w:space="0" w:color="auto"/>
        <w:bottom w:val="none" w:sz="0" w:space="0" w:color="auto"/>
        <w:right w:val="none" w:sz="0" w:space="0" w:color="auto"/>
      </w:divBdr>
    </w:div>
    <w:div w:id="1972317742">
      <w:bodyDiv w:val="1"/>
      <w:marLeft w:val="0"/>
      <w:marRight w:val="0"/>
      <w:marTop w:val="0"/>
      <w:marBottom w:val="0"/>
      <w:divBdr>
        <w:top w:val="none" w:sz="0" w:space="0" w:color="auto"/>
        <w:left w:val="none" w:sz="0" w:space="0" w:color="auto"/>
        <w:bottom w:val="none" w:sz="0" w:space="0" w:color="auto"/>
        <w:right w:val="none" w:sz="0" w:space="0" w:color="auto"/>
      </w:divBdr>
    </w:div>
    <w:div w:id="2001151449">
      <w:bodyDiv w:val="1"/>
      <w:marLeft w:val="0"/>
      <w:marRight w:val="0"/>
      <w:marTop w:val="0"/>
      <w:marBottom w:val="0"/>
      <w:divBdr>
        <w:top w:val="none" w:sz="0" w:space="0" w:color="auto"/>
        <w:left w:val="none" w:sz="0" w:space="0" w:color="auto"/>
        <w:bottom w:val="none" w:sz="0" w:space="0" w:color="auto"/>
        <w:right w:val="none" w:sz="0" w:space="0" w:color="auto"/>
      </w:divBdr>
    </w:div>
    <w:div w:id="2006933190">
      <w:bodyDiv w:val="1"/>
      <w:marLeft w:val="0"/>
      <w:marRight w:val="0"/>
      <w:marTop w:val="0"/>
      <w:marBottom w:val="0"/>
      <w:divBdr>
        <w:top w:val="none" w:sz="0" w:space="0" w:color="auto"/>
        <w:left w:val="none" w:sz="0" w:space="0" w:color="auto"/>
        <w:bottom w:val="none" w:sz="0" w:space="0" w:color="auto"/>
        <w:right w:val="none" w:sz="0" w:space="0" w:color="auto"/>
      </w:divBdr>
    </w:div>
    <w:div w:id="2017223165">
      <w:bodyDiv w:val="1"/>
      <w:marLeft w:val="0"/>
      <w:marRight w:val="0"/>
      <w:marTop w:val="0"/>
      <w:marBottom w:val="0"/>
      <w:divBdr>
        <w:top w:val="none" w:sz="0" w:space="0" w:color="auto"/>
        <w:left w:val="none" w:sz="0" w:space="0" w:color="auto"/>
        <w:bottom w:val="none" w:sz="0" w:space="0" w:color="auto"/>
        <w:right w:val="none" w:sz="0" w:space="0" w:color="auto"/>
      </w:divBdr>
    </w:div>
    <w:div w:id="2058698757">
      <w:bodyDiv w:val="1"/>
      <w:marLeft w:val="0"/>
      <w:marRight w:val="0"/>
      <w:marTop w:val="0"/>
      <w:marBottom w:val="0"/>
      <w:divBdr>
        <w:top w:val="none" w:sz="0" w:space="0" w:color="auto"/>
        <w:left w:val="none" w:sz="0" w:space="0" w:color="auto"/>
        <w:bottom w:val="none" w:sz="0" w:space="0" w:color="auto"/>
        <w:right w:val="none" w:sz="0" w:space="0" w:color="auto"/>
      </w:divBdr>
      <w:divsChild>
        <w:div w:id="878589212">
          <w:marLeft w:val="1123"/>
          <w:marRight w:val="0"/>
          <w:marTop w:val="58"/>
          <w:marBottom w:val="0"/>
          <w:divBdr>
            <w:top w:val="none" w:sz="0" w:space="0" w:color="auto"/>
            <w:left w:val="none" w:sz="0" w:space="0" w:color="auto"/>
            <w:bottom w:val="none" w:sz="0" w:space="0" w:color="auto"/>
            <w:right w:val="none" w:sz="0" w:space="0" w:color="auto"/>
          </w:divBdr>
        </w:div>
        <w:div w:id="884178067">
          <w:marLeft w:val="1699"/>
          <w:marRight w:val="0"/>
          <w:marTop w:val="58"/>
          <w:marBottom w:val="0"/>
          <w:divBdr>
            <w:top w:val="none" w:sz="0" w:space="0" w:color="auto"/>
            <w:left w:val="none" w:sz="0" w:space="0" w:color="auto"/>
            <w:bottom w:val="none" w:sz="0" w:space="0" w:color="auto"/>
            <w:right w:val="none" w:sz="0" w:space="0" w:color="auto"/>
          </w:divBdr>
        </w:div>
        <w:div w:id="920717584">
          <w:marLeft w:val="1123"/>
          <w:marRight w:val="0"/>
          <w:marTop w:val="58"/>
          <w:marBottom w:val="0"/>
          <w:divBdr>
            <w:top w:val="none" w:sz="0" w:space="0" w:color="auto"/>
            <w:left w:val="none" w:sz="0" w:space="0" w:color="auto"/>
            <w:bottom w:val="none" w:sz="0" w:space="0" w:color="auto"/>
            <w:right w:val="none" w:sz="0" w:space="0" w:color="auto"/>
          </w:divBdr>
        </w:div>
        <w:div w:id="1157040837">
          <w:marLeft w:val="1699"/>
          <w:marRight w:val="0"/>
          <w:marTop w:val="58"/>
          <w:marBottom w:val="0"/>
          <w:divBdr>
            <w:top w:val="none" w:sz="0" w:space="0" w:color="auto"/>
            <w:left w:val="none" w:sz="0" w:space="0" w:color="auto"/>
            <w:bottom w:val="none" w:sz="0" w:space="0" w:color="auto"/>
            <w:right w:val="none" w:sz="0" w:space="0" w:color="auto"/>
          </w:divBdr>
        </w:div>
        <w:div w:id="1241330220">
          <w:marLeft w:val="547"/>
          <w:marRight w:val="0"/>
          <w:marTop w:val="58"/>
          <w:marBottom w:val="0"/>
          <w:divBdr>
            <w:top w:val="none" w:sz="0" w:space="0" w:color="auto"/>
            <w:left w:val="none" w:sz="0" w:space="0" w:color="auto"/>
            <w:bottom w:val="none" w:sz="0" w:space="0" w:color="auto"/>
            <w:right w:val="none" w:sz="0" w:space="0" w:color="auto"/>
          </w:divBdr>
        </w:div>
        <w:div w:id="1269854010">
          <w:marLeft w:val="1123"/>
          <w:marRight w:val="0"/>
          <w:marTop w:val="58"/>
          <w:marBottom w:val="0"/>
          <w:divBdr>
            <w:top w:val="none" w:sz="0" w:space="0" w:color="auto"/>
            <w:left w:val="none" w:sz="0" w:space="0" w:color="auto"/>
            <w:bottom w:val="none" w:sz="0" w:space="0" w:color="auto"/>
            <w:right w:val="none" w:sz="0" w:space="0" w:color="auto"/>
          </w:divBdr>
        </w:div>
        <w:div w:id="1391153733">
          <w:marLeft w:val="1123"/>
          <w:marRight w:val="0"/>
          <w:marTop w:val="58"/>
          <w:marBottom w:val="0"/>
          <w:divBdr>
            <w:top w:val="none" w:sz="0" w:space="0" w:color="auto"/>
            <w:left w:val="none" w:sz="0" w:space="0" w:color="auto"/>
            <w:bottom w:val="none" w:sz="0" w:space="0" w:color="auto"/>
            <w:right w:val="none" w:sz="0" w:space="0" w:color="auto"/>
          </w:divBdr>
        </w:div>
        <w:div w:id="1540242603">
          <w:marLeft w:val="547"/>
          <w:marRight w:val="0"/>
          <w:marTop w:val="58"/>
          <w:marBottom w:val="0"/>
          <w:divBdr>
            <w:top w:val="none" w:sz="0" w:space="0" w:color="auto"/>
            <w:left w:val="none" w:sz="0" w:space="0" w:color="auto"/>
            <w:bottom w:val="none" w:sz="0" w:space="0" w:color="auto"/>
            <w:right w:val="none" w:sz="0" w:space="0" w:color="auto"/>
          </w:divBdr>
        </w:div>
        <w:div w:id="1825120271">
          <w:marLeft w:val="1123"/>
          <w:marRight w:val="0"/>
          <w:marTop w:val="58"/>
          <w:marBottom w:val="0"/>
          <w:divBdr>
            <w:top w:val="none" w:sz="0" w:space="0" w:color="auto"/>
            <w:left w:val="none" w:sz="0" w:space="0" w:color="auto"/>
            <w:bottom w:val="none" w:sz="0" w:space="0" w:color="auto"/>
            <w:right w:val="none" w:sz="0" w:space="0" w:color="auto"/>
          </w:divBdr>
        </w:div>
      </w:divsChild>
    </w:div>
    <w:div w:id="2067022957">
      <w:bodyDiv w:val="1"/>
      <w:marLeft w:val="0"/>
      <w:marRight w:val="0"/>
      <w:marTop w:val="0"/>
      <w:marBottom w:val="0"/>
      <w:divBdr>
        <w:top w:val="none" w:sz="0" w:space="0" w:color="auto"/>
        <w:left w:val="none" w:sz="0" w:space="0" w:color="auto"/>
        <w:bottom w:val="none" w:sz="0" w:space="0" w:color="auto"/>
        <w:right w:val="none" w:sz="0" w:space="0" w:color="auto"/>
      </w:divBdr>
    </w:div>
    <w:div w:id="2071921459">
      <w:bodyDiv w:val="1"/>
      <w:marLeft w:val="0"/>
      <w:marRight w:val="0"/>
      <w:marTop w:val="0"/>
      <w:marBottom w:val="0"/>
      <w:divBdr>
        <w:top w:val="none" w:sz="0" w:space="0" w:color="auto"/>
        <w:left w:val="none" w:sz="0" w:space="0" w:color="auto"/>
        <w:bottom w:val="none" w:sz="0" w:space="0" w:color="auto"/>
        <w:right w:val="none" w:sz="0" w:space="0" w:color="auto"/>
      </w:divBdr>
    </w:div>
    <w:div w:id="2088964334">
      <w:bodyDiv w:val="1"/>
      <w:marLeft w:val="0"/>
      <w:marRight w:val="0"/>
      <w:marTop w:val="0"/>
      <w:marBottom w:val="0"/>
      <w:divBdr>
        <w:top w:val="none" w:sz="0" w:space="0" w:color="auto"/>
        <w:left w:val="none" w:sz="0" w:space="0" w:color="auto"/>
        <w:bottom w:val="none" w:sz="0" w:space="0" w:color="auto"/>
        <w:right w:val="none" w:sz="0" w:space="0" w:color="auto"/>
      </w:divBdr>
    </w:div>
    <w:div w:id="2091999896">
      <w:bodyDiv w:val="1"/>
      <w:marLeft w:val="0"/>
      <w:marRight w:val="0"/>
      <w:marTop w:val="0"/>
      <w:marBottom w:val="0"/>
      <w:divBdr>
        <w:top w:val="none" w:sz="0" w:space="0" w:color="auto"/>
        <w:left w:val="none" w:sz="0" w:space="0" w:color="auto"/>
        <w:bottom w:val="none" w:sz="0" w:space="0" w:color="auto"/>
        <w:right w:val="none" w:sz="0" w:space="0" w:color="auto"/>
      </w:divBdr>
    </w:div>
    <w:div w:id="2094352990">
      <w:bodyDiv w:val="1"/>
      <w:marLeft w:val="0"/>
      <w:marRight w:val="0"/>
      <w:marTop w:val="0"/>
      <w:marBottom w:val="0"/>
      <w:divBdr>
        <w:top w:val="none" w:sz="0" w:space="0" w:color="auto"/>
        <w:left w:val="none" w:sz="0" w:space="0" w:color="auto"/>
        <w:bottom w:val="none" w:sz="0" w:space="0" w:color="auto"/>
        <w:right w:val="none" w:sz="0" w:space="0" w:color="auto"/>
      </w:divBdr>
    </w:div>
    <w:div w:id="213243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www.humanservices.gov.au/individuals/enablers/payment-rates-disability-support-pens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pmc.gov.au/sites/default/files/publications/individuals-guidance-note_0.pdf" TargetMode="External"/><Relationship Id="rId2" Type="http://schemas.openxmlformats.org/officeDocument/2006/relationships/numbering" Target="numbering.xml"/><Relationship Id="rId16" Type="http://schemas.openxmlformats.org/officeDocument/2006/relationships/hyperlink" Target="https://www.driverknowledgetests.com/resources/traffic-lights-austral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ustry.gov.au/industry/IndustrySectors/buildingandconstruction/Pages/PremisesStandardsReview.aspx" TargetMode="External"/><Relationship Id="rId5" Type="http://schemas.openxmlformats.org/officeDocument/2006/relationships/webSettings" Target="webSettings.xml"/><Relationship Id="rId15" Type="http://schemas.openxmlformats.org/officeDocument/2006/relationships/hyperlink" Target="https://infrastructure.gov.au/infrastructure/pab/soac/files/2015_SoAC_full_report.pdf" TargetMode="External"/><Relationship Id="rId10" Type="http://schemas.openxmlformats.org/officeDocument/2006/relationships/footer" Target="footer1.xml"/><Relationship Id="rId19" Type="http://schemas.openxmlformats.org/officeDocument/2006/relationships/hyperlink" Target="http://www.abs.gov.au/ausstats/abs@.nsf/mf/630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x.doi.org/10.1111/jir.12175" TargetMode="External"/><Relationship Id="rId13" Type="http://schemas.openxmlformats.org/officeDocument/2006/relationships/hyperlink" Target="http://www.abs.gov.au/ausstats/abs@.nsf/mf/4430.0" TargetMode="External"/><Relationship Id="rId18" Type="http://schemas.openxmlformats.org/officeDocument/2006/relationships/hyperlink" Target="http://www.ncoa.gov.au/report/phase-one/part-b/7-2-the-national-disability-insurance-scheme.html" TargetMode="External"/><Relationship Id="rId26" Type="http://schemas.openxmlformats.org/officeDocument/2006/relationships/hyperlink" Target="http://www.jcdecauxna.com/sites/default/files/assets/mall/documents/studies/MallPhenomenon.pdf" TargetMode="External"/><Relationship Id="rId3" Type="http://schemas.openxmlformats.org/officeDocument/2006/relationships/hyperlink" Target="http://www.changing-places.org/about_us.aspx" TargetMode="External"/><Relationship Id="rId21" Type="http://schemas.openxmlformats.org/officeDocument/2006/relationships/hyperlink" Target="https://www.pc.gov.au/inquiries/completed/disability-support/report" TargetMode="External"/><Relationship Id="rId7" Type="http://schemas.openxmlformats.org/officeDocument/2006/relationships/hyperlink" Target="http://doi.org/10.1371/journal.pone.0100100" TargetMode="External"/><Relationship Id="rId12" Type="http://schemas.openxmlformats.org/officeDocument/2006/relationships/hyperlink" Target="https://www.brisbane.qld.gov.au/sites/default/files/public_toilet_design_guidelines_updated.pdf" TargetMode="External"/><Relationship Id="rId17" Type="http://schemas.openxmlformats.org/officeDocument/2006/relationships/hyperlink" Target="http://changing-places.org/LinkClick.aspx?fileticket=X7QNBxsyhMU=&amp;tabid=67" TargetMode="External"/><Relationship Id="rId25" Type="http://schemas.openxmlformats.org/officeDocument/2006/relationships/hyperlink" Target="http://www.scca.org.au/wp-content/uploads/2015/06/Briefing-Note-Shopping-Centre-Redevelopment.pdf" TargetMode="External"/><Relationship Id="rId2" Type="http://schemas.openxmlformats.org/officeDocument/2006/relationships/hyperlink" Target="http://www.changingplaces.org/the_campaign/what_are_changing_places_toilets_.aspx" TargetMode="External"/><Relationship Id="rId16" Type="http://schemas.openxmlformats.org/officeDocument/2006/relationships/hyperlink" Target="https://www.aihw.gov.au/getmedia/0fc2a011-d290-42ef-a610-85073ef2909e/15387.pdf.aspx?inline=true" TargetMode="External"/><Relationship Id="rId20" Type="http://schemas.openxmlformats.org/officeDocument/2006/relationships/hyperlink" Target="https://www.cuttingredtape.gov.au/sites/default/files/files/Australian_Government_Guide_to_Regulation.pdf" TargetMode="External"/><Relationship Id="rId1" Type="http://schemas.openxmlformats.org/officeDocument/2006/relationships/hyperlink" Target="https://www.pmc.gov.au/resource-centre/regulation/australian-government-guide-regulation" TargetMode="External"/><Relationship Id="rId6" Type="http://schemas.openxmlformats.org/officeDocument/2006/relationships/hyperlink" Target="https://consult.industry.gov.au/premises-standards-review-team/review-of-the-premises-standards-2010/consultation/published_select_respondent" TargetMode="External"/><Relationship Id="rId11" Type="http://schemas.openxmlformats.org/officeDocument/2006/relationships/hyperlink" Target="http://www.disability.wa.gov.au/individuals-families-and-carers/for-individuals-families-and-carers/recreation-and-leisure-/changing-places/" TargetMode="External"/><Relationship Id="rId24" Type="http://schemas.openxmlformats.org/officeDocument/2006/relationships/hyperlink" Target="https://changingplaces.org.au/wp-content/uploads/2017/05/CHANGING-PLACES-FACILITIES-LIST-v2.pdf" TargetMode="External"/><Relationship Id="rId5" Type="http://schemas.openxmlformats.org/officeDocument/2006/relationships/hyperlink" Target="https://toiletmap.gov.au/Find" TargetMode="External"/><Relationship Id="rId15" Type="http://schemas.openxmlformats.org/officeDocument/2006/relationships/hyperlink" Target="https://www.aihw.gov.au/getmedia/0fc2a011-d290-42ef-a610-85073ef2909e/15387.pdf.aspx?inline=true" TargetMode="External"/><Relationship Id="rId23" Type="http://schemas.openxmlformats.org/officeDocument/2006/relationships/hyperlink" Target="https://infrastructure.gov.au/transport/disabilities/review/files/Australian_Government_Response_Transport_Standards_Review_Report.pdf" TargetMode="External"/><Relationship Id="rId10" Type="http://schemas.openxmlformats.org/officeDocument/2006/relationships/hyperlink" Target="http://www.dhs.vic.gov.au/about-the-department/plans,-programs-and-projects/projects-and-initiatives/changing-places-funding" TargetMode="External"/><Relationship Id="rId19" Type="http://schemas.openxmlformats.org/officeDocument/2006/relationships/hyperlink" Target="http://www.pc.gov.au/inquiries/completed/ndis-costs/report/ndis-costs-overview.pdf" TargetMode="External"/><Relationship Id="rId4" Type="http://schemas.openxmlformats.org/officeDocument/2006/relationships/hyperlink" Target="https://www.changingplaces.org.au/wp-content/uploads/2014/08/CHANGING-PLACES-FACILITIES-LIST-AUG17.pdf" TargetMode="External"/><Relationship Id="rId9" Type="http://schemas.openxmlformats.org/officeDocument/2006/relationships/hyperlink" Target="http://dx.doi.org/10.1111/jir.12175" TargetMode="External"/><Relationship Id="rId14" Type="http://schemas.openxmlformats.org/officeDocument/2006/relationships/hyperlink" Target="http://www.changingplaces.org.au" TargetMode="External"/><Relationship Id="rId22" Type="http://schemas.openxmlformats.org/officeDocument/2006/relationships/hyperlink" Target="https://infrastructure.gov.au/transport/disabilities/whole-journey/files/whole_of_journey_guide.pdf" TargetMode="External"/><Relationship Id="rId27" Type="http://schemas.openxmlformats.org/officeDocument/2006/relationships/hyperlink" Target="http://www.changing-plac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Sheet1!$K$1</c:f>
              <c:strCache>
                <c:ptCount val="1"/>
                <c:pt idx="0">
                  <c:v>Total</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Sheet1!$H$2:$H$8</c:f>
              <c:strCache>
                <c:ptCount val="7"/>
                <c:pt idx="0">
                  <c:v>Victoria</c:v>
                </c:pt>
                <c:pt idx="1">
                  <c:v>NSW</c:v>
                </c:pt>
                <c:pt idx="2">
                  <c:v>Qld</c:v>
                </c:pt>
                <c:pt idx="3">
                  <c:v>SA</c:v>
                </c:pt>
                <c:pt idx="4">
                  <c:v>WA</c:v>
                </c:pt>
                <c:pt idx="5">
                  <c:v>NT</c:v>
                </c:pt>
                <c:pt idx="6">
                  <c:v>TAS</c:v>
                </c:pt>
              </c:strCache>
            </c:strRef>
          </c:cat>
          <c:val>
            <c:numRef>
              <c:f>Sheet1!$K$2:$K$8</c:f>
              <c:numCache>
                <c:formatCode>General</c:formatCode>
                <c:ptCount val="7"/>
                <c:pt idx="0">
                  <c:v>52</c:v>
                </c:pt>
                <c:pt idx="1">
                  <c:v>7</c:v>
                </c:pt>
                <c:pt idx="2">
                  <c:v>11</c:v>
                </c:pt>
                <c:pt idx="3">
                  <c:v>2</c:v>
                </c:pt>
                <c:pt idx="4">
                  <c:v>8</c:v>
                </c:pt>
                <c:pt idx="5">
                  <c:v>1</c:v>
                </c:pt>
                <c:pt idx="6">
                  <c:v>1</c:v>
                </c:pt>
              </c:numCache>
            </c:numRef>
          </c:val>
          <c:extLst>
            <c:ext xmlns:c16="http://schemas.microsoft.com/office/drawing/2014/chart" uri="{C3380CC4-5D6E-409C-BE32-E72D297353CC}">
              <c16:uniqueId val="{00000000-2B98-439D-9324-17A3278D4FC8}"/>
            </c:ext>
          </c:extLst>
        </c:ser>
        <c:dLbls>
          <c:showLegendKey val="0"/>
          <c:showVal val="0"/>
          <c:showCatName val="0"/>
          <c:showSerName val="0"/>
          <c:showPercent val="0"/>
          <c:showBubbleSize val="0"/>
        </c:dLbls>
        <c:gapWidth val="219"/>
        <c:overlap val="-27"/>
        <c:axId val="668968392"/>
        <c:axId val="668968784"/>
      </c:barChart>
      <c:catAx>
        <c:axId val="668968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crossAx val="668968784"/>
        <c:crosses val="autoZero"/>
        <c:auto val="1"/>
        <c:lblAlgn val="ctr"/>
        <c:lblOffset val="100"/>
        <c:noMultiLvlLbl val="0"/>
      </c:catAx>
      <c:valAx>
        <c:axId val="668968784"/>
        <c:scaling>
          <c:orientation val="minMax"/>
          <c:max val="6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crossAx val="6689683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87221579015595E-2"/>
          <c:y val="4.6053996886231081E-2"/>
          <c:w val="0.93556289451854879"/>
          <c:h val="0.92984164583440065"/>
        </c:manualLayout>
      </c:layout>
      <c:barChart>
        <c:barDir val="col"/>
        <c:grouping val="clustered"/>
        <c:varyColors val="0"/>
        <c:ser>
          <c:idx val="0"/>
          <c:order val="0"/>
          <c:spPr>
            <a:solidFill>
              <a:schemeClr val="bg1">
                <a:lumMod val="65000"/>
              </a:schemeClr>
            </a:solidFill>
            <a:ln>
              <a:noFill/>
            </a:ln>
            <a:effectLst/>
          </c:spPr>
          <c:invertIfNegative val="0"/>
          <c:dPt>
            <c:idx val="5"/>
            <c:invertIfNegative val="0"/>
            <c:bubble3D val="0"/>
            <c:spPr>
              <a:solidFill>
                <a:schemeClr val="bg1">
                  <a:lumMod val="65000"/>
                </a:schemeClr>
              </a:solidFill>
              <a:ln>
                <a:noFill/>
              </a:ln>
              <a:effectLst/>
            </c:spPr>
            <c:extLst>
              <c:ext xmlns:c16="http://schemas.microsoft.com/office/drawing/2014/chart" uri="{C3380CC4-5D6E-409C-BE32-E72D297353CC}">
                <c16:uniqueId val="{00000001-E985-4FCA-841C-D9994CD2D9D7}"/>
              </c:ext>
            </c:extLst>
          </c:dPt>
          <c:dPt>
            <c:idx val="10"/>
            <c:invertIfNegative val="0"/>
            <c:bubble3D val="0"/>
            <c:spPr>
              <a:solidFill>
                <a:schemeClr val="bg1">
                  <a:lumMod val="65000"/>
                </a:schemeClr>
              </a:solidFill>
              <a:ln>
                <a:noFill/>
              </a:ln>
              <a:effectLst/>
            </c:spPr>
            <c:extLst>
              <c:ext xmlns:c16="http://schemas.microsoft.com/office/drawing/2014/chart" uri="{C3380CC4-5D6E-409C-BE32-E72D297353CC}">
                <c16:uniqueId val="{00000003-E985-4FCA-841C-D9994CD2D9D7}"/>
              </c:ext>
            </c:extLst>
          </c:dPt>
          <c:dPt>
            <c:idx val="11"/>
            <c:invertIfNegative val="0"/>
            <c:bubble3D val="0"/>
            <c:spPr>
              <a:solidFill>
                <a:schemeClr val="tx1"/>
              </a:solidFill>
              <a:ln>
                <a:noFill/>
              </a:ln>
              <a:effectLst/>
            </c:spPr>
            <c:extLst>
              <c:ext xmlns:c16="http://schemas.microsoft.com/office/drawing/2014/chart" uri="{C3380CC4-5D6E-409C-BE32-E72D297353CC}">
                <c16:uniqueId val="{00000005-E985-4FCA-841C-D9994CD2D9D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'TRACANT - DISBSTAT - ARIAC'!$O$10:$O$27</c:f>
              <c:strCache>
                <c:ptCount val="18"/>
                <c:pt idx="0">
                  <c:v>Getting to stops/stations</c:v>
                </c:pt>
                <c:pt idx="1">
                  <c:v>Access difficulties - steps</c:v>
                </c:pt>
                <c:pt idx="2">
                  <c:v>Crowds/lack of space</c:v>
                </c:pt>
                <c:pt idx="3">
                  <c:v>Lack of seating/difficulty standing</c:v>
                </c:pt>
                <c:pt idx="4">
                  <c:v>Access difficulties - other</c:v>
                </c:pt>
                <c:pt idx="5">
                  <c:v>Behavioural problems</c:v>
                </c:pt>
                <c:pt idx="6">
                  <c:v>Sight problems</c:v>
                </c:pt>
                <c:pt idx="7">
                  <c:v>Fear/anxiety</c:v>
                </c:pt>
                <c:pt idx="8">
                  <c:v>Access difficulties - doors</c:v>
                </c:pt>
                <c:pt idx="9">
                  <c:v>Poor ventilation</c:v>
                </c:pt>
                <c:pt idx="10">
                  <c:v>Pain or discomfort when sitting/exacerbates condition</c:v>
                </c:pt>
                <c:pt idx="11">
                  <c:v>Inadequate access to toilets</c:v>
                </c:pt>
                <c:pt idx="12">
                  <c:v>Cognitive difficulties</c:v>
                </c:pt>
                <c:pt idx="13">
                  <c:v>Other</c:v>
                </c:pt>
                <c:pt idx="14">
                  <c:v>Other health problems</c:v>
                </c:pt>
                <c:pt idx="15">
                  <c:v>No need</c:v>
                </c:pt>
                <c:pt idx="16">
                  <c:v>Age</c:v>
                </c:pt>
                <c:pt idx="17">
                  <c:v>No service available</c:v>
                </c:pt>
              </c:strCache>
            </c:strRef>
          </c:cat>
          <c:val>
            <c:numRef>
              <c:f>'TRACANT - DISBSTAT - ARIAC'!$P$10:$P$27</c:f>
              <c:numCache>
                <c:formatCode>0%</c:formatCode>
                <c:ptCount val="18"/>
                <c:pt idx="0">
                  <c:v>0.37193595796323586</c:v>
                </c:pt>
                <c:pt idx="1">
                  <c:v>0.25287963334211416</c:v>
                </c:pt>
                <c:pt idx="2">
                  <c:v>0.19731603894976005</c:v>
                </c:pt>
                <c:pt idx="3">
                  <c:v>0.17977866146595653</c:v>
                </c:pt>
                <c:pt idx="4">
                  <c:v>0.17058721458383067</c:v>
                </c:pt>
                <c:pt idx="5">
                  <c:v>0.11646061700321872</c:v>
                </c:pt>
                <c:pt idx="6">
                  <c:v>0.1017895491817381</c:v>
                </c:pt>
                <c:pt idx="7">
                  <c:v>9.6336170907661528E-2</c:v>
                </c:pt>
                <c:pt idx="8">
                  <c:v>9.4643286878174457E-2</c:v>
                </c:pt>
                <c:pt idx="9">
                  <c:v>6.2247384914016643E-2</c:v>
                </c:pt>
                <c:pt idx="10">
                  <c:v>4.813447415683627E-2</c:v>
                </c:pt>
                <c:pt idx="11">
                  <c:v>3.5710723909135066E-2</c:v>
                </c:pt>
                <c:pt idx="12">
                  <c:v>2.5682731085102533E-2</c:v>
                </c:pt>
                <c:pt idx="13">
                  <c:v>2.5462494902738789E-2</c:v>
                </c:pt>
                <c:pt idx="14">
                  <c:v>1.5356849983453658E-2</c:v>
                </c:pt>
                <c:pt idx="15">
                  <c:v>1.4311744346666447E-2</c:v>
                </c:pt>
                <c:pt idx="16">
                  <c:v>6.463108364085382E-3</c:v>
                </c:pt>
                <c:pt idx="17">
                  <c:v>1.1377473423775694E-3</c:v>
                </c:pt>
              </c:numCache>
            </c:numRef>
          </c:val>
          <c:extLst>
            <c:ext xmlns:c16="http://schemas.microsoft.com/office/drawing/2014/chart" uri="{C3380CC4-5D6E-409C-BE32-E72D297353CC}">
              <c16:uniqueId val="{00000006-E985-4FCA-841C-D9994CD2D9D7}"/>
            </c:ext>
          </c:extLst>
        </c:ser>
        <c:dLbls>
          <c:dLblPos val="outEnd"/>
          <c:showLegendKey val="0"/>
          <c:showVal val="1"/>
          <c:showCatName val="0"/>
          <c:showSerName val="0"/>
          <c:showPercent val="0"/>
          <c:showBubbleSize val="0"/>
        </c:dLbls>
        <c:gapWidth val="219"/>
        <c:overlap val="-27"/>
        <c:axId val="509579288"/>
        <c:axId val="509578896"/>
      </c:barChart>
      <c:catAx>
        <c:axId val="509579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9578896"/>
        <c:crosses val="autoZero"/>
        <c:auto val="1"/>
        <c:lblAlgn val="ctr"/>
        <c:lblOffset val="100"/>
        <c:noMultiLvlLbl val="0"/>
      </c:catAx>
      <c:valAx>
        <c:axId val="509578896"/>
        <c:scaling>
          <c:orientation val="minMax"/>
          <c:max val="0.5"/>
        </c:scaling>
        <c:delete val="1"/>
        <c:axPos val="l"/>
        <c:majorGridlines>
          <c:spPr>
            <a:ln w="9525" cap="flat" cmpd="sng" algn="ctr">
              <a:noFill/>
              <a:round/>
            </a:ln>
            <a:effectLst/>
          </c:spPr>
        </c:majorGridlines>
        <c:numFmt formatCode="0%" sourceLinked="1"/>
        <c:majorTickMark val="none"/>
        <c:minorTickMark val="none"/>
        <c:tickLblPos val="nextTo"/>
        <c:crossAx val="5095792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7CACB-5CC1-4640-AB4D-76E19143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34447</Words>
  <Characters>196351</Characters>
  <Application>Microsoft Office Word</Application>
  <DocSecurity>0</DocSecurity>
  <Lines>1636</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Decision RIS: Accessible adult change facilities in public buildings</dc:title>
  <dc:subject/>
  <dc:creator/>
  <cp:keywords/>
  <dc:description/>
  <cp:lastModifiedBy/>
  <cp:revision>1</cp:revision>
  <dcterms:created xsi:type="dcterms:W3CDTF">2018-12-17T04:51:00Z</dcterms:created>
  <dcterms:modified xsi:type="dcterms:W3CDTF">2018-12-17T04:51:00Z</dcterms:modified>
</cp:coreProperties>
</file>