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FD9" w:rsidRPr="00174FD9" w:rsidRDefault="00174FD9" w:rsidP="00FB2325"/>
    <w:p w:rsidR="00174FD9" w:rsidRPr="00174FD9" w:rsidRDefault="00307D42" w:rsidP="00174FD9">
      <w:pPr>
        <w:jc w:val="center"/>
      </w:pPr>
      <w:r>
        <w:rPr>
          <w:noProof/>
          <w:lang w:eastAsia="en-AU"/>
        </w:rPr>
        <w:drawing>
          <wp:inline distT="0" distB="0" distL="0" distR="0" wp14:anchorId="390ABA9B" wp14:editId="390ABA9C">
            <wp:extent cx="1173192" cy="1673753"/>
            <wp:effectExtent l="0" t="0" r="8255" b="3175"/>
            <wp:docPr id="2" name="Picture 2" descr="The Australian Build Code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ry\AppData\Local\Microsoft\Windows\Temporary Internet Files\Content.Word\ABCB_2010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2277" cy="1686714"/>
                    </a:xfrm>
                    <a:prstGeom prst="rect">
                      <a:avLst/>
                    </a:prstGeom>
                    <a:noFill/>
                    <a:ln>
                      <a:noFill/>
                    </a:ln>
                  </pic:spPr>
                </pic:pic>
              </a:graphicData>
            </a:graphic>
          </wp:inline>
        </w:drawing>
      </w:r>
    </w:p>
    <w:p w:rsidR="00174FD9" w:rsidRPr="00174FD9" w:rsidRDefault="005475B5" w:rsidP="001F0E1D">
      <w:pPr>
        <w:pStyle w:val="Title"/>
      </w:pPr>
      <w:r>
        <w:t xml:space="preserve">Regulation Impact Statement for </w:t>
      </w:r>
      <w:r w:rsidR="00FB2325">
        <w:t>Final Decision</w:t>
      </w:r>
    </w:p>
    <w:p w:rsidR="005475B5" w:rsidRDefault="00847860" w:rsidP="00651026">
      <w:pPr>
        <w:pStyle w:val="TitlePagedate"/>
        <w:spacing w:before="1320"/>
      </w:pPr>
      <w:r>
        <w:t xml:space="preserve">Fire </w:t>
      </w:r>
      <w:r w:rsidR="00436A5E">
        <w:t>s</w:t>
      </w:r>
      <w:r>
        <w:t>afety</w:t>
      </w:r>
      <w:r w:rsidR="005475B5" w:rsidRPr="005475B5">
        <w:t xml:space="preserve"> </w:t>
      </w:r>
      <w:r w:rsidR="005475B5">
        <w:t xml:space="preserve">in new Class 2 and </w:t>
      </w:r>
      <w:r w:rsidR="00672448">
        <w:t xml:space="preserve">Class </w:t>
      </w:r>
      <w:r w:rsidR="005475B5">
        <w:t>3</w:t>
      </w:r>
      <w:r w:rsidR="005475B5" w:rsidRPr="005475B5">
        <w:t xml:space="preserve"> </w:t>
      </w:r>
      <w:r w:rsidR="005475B5">
        <w:t xml:space="preserve">residential </w:t>
      </w:r>
      <w:r w:rsidR="005475B5" w:rsidRPr="005475B5">
        <w:t>buildings</w:t>
      </w:r>
    </w:p>
    <w:p w:rsidR="008B20EB" w:rsidRPr="00FD517C" w:rsidRDefault="00DE3180" w:rsidP="00651026">
      <w:pPr>
        <w:pStyle w:val="TitlePagedate"/>
        <w:spacing w:before="1320" w:after="720"/>
      </w:pPr>
      <w:r w:rsidRPr="00FD517C">
        <w:t xml:space="preserve">November </w:t>
      </w:r>
      <w:r w:rsidR="007E4386" w:rsidRPr="00FD517C">
        <w:t>2018</w:t>
      </w:r>
    </w:p>
    <w:p w:rsidR="008B20EB" w:rsidRDefault="008B20EB" w:rsidP="0056303F">
      <w:pPr>
        <w:pStyle w:val="TitlePagedate"/>
        <w:spacing w:before="2400" w:after="720"/>
        <w:rPr>
          <w:rFonts w:ascii="Arial" w:eastAsiaTheme="minorHAnsi" w:hAnsi="Arial" w:cstheme="minorBidi"/>
          <w:b w:val="0"/>
          <w:iCs w:val="0"/>
          <w:color w:val="auto"/>
          <w:spacing w:val="0"/>
          <w:sz w:val="22"/>
          <w:szCs w:val="22"/>
        </w:rPr>
      </w:pPr>
    </w:p>
    <w:p w:rsidR="00DE3180" w:rsidRPr="00A26FB6" w:rsidRDefault="001B39CC" w:rsidP="00A26FB6">
      <w:pPr>
        <w:pBdr>
          <w:top w:val="single" w:sz="4" w:space="1" w:color="auto"/>
          <w:bottom w:val="single" w:sz="4" w:space="1" w:color="auto"/>
        </w:pBdr>
        <w:spacing w:before="120" w:after="0"/>
        <w:rPr>
          <w:rFonts w:ascii="Calibri" w:eastAsia="Calibri" w:hAnsi="Calibri" w:cs="Times New Roman"/>
        </w:rPr>
      </w:pPr>
      <w:r>
        <w:rPr>
          <w:rFonts w:ascii="Calibri" w:eastAsia="Calibri" w:hAnsi="Calibri" w:cs="Times New Roman"/>
        </w:rPr>
        <w:lastRenderedPageBreak/>
        <w:t>The A</w:t>
      </w:r>
      <w:r w:rsidR="00A112BF">
        <w:rPr>
          <w:rFonts w:ascii="Calibri" w:eastAsia="Calibri" w:hAnsi="Calibri" w:cs="Times New Roman"/>
        </w:rPr>
        <w:t xml:space="preserve">ustralian </w:t>
      </w:r>
      <w:r>
        <w:rPr>
          <w:rFonts w:ascii="Calibri" w:eastAsia="Calibri" w:hAnsi="Calibri" w:cs="Times New Roman"/>
        </w:rPr>
        <w:t>B</w:t>
      </w:r>
      <w:r w:rsidR="00A112BF">
        <w:rPr>
          <w:rFonts w:ascii="Calibri" w:eastAsia="Calibri" w:hAnsi="Calibri" w:cs="Times New Roman"/>
        </w:rPr>
        <w:t xml:space="preserve">uilding </w:t>
      </w:r>
      <w:r>
        <w:rPr>
          <w:rFonts w:ascii="Calibri" w:eastAsia="Calibri" w:hAnsi="Calibri" w:cs="Times New Roman"/>
        </w:rPr>
        <w:t>C</w:t>
      </w:r>
      <w:r w:rsidR="00A112BF">
        <w:rPr>
          <w:rFonts w:ascii="Calibri" w:eastAsia="Calibri" w:hAnsi="Calibri" w:cs="Times New Roman"/>
        </w:rPr>
        <w:t xml:space="preserve">odes </w:t>
      </w:r>
      <w:r>
        <w:rPr>
          <w:rFonts w:ascii="Calibri" w:eastAsia="Calibri" w:hAnsi="Calibri" w:cs="Times New Roman"/>
        </w:rPr>
        <w:t>B</w:t>
      </w:r>
      <w:r w:rsidR="00A112BF">
        <w:rPr>
          <w:rFonts w:ascii="Calibri" w:eastAsia="Calibri" w:hAnsi="Calibri" w:cs="Times New Roman"/>
        </w:rPr>
        <w:t>oard</w:t>
      </w:r>
      <w:r>
        <w:rPr>
          <w:rFonts w:ascii="Calibri" w:eastAsia="Calibri" w:hAnsi="Calibri" w:cs="Times New Roman"/>
        </w:rPr>
        <w:t xml:space="preserve"> has developed this </w:t>
      </w:r>
      <w:r w:rsidR="00FB2325">
        <w:rPr>
          <w:rFonts w:ascii="Calibri" w:eastAsia="Calibri" w:hAnsi="Calibri" w:cs="Times New Roman"/>
        </w:rPr>
        <w:t xml:space="preserve">Final Decision </w:t>
      </w:r>
      <w:r w:rsidRPr="00651026">
        <w:rPr>
          <w:rFonts w:ascii="Calibri" w:eastAsia="Calibri" w:hAnsi="Calibri" w:cs="Times New Roman"/>
        </w:rPr>
        <w:t>Regulation Impact Statement</w:t>
      </w:r>
      <w:r>
        <w:rPr>
          <w:rFonts w:ascii="Calibri" w:eastAsia="Calibri" w:hAnsi="Calibri" w:cs="Times New Roman"/>
        </w:rPr>
        <w:t>, which</w:t>
      </w:r>
      <w:r w:rsidRPr="00651026">
        <w:rPr>
          <w:rFonts w:ascii="Calibri" w:eastAsia="Calibri" w:hAnsi="Calibri" w:cs="Times New Roman"/>
        </w:rPr>
        <w:t xml:space="preserve"> accords with the requirements of </w:t>
      </w:r>
      <w:r w:rsidRPr="00651026">
        <w:rPr>
          <w:rFonts w:ascii="Calibri" w:eastAsia="Calibri" w:hAnsi="Calibri" w:cs="Times New Roman"/>
          <w:i/>
        </w:rPr>
        <w:t>Best Practice Regulation: A Guide for Ministerial Councils and National Standard Setting Bodies</w:t>
      </w:r>
      <w:r w:rsidRPr="00651026">
        <w:rPr>
          <w:rFonts w:ascii="Calibri" w:eastAsia="Calibri" w:hAnsi="Calibri" w:cs="Times New Roman"/>
        </w:rPr>
        <w:t>, as endorsed by the Council of Australian Governments in 2007. Its purpose is to inform interested parties and to assist the Australian Building Codes Board in its decision making on proposed amendments to the National Construction Code.</w:t>
      </w:r>
    </w:p>
    <w:p w:rsidR="00CE3695" w:rsidRPr="006B660E" w:rsidRDefault="00CE3695" w:rsidP="00A26FB6">
      <w:pPr>
        <w:spacing w:before="8400" w:after="0"/>
        <w:jc w:val="both"/>
        <w:rPr>
          <w:rFonts w:asciiTheme="majorHAnsi" w:hAnsiTheme="majorHAnsi"/>
          <w:color w:val="323E4F" w:themeColor="text2" w:themeShade="BF"/>
          <w:sz w:val="32"/>
          <w:szCs w:val="32"/>
        </w:rPr>
      </w:pPr>
      <w:r w:rsidRPr="006B660E">
        <w:rPr>
          <w:rFonts w:asciiTheme="majorHAnsi" w:hAnsiTheme="majorHAnsi"/>
          <w:color w:val="323E4F" w:themeColor="text2" w:themeShade="BF"/>
          <w:sz w:val="32"/>
          <w:szCs w:val="32"/>
        </w:rPr>
        <w:t>The Australian Building Codes B</w:t>
      </w:r>
      <w:bookmarkStart w:id="0" w:name="_GoBack"/>
      <w:bookmarkEnd w:id="0"/>
      <w:r w:rsidRPr="006B660E">
        <w:rPr>
          <w:rFonts w:asciiTheme="majorHAnsi" w:hAnsiTheme="majorHAnsi"/>
          <w:color w:val="323E4F" w:themeColor="text2" w:themeShade="BF"/>
          <w:sz w:val="32"/>
          <w:szCs w:val="32"/>
        </w:rPr>
        <w:t>oard</w:t>
      </w:r>
    </w:p>
    <w:p w:rsidR="008F2C67" w:rsidRDefault="00CE3695" w:rsidP="00CE3695">
      <w:pPr>
        <w:rPr>
          <w:rFonts w:asciiTheme="minorHAnsi" w:hAnsiTheme="minorHAnsi"/>
        </w:rPr>
      </w:pPr>
      <w:r w:rsidRPr="006B660E">
        <w:rPr>
          <w:rFonts w:asciiTheme="minorHAnsi" w:hAnsiTheme="minorHAnsi"/>
        </w:rPr>
        <w:t xml:space="preserve">The Australian Building Codes Board (ABCB) is a joint initiative of all levels of government in Australia, together with the building industry. Its </w:t>
      </w:r>
      <w:r>
        <w:rPr>
          <w:rFonts w:asciiTheme="minorHAnsi" w:hAnsiTheme="minorHAnsi"/>
        </w:rPr>
        <w:t>objective</w:t>
      </w:r>
      <w:r w:rsidRPr="006B660E">
        <w:rPr>
          <w:rFonts w:asciiTheme="minorHAnsi" w:hAnsiTheme="minorHAnsi"/>
        </w:rPr>
        <w:t xml:space="preserve"> is to oversee issues relating to </w:t>
      </w:r>
      <w:r>
        <w:rPr>
          <w:rFonts w:asciiTheme="minorHAnsi" w:hAnsiTheme="minorHAnsi"/>
        </w:rPr>
        <w:t xml:space="preserve">safety, </w:t>
      </w:r>
      <w:r w:rsidRPr="7F97543A">
        <w:rPr>
          <w:rFonts w:asciiTheme="minorHAnsi" w:eastAsiaTheme="minorEastAsia" w:hAnsiTheme="minorHAnsi"/>
        </w:rPr>
        <w:t>health, amenity</w:t>
      </w:r>
      <w:r w:rsidR="7F97543A" w:rsidRPr="7F97543A">
        <w:rPr>
          <w:rFonts w:asciiTheme="minorHAnsi" w:eastAsiaTheme="minorEastAsia" w:hAnsiTheme="minorHAnsi"/>
        </w:rPr>
        <w:t xml:space="preserve">, </w:t>
      </w:r>
      <w:r>
        <w:rPr>
          <w:rFonts w:asciiTheme="minorHAnsi" w:hAnsiTheme="minorHAnsi"/>
        </w:rPr>
        <w:t xml:space="preserve">accessibility </w:t>
      </w:r>
      <w:r w:rsidRPr="006B660E">
        <w:rPr>
          <w:rFonts w:asciiTheme="minorHAnsi" w:hAnsiTheme="minorHAnsi"/>
        </w:rPr>
        <w:t xml:space="preserve">and sustainability in building. The ABCB promotes efficiency in the design, construction and performance </w:t>
      </w:r>
      <w:r>
        <w:rPr>
          <w:rFonts w:asciiTheme="minorHAnsi" w:hAnsiTheme="minorHAnsi"/>
        </w:rPr>
        <w:t xml:space="preserve">and liveability </w:t>
      </w:r>
      <w:r w:rsidRPr="006B660E">
        <w:rPr>
          <w:rFonts w:asciiTheme="minorHAnsi" w:hAnsiTheme="minorHAnsi"/>
        </w:rPr>
        <w:t>of buildings through the National Construction Code</w:t>
      </w:r>
      <w:r>
        <w:rPr>
          <w:rFonts w:asciiTheme="minorHAnsi" w:hAnsiTheme="minorHAnsi"/>
        </w:rPr>
        <w:t xml:space="preserve"> (NCC)</w:t>
      </w:r>
      <w:r w:rsidRPr="006B660E">
        <w:rPr>
          <w:rFonts w:asciiTheme="minorHAnsi" w:hAnsiTheme="minorHAnsi"/>
        </w:rPr>
        <w:t xml:space="preserve">, and the development of effective regulatory </w:t>
      </w:r>
      <w:r w:rsidR="00FA713B">
        <w:rPr>
          <w:rFonts w:asciiTheme="minorHAnsi" w:hAnsiTheme="minorHAnsi"/>
        </w:rPr>
        <w:t xml:space="preserve">and non-regulatory approaches. </w:t>
      </w:r>
      <w:r w:rsidRPr="006B660E">
        <w:rPr>
          <w:rFonts w:asciiTheme="minorHAnsi" w:hAnsiTheme="minorHAnsi"/>
        </w:rPr>
        <w:t>The Board aims to establish effective and proportional codes, standards and regulatory systems that are consistent b</w:t>
      </w:r>
      <w:r w:rsidR="00FA713B">
        <w:rPr>
          <w:rFonts w:asciiTheme="minorHAnsi" w:hAnsiTheme="minorHAnsi"/>
        </w:rPr>
        <w:t xml:space="preserve">etween States and Territories. </w:t>
      </w:r>
      <w:r w:rsidRPr="006B660E">
        <w:rPr>
          <w:rFonts w:asciiTheme="minorHAnsi" w:hAnsiTheme="minorHAnsi"/>
        </w:rPr>
        <w:t xml:space="preserve">For more information see </w:t>
      </w:r>
      <w:hyperlink r:id="rId9" w:history="1">
        <w:r w:rsidRPr="006B660E">
          <w:rPr>
            <w:rFonts w:asciiTheme="minorHAnsi" w:hAnsiTheme="minorHAnsi"/>
          </w:rPr>
          <w:t>the ABCB website</w:t>
        </w:r>
      </w:hyperlink>
      <w:r>
        <w:rPr>
          <w:rFonts w:asciiTheme="minorHAnsi" w:hAnsiTheme="minorHAnsi"/>
        </w:rPr>
        <w:t xml:space="preserve"> (www.abcb.gov.au)</w:t>
      </w:r>
      <w:r w:rsidRPr="006B660E">
        <w:rPr>
          <w:rFonts w:asciiTheme="minorHAnsi" w:hAnsiTheme="minorHAnsi"/>
        </w:rPr>
        <w:t>.</w:t>
      </w:r>
    </w:p>
    <w:p w:rsidR="008F2C67" w:rsidRDefault="008F2C67">
      <w:pPr>
        <w:rPr>
          <w:rFonts w:asciiTheme="minorHAnsi" w:hAnsiTheme="minorHAnsi"/>
        </w:rPr>
      </w:pPr>
      <w:r>
        <w:rPr>
          <w:rFonts w:asciiTheme="minorHAnsi" w:hAnsiTheme="minorHAnsi"/>
        </w:rPr>
        <w:br w:type="page"/>
      </w:r>
    </w:p>
    <w:p w:rsidR="008604E6" w:rsidRPr="008604E6" w:rsidRDefault="002E3F8A" w:rsidP="00A26FB6">
      <w:pPr>
        <w:spacing w:after="0"/>
        <w:rPr>
          <w:rFonts w:asciiTheme="majorHAnsi" w:hAnsiTheme="majorHAnsi"/>
          <w:color w:val="323E4F" w:themeColor="text2" w:themeShade="BF"/>
          <w:sz w:val="32"/>
          <w:szCs w:val="32"/>
        </w:rPr>
      </w:pPr>
      <w:r w:rsidRPr="008330D2">
        <w:rPr>
          <w:rFonts w:asciiTheme="majorHAnsi" w:hAnsiTheme="majorHAnsi"/>
          <w:color w:val="323E4F" w:themeColor="text2" w:themeShade="BF"/>
          <w:sz w:val="32"/>
          <w:szCs w:val="32"/>
        </w:rPr>
        <w:lastRenderedPageBreak/>
        <w:t>Disclaimer</w:t>
      </w:r>
    </w:p>
    <w:p w:rsidR="008604E6" w:rsidRPr="00450C50" w:rsidRDefault="008604E6" w:rsidP="00A26FB6">
      <w:pPr>
        <w:shd w:val="clear" w:color="auto" w:fill="FFFFFF"/>
        <w:rPr>
          <w:rFonts w:asciiTheme="minorHAnsi" w:hAnsiTheme="minorHAnsi"/>
        </w:rPr>
      </w:pPr>
      <w:r w:rsidRPr="008604E6">
        <w:rPr>
          <w:rFonts w:asciiTheme="minorHAnsi" w:hAnsiTheme="minorHAnsi"/>
        </w:rPr>
        <w:t xml:space="preserve">The information in this document is intended to be used as guidance material only, and is in no way a substitute for the NCC and related State and Territory legislation. The information in this </w:t>
      </w:r>
      <w:r w:rsidR="008F308F">
        <w:rPr>
          <w:rFonts w:asciiTheme="minorHAnsi" w:hAnsiTheme="minorHAnsi"/>
        </w:rPr>
        <w:t>document</w:t>
      </w:r>
      <w:r w:rsidR="008F308F" w:rsidRPr="008604E6">
        <w:rPr>
          <w:rFonts w:asciiTheme="minorHAnsi" w:hAnsiTheme="minorHAnsi"/>
        </w:rPr>
        <w:t xml:space="preserve"> </w:t>
      </w:r>
      <w:r w:rsidRPr="008604E6">
        <w:rPr>
          <w:rFonts w:asciiTheme="minorHAnsi" w:hAnsiTheme="minorHAnsi"/>
        </w:rPr>
        <w:t xml:space="preserve">is provided on the basis that all persons accessing the information undertake responsibility for assessing the relevance and accuracy of the information to their particular circumstances. The </w:t>
      </w:r>
      <w:r w:rsidR="008A7F5F">
        <w:rPr>
          <w:rFonts w:asciiTheme="minorHAnsi" w:hAnsiTheme="minorHAnsi"/>
        </w:rPr>
        <w:t>Chief Executive Officer</w:t>
      </w:r>
      <w:r w:rsidRPr="008604E6">
        <w:rPr>
          <w:rFonts w:asciiTheme="minorHAnsi" w:hAnsiTheme="minorHAnsi"/>
        </w:rPr>
        <w:t xml:space="preserve"> of the ABCB Office, as agent for the Commonwealth of Australia and States and Territories of Australia, does not accept any liability howsoever arising from or connected to the use or reliance on any information in this </w:t>
      </w:r>
      <w:r w:rsidR="008A7F5F">
        <w:rPr>
          <w:rFonts w:asciiTheme="minorHAnsi" w:hAnsiTheme="minorHAnsi"/>
        </w:rPr>
        <w:t>document</w:t>
      </w:r>
      <w:r w:rsidR="008A7F5F" w:rsidRPr="008604E6">
        <w:rPr>
          <w:rFonts w:asciiTheme="minorHAnsi" w:hAnsiTheme="minorHAnsi"/>
        </w:rPr>
        <w:t xml:space="preserve"> </w:t>
      </w:r>
      <w:r w:rsidRPr="008604E6">
        <w:rPr>
          <w:rFonts w:asciiTheme="minorHAnsi" w:hAnsiTheme="minorHAnsi"/>
        </w:rPr>
        <w:t>to the maximum extent permitte</w:t>
      </w:r>
      <w:r w:rsidRPr="00450C50">
        <w:rPr>
          <w:rFonts w:asciiTheme="minorHAnsi" w:hAnsiTheme="minorHAnsi"/>
        </w:rPr>
        <w:t>d by law.</w:t>
      </w:r>
    </w:p>
    <w:p w:rsidR="008604E6" w:rsidRPr="00450C50" w:rsidRDefault="008604E6" w:rsidP="008604E6">
      <w:pPr>
        <w:shd w:val="clear" w:color="auto" w:fill="FFFFFF"/>
        <w:rPr>
          <w:rFonts w:asciiTheme="minorHAnsi" w:hAnsiTheme="minorHAnsi" w:cs="Arial"/>
          <w:lang w:eastAsia="en-AU"/>
        </w:rPr>
      </w:pPr>
      <w:r w:rsidRPr="009B552B">
        <w:rPr>
          <w:rFonts w:asciiTheme="minorHAnsi" w:hAnsiTheme="minorHAnsi" w:cs="Arial"/>
          <w:lang w:eastAsia="en-AU"/>
        </w:rPr>
        <w:t>Published by:  Australian Building Codes Board        </w:t>
      </w:r>
      <w:r w:rsidR="009A0840">
        <w:rPr>
          <w:rFonts w:asciiTheme="minorHAnsi" w:hAnsiTheme="minorHAnsi" w:cs="Arial"/>
          <w:lang w:eastAsia="en-AU"/>
        </w:rPr>
        <w:tab/>
      </w:r>
      <w:r w:rsidRPr="009B552B">
        <w:rPr>
          <w:rFonts w:asciiTheme="minorHAnsi" w:hAnsiTheme="minorHAnsi" w:cs="Arial"/>
          <w:lang w:eastAsia="en-AU"/>
        </w:rPr>
        <w:t xml:space="preserve"> First published: </w:t>
      </w:r>
      <w:r w:rsidR="00DE3180">
        <w:rPr>
          <w:rFonts w:asciiTheme="minorHAnsi" w:hAnsiTheme="minorHAnsi" w:cs="Arial"/>
          <w:lang w:eastAsia="en-AU"/>
        </w:rPr>
        <w:t>November</w:t>
      </w:r>
      <w:r w:rsidR="00DE3180" w:rsidRPr="008A56B3">
        <w:rPr>
          <w:rFonts w:asciiTheme="minorHAnsi" w:hAnsiTheme="minorHAnsi" w:cs="Arial"/>
          <w:lang w:eastAsia="en-AU"/>
        </w:rPr>
        <w:t xml:space="preserve"> </w:t>
      </w:r>
      <w:r w:rsidRPr="008A56B3">
        <w:rPr>
          <w:rFonts w:asciiTheme="minorHAnsi" w:hAnsiTheme="minorHAnsi" w:cs="Arial"/>
          <w:lang w:eastAsia="en-AU"/>
        </w:rPr>
        <w:t>20</w:t>
      </w:r>
      <w:r w:rsidR="00441073" w:rsidRPr="008A56B3">
        <w:rPr>
          <w:rFonts w:asciiTheme="minorHAnsi" w:hAnsiTheme="minorHAnsi" w:cs="Arial"/>
          <w:lang w:eastAsia="en-AU"/>
        </w:rPr>
        <w:t>18</w:t>
      </w:r>
    </w:p>
    <w:p w:rsidR="008604E6" w:rsidRPr="009B552B" w:rsidRDefault="008604E6" w:rsidP="008604E6">
      <w:pPr>
        <w:shd w:val="clear" w:color="auto" w:fill="FFFFFF"/>
        <w:rPr>
          <w:rFonts w:asciiTheme="minorHAnsi" w:hAnsiTheme="minorHAnsi" w:cs="Arial"/>
          <w:lang w:eastAsia="en-AU"/>
        </w:rPr>
      </w:pPr>
      <w:r w:rsidRPr="009B552B">
        <w:rPr>
          <w:rFonts w:asciiTheme="minorHAnsi" w:hAnsiTheme="minorHAnsi" w:cs="Arial"/>
        </w:rPr>
        <w:t xml:space="preserve">                        GPO Box </w:t>
      </w:r>
      <w:r w:rsidR="008A7F5F">
        <w:rPr>
          <w:rFonts w:asciiTheme="minorHAnsi" w:hAnsiTheme="minorHAnsi" w:cs="Arial"/>
        </w:rPr>
        <w:t>2013</w:t>
      </w:r>
    </w:p>
    <w:p w:rsidR="008604E6" w:rsidRPr="00450C50" w:rsidRDefault="008604E6" w:rsidP="008604E6">
      <w:pPr>
        <w:shd w:val="clear" w:color="auto" w:fill="FFFFFF"/>
        <w:rPr>
          <w:rFonts w:asciiTheme="minorHAnsi" w:hAnsiTheme="minorHAnsi" w:cs="Arial"/>
          <w:lang w:eastAsia="en-AU"/>
        </w:rPr>
      </w:pPr>
      <w:r w:rsidRPr="009B552B">
        <w:rPr>
          <w:rFonts w:asciiTheme="minorHAnsi" w:hAnsiTheme="minorHAnsi" w:cs="Arial"/>
          <w:lang w:eastAsia="en-AU"/>
        </w:rPr>
        <w:t xml:space="preserve">                        CANBERRA ACT 2601                       </w:t>
      </w:r>
      <w:r w:rsidR="00DE3180">
        <w:rPr>
          <w:rFonts w:asciiTheme="minorHAnsi" w:hAnsiTheme="minorHAnsi" w:cs="Arial"/>
          <w:lang w:eastAsia="en-AU"/>
        </w:rPr>
        <w:tab/>
      </w:r>
      <w:r w:rsidR="009A0840">
        <w:rPr>
          <w:rFonts w:asciiTheme="minorHAnsi" w:hAnsiTheme="minorHAnsi" w:cs="Arial"/>
          <w:lang w:eastAsia="en-AU"/>
        </w:rPr>
        <w:tab/>
      </w:r>
      <w:r w:rsidRPr="009B552B">
        <w:rPr>
          <w:rFonts w:asciiTheme="minorHAnsi" w:hAnsiTheme="minorHAnsi" w:cs="Arial"/>
          <w:lang w:eastAsia="en-AU"/>
        </w:rPr>
        <w:t xml:space="preserve">Print version: </w:t>
      </w:r>
      <w:r w:rsidRPr="008A56B3">
        <w:rPr>
          <w:rFonts w:asciiTheme="minorHAnsi" w:hAnsiTheme="minorHAnsi" w:cs="Arial"/>
          <w:lang w:eastAsia="en-AU"/>
        </w:rPr>
        <w:t>1.0</w:t>
      </w:r>
    </w:p>
    <w:p w:rsidR="008604E6" w:rsidRPr="008604E6" w:rsidRDefault="008604E6" w:rsidP="008604E6">
      <w:pPr>
        <w:shd w:val="clear" w:color="auto" w:fill="FFFFFF"/>
        <w:rPr>
          <w:rFonts w:asciiTheme="minorHAnsi" w:hAnsiTheme="minorHAnsi" w:cs="Arial"/>
          <w:lang w:eastAsia="en-AU"/>
        </w:rPr>
      </w:pPr>
      <w:r w:rsidRPr="00450C50">
        <w:rPr>
          <w:rFonts w:asciiTheme="minorHAnsi" w:hAnsiTheme="minorHAnsi" w:cs="Arial"/>
          <w:lang w:eastAsia="en-AU"/>
        </w:rPr>
        <w:t>                        Phone: 1300 134 631                       </w:t>
      </w:r>
      <w:r w:rsidR="00DE3180">
        <w:rPr>
          <w:rFonts w:asciiTheme="minorHAnsi" w:hAnsiTheme="minorHAnsi" w:cs="Arial"/>
          <w:lang w:eastAsia="en-AU"/>
        </w:rPr>
        <w:t xml:space="preserve"> </w:t>
      </w:r>
      <w:r w:rsidR="009A0840">
        <w:rPr>
          <w:rFonts w:asciiTheme="minorHAnsi" w:hAnsiTheme="minorHAnsi" w:cs="Arial"/>
          <w:lang w:eastAsia="en-AU"/>
        </w:rPr>
        <w:tab/>
      </w:r>
      <w:r w:rsidR="009A0840">
        <w:rPr>
          <w:rFonts w:asciiTheme="minorHAnsi" w:hAnsiTheme="minorHAnsi" w:cs="Arial"/>
          <w:lang w:eastAsia="en-AU"/>
        </w:rPr>
        <w:tab/>
      </w:r>
      <w:r w:rsidRPr="00450C50">
        <w:rPr>
          <w:rFonts w:asciiTheme="minorHAnsi" w:hAnsiTheme="minorHAnsi" w:cs="Arial"/>
          <w:lang w:eastAsia="en-AU"/>
        </w:rPr>
        <w:t xml:space="preserve">Release date: </w:t>
      </w:r>
      <w:r w:rsidR="001E71D0">
        <w:rPr>
          <w:rFonts w:asciiTheme="minorHAnsi" w:hAnsiTheme="minorHAnsi" w:cs="Arial"/>
          <w:lang w:eastAsia="en-AU"/>
        </w:rPr>
        <w:t xml:space="preserve">November </w:t>
      </w:r>
      <w:r w:rsidRPr="008A56B3">
        <w:rPr>
          <w:rFonts w:asciiTheme="minorHAnsi" w:hAnsiTheme="minorHAnsi" w:cs="Arial"/>
          <w:lang w:eastAsia="en-AU"/>
        </w:rPr>
        <w:t>20</w:t>
      </w:r>
      <w:r w:rsidR="00441073" w:rsidRPr="008A56B3">
        <w:rPr>
          <w:rFonts w:asciiTheme="minorHAnsi" w:hAnsiTheme="minorHAnsi" w:cs="Arial"/>
          <w:lang w:eastAsia="en-AU"/>
        </w:rPr>
        <w:t>18</w:t>
      </w:r>
    </w:p>
    <w:p w:rsidR="008604E6" w:rsidRPr="008604E6" w:rsidRDefault="008604E6" w:rsidP="008604E6">
      <w:pPr>
        <w:shd w:val="clear" w:color="auto" w:fill="FFFFFF"/>
        <w:rPr>
          <w:rFonts w:asciiTheme="minorHAnsi" w:hAnsiTheme="minorHAnsi" w:cs="Arial"/>
        </w:rPr>
      </w:pPr>
      <w:r w:rsidRPr="008604E6">
        <w:rPr>
          <w:rFonts w:asciiTheme="minorHAnsi" w:hAnsiTheme="minorHAnsi" w:cs="Arial"/>
          <w:lang w:eastAsia="en-AU"/>
        </w:rPr>
        <w:t xml:space="preserve">                        Email: </w:t>
      </w:r>
      <w:hyperlink r:id="rId10" w:history="1">
        <w:r w:rsidRPr="008604E6">
          <w:rPr>
            <w:rStyle w:val="Hyperlink"/>
            <w:rFonts w:asciiTheme="minorHAnsi" w:hAnsiTheme="minorHAnsi" w:cs="Arial"/>
            <w:lang w:eastAsia="en-AU"/>
          </w:rPr>
          <w:t>ncc@abcb.gov.au</w:t>
        </w:r>
      </w:hyperlink>
      <w:r w:rsidRPr="008604E6">
        <w:rPr>
          <w:rFonts w:asciiTheme="minorHAnsi" w:hAnsiTheme="minorHAnsi" w:cs="Arial"/>
        </w:rPr>
        <w:t xml:space="preserve">                    </w:t>
      </w:r>
    </w:p>
    <w:p w:rsidR="008604E6" w:rsidRPr="008604E6" w:rsidRDefault="008604E6" w:rsidP="008604E6">
      <w:pPr>
        <w:shd w:val="clear" w:color="auto" w:fill="FFFFFF"/>
        <w:rPr>
          <w:rFonts w:asciiTheme="minorHAnsi" w:hAnsiTheme="minorHAnsi" w:cs="Arial"/>
          <w:lang w:eastAsia="en-AU"/>
        </w:rPr>
      </w:pPr>
      <w:r w:rsidRPr="008604E6">
        <w:rPr>
          <w:rFonts w:asciiTheme="minorHAnsi" w:hAnsiTheme="minorHAnsi" w:cs="Arial"/>
        </w:rPr>
        <w:t>                       </w:t>
      </w:r>
      <w:r w:rsidR="009A0840">
        <w:rPr>
          <w:rFonts w:asciiTheme="minorHAnsi" w:hAnsiTheme="minorHAnsi" w:cs="Arial"/>
        </w:rPr>
        <w:t xml:space="preserve">Website: </w:t>
      </w:r>
      <w:r w:rsidRPr="008604E6">
        <w:rPr>
          <w:rFonts w:asciiTheme="minorHAnsi" w:hAnsiTheme="minorHAnsi" w:cs="Arial"/>
        </w:rPr>
        <w:t xml:space="preserve"> </w:t>
      </w:r>
      <w:hyperlink r:id="rId11" w:history="1">
        <w:r w:rsidRPr="008604E6">
          <w:rPr>
            <w:rStyle w:val="Hyperlink"/>
            <w:rFonts w:asciiTheme="minorHAnsi" w:hAnsiTheme="minorHAnsi" w:cs="Arial"/>
          </w:rPr>
          <w:t>www.abcb.gov.au</w:t>
        </w:r>
      </w:hyperlink>
      <w:r w:rsidRPr="008604E6">
        <w:rPr>
          <w:rFonts w:asciiTheme="minorHAnsi" w:hAnsiTheme="minorHAnsi" w:cs="Arial"/>
        </w:rPr>
        <w:t xml:space="preserve"> </w:t>
      </w:r>
    </w:p>
    <w:p w:rsidR="008604E6" w:rsidRDefault="008604E6" w:rsidP="008330D2">
      <w:pPr>
        <w:spacing w:before="120"/>
        <w:rPr>
          <w:rFonts w:asciiTheme="minorHAnsi" w:hAnsiTheme="minorHAnsi"/>
        </w:rPr>
      </w:pPr>
    </w:p>
    <w:p w:rsidR="001B39CC" w:rsidRDefault="001B39CC" w:rsidP="001B39CC">
      <w:pPr>
        <w:spacing w:before="240" w:after="0"/>
        <w:jc w:val="both"/>
        <w:rPr>
          <w:rFonts w:asciiTheme="majorHAnsi" w:hAnsiTheme="majorHAnsi"/>
          <w:color w:val="323E4F" w:themeColor="text2" w:themeShade="BF"/>
          <w:sz w:val="32"/>
          <w:szCs w:val="32"/>
        </w:rPr>
      </w:pPr>
      <w:r>
        <w:rPr>
          <w:rFonts w:asciiTheme="majorHAnsi" w:hAnsiTheme="majorHAnsi"/>
          <w:color w:val="323E4F" w:themeColor="text2" w:themeShade="BF"/>
          <w:sz w:val="32"/>
          <w:szCs w:val="32"/>
        </w:rPr>
        <w:br w:type="page"/>
      </w:r>
    </w:p>
    <w:p w:rsidR="002E3F8A" w:rsidRPr="006B660E" w:rsidRDefault="001B39CC" w:rsidP="002E3F8A">
      <w:pPr>
        <w:spacing w:before="240" w:after="0"/>
        <w:jc w:val="both"/>
        <w:rPr>
          <w:rFonts w:asciiTheme="majorHAnsi" w:hAnsiTheme="majorHAnsi"/>
          <w:color w:val="323E4F" w:themeColor="text2" w:themeShade="BF"/>
          <w:sz w:val="32"/>
          <w:szCs w:val="32"/>
        </w:rPr>
      </w:pPr>
      <w:r w:rsidRPr="006B660E">
        <w:rPr>
          <w:rFonts w:asciiTheme="majorHAnsi" w:hAnsiTheme="majorHAnsi"/>
          <w:color w:val="323E4F" w:themeColor="text2" w:themeShade="BF"/>
          <w:sz w:val="32"/>
          <w:szCs w:val="32"/>
        </w:rPr>
        <w:lastRenderedPageBreak/>
        <w:t>Copyright</w:t>
      </w:r>
    </w:p>
    <w:p w:rsidR="002E3F8A" w:rsidRPr="00CA7CD4" w:rsidRDefault="002E3F8A" w:rsidP="002E3F8A">
      <w:pPr>
        <w:spacing w:after="0"/>
        <w:rPr>
          <w:rFonts w:cs="Arial"/>
          <w:b/>
          <w:sz w:val="16"/>
          <w:szCs w:val="16"/>
        </w:rPr>
      </w:pPr>
    </w:p>
    <w:tbl>
      <w:tblPr>
        <w:tblW w:w="8789" w:type="dxa"/>
        <w:tblInd w:w="108"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1E0" w:firstRow="1" w:lastRow="1" w:firstColumn="1" w:lastColumn="1" w:noHBand="0" w:noVBand="0"/>
      </w:tblPr>
      <w:tblGrid>
        <w:gridCol w:w="8789"/>
      </w:tblGrid>
      <w:tr w:rsidR="002E3F8A" w:rsidRPr="00CA7CD4" w:rsidTr="002E3F8A">
        <w:trPr>
          <w:trHeight w:val="285"/>
        </w:trPr>
        <w:tc>
          <w:tcPr>
            <w:tcW w:w="8789" w:type="dxa"/>
            <w:tcBorders>
              <w:top w:val="single" w:sz="4" w:space="0" w:color="auto"/>
              <w:bottom w:val="single" w:sz="4" w:space="0" w:color="auto"/>
            </w:tcBorders>
            <w:shd w:val="clear" w:color="auto" w:fill="262626" w:themeFill="text1" w:themeFillTint="D9"/>
            <w:vAlign w:val="center"/>
          </w:tcPr>
          <w:p w:rsidR="002E3F8A" w:rsidRPr="00CA7CD4" w:rsidRDefault="002E3F8A" w:rsidP="002E3F8A">
            <w:pPr>
              <w:jc w:val="center"/>
              <w:rPr>
                <w:rFonts w:cs="Arial"/>
                <w:b/>
                <w:sz w:val="16"/>
                <w:szCs w:val="16"/>
              </w:rPr>
            </w:pPr>
            <w:r w:rsidRPr="00CA7CD4">
              <w:rPr>
                <w:rFonts w:cs="Arial"/>
                <w:b/>
                <w:color w:val="FFFFFF"/>
              </w:rPr>
              <w:t>Copyright and licence notice</w:t>
            </w:r>
          </w:p>
        </w:tc>
      </w:tr>
      <w:tr w:rsidR="002E3F8A" w:rsidRPr="0019106B" w:rsidTr="002E3F8A">
        <w:trPr>
          <w:trHeight w:val="285"/>
        </w:trPr>
        <w:tc>
          <w:tcPr>
            <w:tcW w:w="8789" w:type="dxa"/>
            <w:tcBorders>
              <w:top w:val="single" w:sz="4" w:space="0" w:color="auto"/>
              <w:bottom w:val="single" w:sz="4" w:space="0" w:color="auto"/>
            </w:tcBorders>
            <w:shd w:val="clear" w:color="auto" w:fill="auto"/>
            <w:vAlign w:val="center"/>
          </w:tcPr>
          <w:p w:rsidR="002E3F8A" w:rsidRPr="00CA7CD4" w:rsidRDefault="002E3F8A" w:rsidP="002E3F8A">
            <w:pPr>
              <w:spacing w:after="120"/>
              <w:jc w:val="center"/>
              <w:rPr>
                <w:rFonts w:cs="Arial"/>
                <w:b/>
                <w:sz w:val="18"/>
                <w:szCs w:val="16"/>
              </w:rPr>
            </w:pPr>
            <w:r w:rsidRPr="00CA7CD4">
              <w:rPr>
                <w:rFonts w:cs="Arial"/>
                <w:b/>
                <w:sz w:val="18"/>
                <w:szCs w:val="16"/>
              </w:rPr>
              <w:t>© 2018 Commonwealth of Australia and States and Territories of Australia</w:t>
            </w:r>
          </w:p>
          <w:p w:rsidR="002E3F8A" w:rsidRPr="00CA7CD4" w:rsidRDefault="002E3F8A" w:rsidP="002E3F8A">
            <w:pPr>
              <w:spacing w:after="120"/>
              <w:jc w:val="center"/>
              <w:rPr>
                <w:rFonts w:cs="Arial"/>
                <w:b/>
                <w:sz w:val="18"/>
                <w:szCs w:val="16"/>
              </w:rPr>
            </w:pPr>
            <w:r w:rsidRPr="00CA7CD4">
              <w:rPr>
                <w:rFonts w:cs="Arial"/>
                <w:b/>
                <w:sz w:val="18"/>
                <w:szCs w:val="16"/>
              </w:rPr>
              <w:t>Ownership of intellectual property rights</w:t>
            </w:r>
          </w:p>
          <w:p w:rsidR="002E3F8A" w:rsidRDefault="002E3F8A" w:rsidP="002E3F8A">
            <w:pPr>
              <w:spacing w:after="120"/>
              <w:jc w:val="center"/>
              <w:rPr>
                <w:rFonts w:cs="Arial"/>
                <w:sz w:val="18"/>
                <w:szCs w:val="16"/>
              </w:rPr>
            </w:pPr>
            <w:r w:rsidRPr="00CA7CD4">
              <w:rPr>
                <w:rFonts w:cs="Arial"/>
                <w:sz w:val="18"/>
                <w:szCs w:val="16"/>
              </w:rPr>
              <w:t>Unless otherwise noted, copyright (and any other intellectual property rights, if any) in this publication is jointly owned by the Commonwealth, States and Territories of Australia.</w:t>
            </w:r>
            <w:r w:rsidRPr="00CA7CD4" w:rsidDel="00FE1663">
              <w:rPr>
                <w:rFonts w:cs="Arial"/>
                <w:sz w:val="18"/>
                <w:szCs w:val="16"/>
              </w:rPr>
              <w:t xml:space="preserve"> </w:t>
            </w:r>
            <w:r w:rsidRPr="00CA7CD4">
              <w:rPr>
                <w:rFonts w:cs="Arial"/>
                <w:sz w:val="18"/>
                <w:szCs w:val="16"/>
              </w:rPr>
              <w:t xml:space="preserve"> </w:t>
            </w:r>
          </w:p>
          <w:p w:rsidR="003C7F15" w:rsidRDefault="003C7F15" w:rsidP="002E3F8A">
            <w:pPr>
              <w:spacing w:after="120"/>
              <w:jc w:val="center"/>
              <w:rPr>
                <w:rFonts w:cs="Arial"/>
                <w:b/>
                <w:sz w:val="18"/>
                <w:szCs w:val="16"/>
              </w:rPr>
            </w:pPr>
            <w:r w:rsidRPr="00CA7CD4">
              <w:rPr>
                <w:rFonts w:cs="Arial"/>
                <w:b/>
                <w:sz w:val="18"/>
                <w:szCs w:val="16"/>
              </w:rPr>
              <w:t>Creative Commons licence Attribution CC BY-NC-ND 4.0</w:t>
            </w:r>
          </w:p>
          <w:p w:rsidR="003C7F15" w:rsidRPr="00CA7CD4" w:rsidRDefault="003C7F15" w:rsidP="002E3F8A">
            <w:pPr>
              <w:spacing w:after="120"/>
              <w:jc w:val="center"/>
              <w:rPr>
                <w:rFonts w:cs="Arial"/>
                <w:sz w:val="18"/>
                <w:szCs w:val="16"/>
              </w:rPr>
            </w:pPr>
            <w:r w:rsidRPr="00CA7CD4">
              <w:rPr>
                <w:rFonts w:cs="Arial"/>
                <w:noProof/>
                <w:lang w:eastAsia="en-AU"/>
              </w:rPr>
              <w:drawing>
                <wp:inline distT="0" distB="0" distL="0" distR="0" wp14:anchorId="390ABA9D" wp14:editId="390ABA9E">
                  <wp:extent cx="957923" cy="337047"/>
                  <wp:effectExtent l="0" t="0" r="0" b="6350"/>
                  <wp:docPr id="8" name="Picture 8" descr="Creative Commons Icons&#10;" title="Creative Common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ND 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7526" cy="336907"/>
                          </a:xfrm>
                          <a:prstGeom prst="rect">
                            <a:avLst/>
                          </a:prstGeom>
                        </pic:spPr>
                      </pic:pic>
                    </a:graphicData>
                  </a:graphic>
                </wp:inline>
              </w:drawing>
            </w:r>
          </w:p>
          <w:p w:rsidR="002E3F8A" w:rsidRPr="00CA7CD4" w:rsidRDefault="002E3F8A" w:rsidP="002E3F8A">
            <w:pPr>
              <w:spacing w:after="120"/>
              <w:jc w:val="center"/>
              <w:rPr>
                <w:rFonts w:cs="Arial"/>
                <w:sz w:val="18"/>
                <w:szCs w:val="16"/>
              </w:rPr>
            </w:pPr>
            <w:r w:rsidRPr="00CA7CD4">
              <w:rPr>
                <w:rFonts w:cs="Arial"/>
                <w:sz w:val="18"/>
                <w:szCs w:val="16"/>
              </w:rPr>
              <w:t>All material in this publication is licensed under a Creative Commons Attribution-NonCommercial-NoDerivatives 4.0 International Licence, save for logos. Attribution-NonCommercial-NoDerivatives 4.0 International Licence is a standard form licence agreement that does not permit any commercial use or derivatives of the original work. Under this licence: you may only distribute a verbatim copy of the work and must not adapt or change the work in any way. You must give appropriate credit and provide a link to the licence. You may do so in any reasonable manner, but not in any way that suggests the Commonwealth of Australia, States and Territories of Australia or Australian Building Codes Board endorses you or your use. You may not use the material for commercial purposes. If you remix, transform, or build upon the material for your own use, you may not distribute the modified material.</w:t>
            </w:r>
          </w:p>
          <w:p w:rsidR="002E3F8A" w:rsidRPr="00CA7CD4" w:rsidRDefault="002E3F8A" w:rsidP="002E3F8A">
            <w:pPr>
              <w:spacing w:after="120"/>
              <w:jc w:val="center"/>
              <w:rPr>
                <w:rFonts w:cs="Arial"/>
                <w:sz w:val="18"/>
                <w:szCs w:val="16"/>
              </w:rPr>
            </w:pPr>
            <w:r w:rsidRPr="00CA7CD4">
              <w:rPr>
                <w:rFonts w:cs="Arial"/>
                <w:sz w:val="18"/>
                <w:szCs w:val="16"/>
              </w:rPr>
              <w:t xml:space="preserve">The full licence terms are available from </w:t>
            </w:r>
            <w:hyperlink r:id="rId13" w:history="1">
              <w:r w:rsidRPr="00CA7CD4">
                <w:rPr>
                  <w:rStyle w:val="Hyperlink"/>
                  <w:rFonts w:cs="Arial"/>
                  <w:sz w:val="18"/>
                  <w:szCs w:val="16"/>
                </w:rPr>
                <w:t>http://creativecommons.org/licenses/by-nc-nd/4.0/legalcode</w:t>
              </w:r>
            </w:hyperlink>
            <w:r w:rsidRPr="00CA7CD4">
              <w:rPr>
                <w:rFonts w:cs="Arial"/>
                <w:sz w:val="18"/>
                <w:szCs w:val="16"/>
              </w:rPr>
              <w:t>.</w:t>
            </w:r>
          </w:p>
          <w:p w:rsidR="002E3F8A" w:rsidRPr="00CA7CD4" w:rsidRDefault="002E3F8A" w:rsidP="002E3F8A">
            <w:pPr>
              <w:widowControl w:val="0"/>
              <w:spacing w:after="120"/>
              <w:jc w:val="center"/>
              <w:rPr>
                <w:rFonts w:cs="Arial"/>
                <w:sz w:val="18"/>
                <w:szCs w:val="16"/>
              </w:rPr>
            </w:pPr>
            <w:r w:rsidRPr="00CA7CD4">
              <w:rPr>
                <w:rFonts w:cs="Arial"/>
                <w:sz w:val="18"/>
                <w:szCs w:val="16"/>
              </w:rPr>
              <w:t>Content contained herein should be attributed as:</w:t>
            </w:r>
          </w:p>
          <w:p w:rsidR="002E3F8A" w:rsidRPr="0075597E" w:rsidRDefault="002E3F8A" w:rsidP="00DE3180">
            <w:pPr>
              <w:widowControl w:val="0"/>
              <w:spacing w:after="120"/>
              <w:jc w:val="center"/>
              <w:rPr>
                <w:rFonts w:cs="Arial"/>
                <w:sz w:val="16"/>
                <w:szCs w:val="16"/>
              </w:rPr>
            </w:pPr>
            <w:r w:rsidRPr="00CA7CD4">
              <w:rPr>
                <w:rFonts w:cs="Arial"/>
                <w:sz w:val="18"/>
                <w:szCs w:val="16"/>
              </w:rPr>
              <w:t xml:space="preserve">The </w:t>
            </w:r>
            <w:r>
              <w:rPr>
                <w:rFonts w:cs="Arial"/>
                <w:sz w:val="18"/>
                <w:szCs w:val="16"/>
              </w:rPr>
              <w:t xml:space="preserve">Fire Safety in Class 2 and 3 Buildings </w:t>
            </w:r>
            <w:r w:rsidR="00DE3180">
              <w:rPr>
                <w:rFonts w:cs="Arial"/>
                <w:sz w:val="18"/>
                <w:szCs w:val="16"/>
              </w:rPr>
              <w:t>Final</w:t>
            </w:r>
            <w:r w:rsidR="00DE3180" w:rsidRPr="00CA7CD4">
              <w:rPr>
                <w:rFonts w:cs="Arial"/>
                <w:sz w:val="18"/>
                <w:szCs w:val="16"/>
              </w:rPr>
              <w:t xml:space="preserve"> </w:t>
            </w:r>
            <w:r w:rsidRPr="00CA7CD4">
              <w:rPr>
                <w:rFonts w:cs="Arial"/>
                <w:sz w:val="18"/>
                <w:szCs w:val="16"/>
              </w:rPr>
              <w:t>RIS</w:t>
            </w:r>
            <w:r w:rsidRPr="00CA7CD4">
              <w:rPr>
                <w:rFonts w:cs="Arial"/>
                <w:position w:val="6"/>
                <w:sz w:val="14"/>
                <w:szCs w:val="16"/>
              </w:rPr>
              <w:t>©</w:t>
            </w:r>
            <w:r w:rsidRPr="00CA7CD4">
              <w:rPr>
                <w:rFonts w:cs="Arial"/>
                <w:sz w:val="18"/>
                <w:szCs w:val="16"/>
              </w:rPr>
              <w:t xml:space="preserve"> as released by the Australian Building Codes Board Office on behalf of the Commonwealth of Australia and States and Territories of Australia.</w:t>
            </w:r>
          </w:p>
        </w:tc>
      </w:tr>
    </w:tbl>
    <w:p w:rsidR="00847860" w:rsidRDefault="00847860" w:rsidP="001B39CC">
      <w:r>
        <w:br w:type="page"/>
      </w:r>
    </w:p>
    <w:p w:rsidR="001622CF" w:rsidRDefault="005A6118" w:rsidP="00CB3035">
      <w:pPr>
        <w:pStyle w:val="Heading1"/>
        <w:rPr>
          <w:noProof/>
        </w:rPr>
      </w:pPr>
      <w:bookmarkStart w:id="1" w:name="_Toc523234921"/>
      <w:bookmarkStart w:id="2" w:name="_Toc527709094"/>
      <w:r w:rsidRPr="005B5D36">
        <w:lastRenderedPageBreak/>
        <w:t>Table of Contents</w:t>
      </w:r>
      <w:bookmarkEnd w:id="1"/>
      <w:bookmarkEnd w:id="2"/>
      <w:r w:rsidR="00FC52E4">
        <w:rPr>
          <w:b w:val="0"/>
          <w:bCs w:val="0"/>
        </w:rPr>
        <w:fldChar w:fldCharType="begin"/>
      </w:r>
      <w:r w:rsidR="00FC52E4">
        <w:rPr>
          <w:b w:val="0"/>
          <w:bCs w:val="0"/>
        </w:rPr>
        <w:instrText xml:space="preserve"> TOC \o "1-1" \h \z \u </w:instrText>
      </w:r>
      <w:r w:rsidR="00FC52E4">
        <w:rPr>
          <w:b w:val="0"/>
          <w:bCs w:val="0"/>
        </w:rPr>
        <w:fldChar w:fldCharType="separate"/>
      </w:r>
    </w:p>
    <w:p w:rsidR="001622CF" w:rsidRPr="00E44583" w:rsidRDefault="00F70B53" w:rsidP="001622CF">
      <w:pPr>
        <w:pStyle w:val="TOC1"/>
        <w:rPr>
          <w:rFonts w:asciiTheme="minorHAnsi" w:eastAsiaTheme="minorEastAsia" w:hAnsiTheme="minorHAnsi" w:cstheme="minorHAnsi"/>
          <w:noProof/>
          <w:sz w:val="24"/>
          <w:szCs w:val="24"/>
          <w:lang w:eastAsia="en-AU"/>
        </w:rPr>
      </w:pPr>
      <w:hyperlink w:anchor="_Toc527709094" w:history="1">
        <w:r w:rsidR="001622CF" w:rsidRPr="00E44583">
          <w:rPr>
            <w:rStyle w:val="Hyperlink"/>
            <w:rFonts w:asciiTheme="minorHAnsi" w:hAnsiTheme="minorHAnsi" w:cstheme="minorHAnsi"/>
            <w:noProof/>
            <w:sz w:val="24"/>
            <w:szCs w:val="24"/>
          </w:rPr>
          <w:t>Table of Contents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_Toc527709094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5</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095" w:history="1">
        <w:r w:rsidR="001622CF" w:rsidRPr="00E44583">
          <w:rPr>
            <w:rStyle w:val="Hyperlink"/>
            <w:rFonts w:asciiTheme="minorHAnsi" w:hAnsiTheme="minorHAnsi" w:cstheme="minorHAnsi"/>
            <w:noProof/>
            <w:sz w:val="24"/>
            <w:szCs w:val="24"/>
          </w:rPr>
          <w:t>Glossary</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_Toc527709095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6</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096" w:history="1">
        <w:r w:rsidR="001622CF" w:rsidRPr="00E44583">
          <w:rPr>
            <w:rStyle w:val="Hyperlink"/>
            <w:rFonts w:asciiTheme="minorHAnsi" w:hAnsiTheme="minorHAnsi" w:cstheme="minorHAnsi"/>
            <w:noProof/>
            <w:sz w:val="24"/>
            <w:szCs w:val="24"/>
          </w:rPr>
          <w:t>Abbreviations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_Toc527709096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7</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097" w:history="1">
        <w:r w:rsidR="001622CF" w:rsidRPr="00E44583">
          <w:rPr>
            <w:rStyle w:val="Hyperlink"/>
            <w:rFonts w:asciiTheme="minorHAnsi" w:hAnsiTheme="minorHAnsi" w:cstheme="minorHAnsi"/>
            <w:noProof/>
            <w:sz w:val="24"/>
            <w:szCs w:val="24"/>
          </w:rPr>
          <w:t>Introduction</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_Toc527709097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8</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098" w:history="1">
        <w:r w:rsidR="001622CF" w:rsidRPr="00E44583">
          <w:rPr>
            <w:rStyle w:val="Hyperlink"/>
            <w:rFonts w:asciiTheme="minorHAnsi" w:hAnsiTheme="minorHAnsi" w:cstheme="minorHAnsi"/>
            <w:noProof/>
            <w:sz w:val="24"/>
            <w:szCs w:val="24"/>
          </w:rPr>
          <w:t>Objective</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_Toc527709098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18</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099" w:history="1">
        <w:r w:rsidR="001622CF" w:rsidRPr="00E44583">
          <w:rPr>
            <w:rStyle w:val="Hyperlink"/>
            <w:rFonts w:asciiTheme="minorHAnsi" w:hAnsiTheme="minorHAnsi" w:cstheme="minorHAnsi"/>
            <w:noProof/>
            <w:sz w:val="24"/>
            <w:szCs w:val="24"/>
          </w:rPr>
          <w:t>Options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_Toc527709099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18</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0" w:history="1">
        <w:r w:rsidR="001622CF" w:rsidRPr="00E44583">
          <w:rPr>
            <w:rStyle w:val="Hyperlink"/>
            <w:rFonts w:asciiTheme="minorHAnsi" w:hAnsiTheme="minorHAnsi" w:cstheme="minorHAnsi"/>
            <w:noProof/>
            <w:sz w:val="24"/>
            <w:szCs w:val="24"/>
          </w:rPr>
          <w:t>Impact Analysis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_Toc527709100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23</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1" w:history="1">
        <w:r w:rsidR="001622CF" w:rsidRPr="00E44583">
          <w:rPr>
            <w:rStyle w:val="Hyperlink"/>
            <w:rFonts w:asciiTheme="minorHAnsi" w:hAnsiTheme="minorHAnsi" w:cstheme="minorHAnsi"/>
            <w:noProof/>
            <w:sz w:val="24"/>
            <w:szCs w:val="24"/>
          </w:rPr>
          <w:t>Option 1</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_Toc527709101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26</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2" w:history="1">
        <w:r w:rsidR="001622CF" w:rsidRPr="00E44583">
          <w:rPr>
            <w:rStyle w:val="Hyperlink"/>
            <w:rFonts w:asciiTheme="minorHAnsi" w:hAnsiTheme="minorHAnsi" w:cstheme="minorHAnsi"/>
            <w:noProof/>
            <w:sz w:val="24"/>
            <w:szCs w:val="24"/>
          </w:rPr>
          <w:t>Uptake of Alternative Sprinkler Specifications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_Toc527709102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38</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3" w:history="1">
        <w:r w:rsidR="001622CF" w:rsidRPr="00E44583">
          <w:rPr>
            <w:rStyle w:val="Hyperlink"/>
            <w:rFonts w:asciiTheme="minorHAnsi" w:hAnsiTheme="minorHAnsi" w:cstheme="minorHAnsi"/>
            <w:noProof/>
            <w:sz w:val="24"/>
            <w:szCs w:val="24"/>
          </w:rPr>
          <w:t>Option 2</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_Toc527709103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40</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4" w:history="1">
        <w:r w:rsidR="001622CF" w:rsidRPr="00E44583">
          <w:rPr>
            <w:rStyle w:val="Hyperlink"/>
            <w:rFonts w:asciiTheme="minorHAnsi" w:hAnsiTheme="minorHAnsi" w:cstheme="minorHAnsi"/>
            <w:noProof/>
            <w:sz w:val="24"/>
            <w:szCs w:val="24"/>
          </w:rPr>
          <w:t>Sensitivity Analysis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_Toc527709104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42</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5" w:history="1">
        <w:r w:rsidR="001622CF" w:rsidRPr="00E44583">
          <w:rPr>
            <w:rStyle w:val="Hyperlink"/>
            <w:rFonts w:asciiTheme="minorHAnsi" w:hAnsiTheme="minorHAnsi" w:cstheme="minorHAnsi"/>
            <w:noProof/>
            <w:sz w:val="24"/>
            <w:szCs w:val="24"/>
          </w:rPr>
          <w:t>Unintended Consequences</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_Toc527709105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43</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6" w:history="1">
        <w:r w:rsidR="001622CF" w:rsidRPr="00E44583">
          <w:rPr>
            <w:rStyle w:val="Hyperlink"/>
            <w:rFonts w:asciiTheme="minorHAnsi" w:hAnsiTheme="minorHAnsi" w:cstheme="minorHAnsi"/>
            <w:noProof/>
            <w:sz w:val="24"/>
            <w:szCs w:val="24"/>
          </w:rPr>
          <w:t>Business Compliance Cost</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_Toc527709106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44</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7" w:history="1">
        <w:r w:rsidR="001622CF" w:rsidRPr="00E44583">
          <w:rPr>
            <w:rStyle w:val="Hyperlink"/>
            <w:rFonts w:asciiTheme="minorHAnsi" w:hAnsiTheme="minorHAnsi" w:cstheme="minorHAnsi"/>
            <w:noProof/>
            <w:sz w:val="24"/>
            <w:szCs w:val="24"/>
          </w:rPr>
          <w:t>Regulatory Burden</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_Toc527709107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44</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8" w:history="1">
        <w:r w:rsidR="001622CF" w:rsidRPr="00E44583">
          <w:rPr>
            <w:rStyle w:val="Hyperlink"/>
            <w:rFonts w:asciiTheme="minorHAnsi" w:hAnsiTheme="minorHAnsi" w:cstheme="minorHAnsi"/>
            <w:noProof/>
            <w:sz w:val="24"/>
            <w:szCs w:val="24"/>
          </w:rPr>
          <w:t>Consultation</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_Toc527709108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46</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09" w:history="1">
        <w:r w:rsidR="001622CF" w:rsidRPr="00E44583">
          <w:rPr>
            <w:rStyle w:val="Hyperlink"/>
            <w:rFonts w:asciiTheme="minorHAnsi" w:hAnsiTheme="minorHAnsi" w:cstheme="minorHAnsi"/>
            <w:noProof/>
            <w:sz w:val="24"/>
            <w:szCs w:val="24"/>
          </w:rPr>
          <w:t>Conclusion</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_Toc527709109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47</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10" w:history="1">
        <w:r w:rsidR="001622CF" w:rsidRPr="00E44583">
          <w:rPr>
            <w:rStyle w:val="Hyperlink"/>
            <w:rFonts w:asciiTheme="minorHAnsi" w:hAnsiTheme="minorHAnsi" w:cstheme="minorHAnsi"/>
            <w:noProof/>
            <w:sz w:val="24"/>
            <w:szCs w:val="24"/>
          </w:rPr>
          <w:t>Implementation and Review</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_Toc527709110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47</w:t>
        </w:r>
        <w:r w:rsidR="001622CF" w:rsidRPr="00E44583">
          <w:rPr>
            <w:rFonts w:asciiTheme="minorHAnsi" w:hAnsiTheme="minorHAnsi" w:cstheme="minorHAnsi"/>
            <w:noProof/>
            <w:webHidden/>
            <w:sz w:val="24"/>
            <w:szCs w:val="24"/>
          </w:rPr>
          <w:fldChar w:fldCharType="end"/>
        </w:r>
      </w:hyperlink>
    </w:p>
    <w:p w:rsidR="001622CF" w:rsidRPr="00E44583" w:rsidRDefault="00F70B53" w:rsidP="00AF533E">
      <w:pPr>
        <w:pStyle w:val="TOC1"/>
        <w:rPr>
          <w:rFonts w:asciiTheme="minorHAnsi" w:eastAsiaTheme="minorEastAsia" w:hAnsiTheme="minorHAnsi" w:cstheme="minorHAnsi"/>
          <w:noProof/>
          <w:sz w:val="24"/>
          <w:szCs w:val="24"/>
          <w:lang w:eastAsia="en-AU"/>
        </w:rPr>
      </w:pPr>
      <w:hyperlink w:anchor="_Toc527709111" w:history="1">
        <w:r w:rsidR="001622CF" w:rsidRPr="00E44583">
          <w:rPr>
            <w:rStyle w:val="Hyperlink"/>
            <w:rFonts w:asciiTheme="minorHAnsi" w:hAnsiTheme="minorHAnsi" w:cstheme="minorHAnsi"/>
            <w:noProof/>
            <w:sz w:val="24"/>
            <w:szCs w:val="24"/>
          </w:rPr>
          <w:t>Appendix A: International Comparison</w:t>
        </w:r>
        <w:r w:rsidR="001622CF" w:rsidRPr="00E44583">
          <w:rPr>
            <w:rFonts w:asciiTheme="minorHAnsi" w:hAnsiTheme="minorHAnsi" w:cstheme="minorHAnsi"/>
            <w:noProof/>
            <w:webHidden/>
            <w:sz w:val="24"/>
            <w:szCs w:val="24"/>
          </w:rPr>
          <w:tab/>
        </w:r>
        <w:r w:rsidR="001622CF" w:rsidRPr="00E44583">
          <w:rPr>
            <w:rFonts w:asciiTheme="minorHAnsi" w:hAnsiTheme="minorHAnsi" w:cstheme="minorHAnsi"/>
            <w:noProof/>
            <w:webHidden/>
            <w:sz w:val="24"/>
            <w:szCs w:val="24"/>
          </w:rPr>
          <w:fldChar w:fldCharType="begin"/>
        </w:r>
        <w:r w:rsidR="001622CF" w:rsidRPr="00E44583">
          <w:rPr>
            <w:rFonts w:asciiTheme="minorHAnsi" w:hAnsiTheme="minorHAnsi" w:cstheme="minorHAnsi"/>
            <w:noProof/>
            <w:webHidden/>
            <w:sz w:val="24"/>
            <w:szCs w:val="24"/>
          </w:rPr>
          <w:instrText xml:space="preserve"> PAGEREF _Toc527709111 \h </w:instrText>
        </w:r>
        <w:r w:rsidR="001622CF" w:rsidRPr="00E44583">
          <w:rPr>
            <w:rFonts w:asciiTheme="minorHAnsi" w:hAnsiTheme="minorHAnsi" w:cstheme="minorHAnsi"/>
            <w:noProof/>
            <w:webHidden/>
            <w:sz w:val="24"/>
            <w:szCs w:val="24"/>
          </w:rPr>
        </w:r>
        <w:r w:rsidR="001622CF" w:rsidRPr="00E44583">
          <w:rPr>
            <w:rFonts w:asciiTheme="minorHAnsi" w:hAnsiTheme="minorHAnsi" w:cstheme="minorHAnsi"/>
            <w:noProof/>
            <w:webHidden/>
            <w:sz w:val="24"/>
            <w:szCs w:val="24"/>
          </w:rPr>
          <w:fldChar w:fldCharType="separate"/>
        </w:r>
        <w:r w:rsidR="00156401">
          <w:rPr>
            <w:rFonts w:asciiTheme="minorHAnsi" w:hAnsiTheme="minorHAnsi" w:cstheme="minorHAnsi"/>
            <w:noProof/>
            <w:webHidden/>
            <w:sz w:val="24"/>
            <w:szCs w:val="24"/>
          </w:rPr>
          <w:t>49</w:t>
        </w:r>
        <w:r w:rsidR="001622CF" w:rsidRPr="00E44583">
          <w:rPr>
            <w:rFonts w:asciiTheme="minorHAnsi" w:hAnsiTheme="minorHAnsi" w:cstheme="minorHAnsi"/>
            <w:noProof/>
            <w:webHidden/>
            <w:sz w:val="24"/>
            <w:szCs w:val="24"/>
          </w:rPr>
          <w:fldChar w:fldCharType="end"/>
        </w:r>
      </w:hyperlink>
    </w:p>
    <w:p w:rsidR="004822D3" w:rsidRPr="008A56B3" w:rsidRDefault="00FC52E4" w:rsidP="00FE3334">
      <w:pPr>
        <w:pStyle w:val="Heading1"/>
        <w:rPr>
          <w:sz w:val="28"/>
        </w:rPr>
        <w:sectPr w:rsidR="004822D3" w:rsidRPr="008A56B3" w:rsidSect="004822D3">
          <w:footerReference w:type="default" r:id="rId14"/>
          <w:footerReference w:type="first" r:id="rId15"/>
          <w:pgSz w:w="11906" w:h="16838"/>
          <w:pgMar w:top="1440" w:right="1440" w:bottom="1440" w:left="1440" w:header="708" w:footer="708" w:gutter="0"/>
          <w:cols w:space="708"/>
          <w:docGrid w:linePitch="360"/>
        </w:sectPr>
      </w:pPr>
      <w:r>
        <w:rPr>
          <w:rFonts w:ascii="Arial" w:eastAsiaTheme="minorHAnsi" w:hAnsi="Arial" w:cstheme="minorBidi"/>
          <w:b w:val="0"/>
          <w:bCs w:val="0"/>
          <w:color w:val="auto"/>
          <w:sz w:val="22"/>
          <w:szCs w:val="22"/>
        </w:rPr>
        <w:fldChar w:fldCharType="end"/>
      </w:r>
    </w:p>
    <w:p w:rsidR="006B660E" w:rsidRPr="005B5D36" w:rsidRDefault="00E95F85" w:rsidP="0003376D">
      <w:pPr>
        <w:pStyle w:val="Heading1"/>
        <w:spacing w:before="360" w:after="240"/>
        <w:rPr>
          <w:rStyle w:val="Strong"/>
          <w:rFonts w:ascii="Arial" w:eastAsiaTheme="minorHAnsi" w:hAnsi="Arial" w:cstheme="minorBidi"/>
          <w:b/>
          <w:bCs/>
          <w:color w:val="auto"/>
          <w:sz w:val="22"/>
          <w:szCs w:val="22"/>
        </w:rPr>
      </w:pPr>
      <w:bookmarkStart w:id="3" w:name="_Toc505333468"/>
      <w:bookmarkStart w:id="4" w:name="_Toc527709095"/>
      <w:r w:rsidRPr="005B5D36">
        <w:lastRenderedPageBreak/>
        <w:t>Glossary</w:t>
      </w:r>
      <w:bookmarkEnd w:id="3"/>
      <w:bookmarkEnd w:id="4"/>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CC Definitions"/>
      </w:tblPr>
      <w:tblGrid>
        <w:gridCol w:w="2268"/>
        <w:gridCol w:w="5953"/>
      </w:tblGrid>
      <w:tr w:rsidR="002B0689" w:rsidRPr="00E95F85" w:rsidTr="009B552B">
        <w:trPr>
          <w:tblHeader/>
        </w:trPr>
        <w:tc>
          <w:tcPr>
            <w:tcW w:w="2268" w:type="dxa"/>
          </w:tcPr>
          <w:p w:rsidR="002B0689" w:rsidRPr="00E95F85" w:rsidRDefault="002B0689" w:rsidP="00C465E5">
            <w:pPr>
              <w:spacing w:before="120"/>
              <w:rPr>
                <w:b/>
                <w:bCs/>
              </w:rPr>
            </w:pPr>
            <w:r>
              <w:rPr>
                <w:b/>
                <w:bCs/>
              </w:rPr>
              <w:t>Term</w:t>
            </w:r>
          </w:p>
        </w:tc>
        <w:tc>
          <w:tcPr>
            <w:tcW w:w="5953" w:type="dxa"/>
          </w:tcPr>
          <w:p w:rsidR="002B0689" w:rsidRPr="00E95F85" w:rsidRDefault="002B0689" w:rsidP="00C465E5">
            <w:pPr>
              <w:spacing w:before="120"/>
              <w:rPr>
                <w:b/>
                <w:bCs/>
              </w:rPr>
            </w:pPr>
            <w:r>
              <w:rPr>
                <w:b/>
                <w:bCs/>
              </w:rPr>
              <w:t>Meaning</w:t>
            </w:r>
          </w:p>
        </w:tc>
      </w:tr>
      <w:tr w:rsidR="002B0689" w:rsidRPr="006B660E" w:rsidTr="00C465E5">
        <w:trPr>
          <w:tblHeader/>
        </w:trPr>
        <w:tc>
          <w:tcPr>
            <w:tcW w:w="2268" w:type="dxa"/>
          </w:tcPr>
          <w:p w:rsidR="002B0689" w:rsidRPr="002B0689" w:rsidRDefault="002B0689" w:rsidP="00C465E5">
            <w:pPr>
              <w:spacing w:before="120"/>
              <w:rPr>
                <w:rFonts w:asciiTheme="minorHAnsi" w:hAnsiTheme="minorHAnsi"/>
              </w:rPr>
            </w:pPr>
            <w:r w:rsidRPr="002B0689">
              <w:rPr>
                <w:rFonts w:asciiTheme="minorHAnsi" w:hAnsiTheme="minorHAnsi"/>
              </w:rPr>
              <w:t>Class 2 building</w:t>
            </w:r>
          </w:p>
        </w:tc>
        <w:tc>
          <w:tcPr>
            <w:tcW w:w="5953" w:type="dxa"/>
          </w:tcPr>
          <w:p w:rsidR="002B0689" w:rsidRPr="006B660E" w:rsidRDefault="00104179" w:rsidP="00C465E5">
            <w:pPr>
              <w:spacing w:before="120"/>
              <w:rPr>
                <w:rFonts w:asciiTheme="minorHAnsi" w:hAnsiTheme="minorHAnsi"/>
              </w:rPr>
            </w:pPr>
            <w:r>
              <w:rPr>
                <w:rFonts w:asciiTheme="minorHAnsi" w:hAnsiTheme="minorHAnsi"/>
              </w:rPr>
              <w:t xml:space="preserve">A building </w:t>
            </w:r>
            <w:r w:rsidRPr="002A3F98">
              <w:rPr>
                <w:rFonts w:asciiTheme="minorHAnsi" w:eastAsia="Times New Roman" w:hAnsiTheme="minorHAnsi" w:cs="Arial"/>
                <w:lang w:eastAsia="en-AU"/>
              </w:rPr>
              <w:t xml:space="preserve">containing 2 or more </w:t>
            </w:r>
            <w:r w:rsidRPr="00987A29">
              <w:rPr>
                <w:rFonts w:asciiTheme="minorHAnsi" w:eastAsia="Times New Roman" w:hAnsiTheme="minorHAnsi" w:cs="Arial"/>
                <w:lang w:eastAsia="en-AU"/>
              </w:rPr>
              <w:t>sole-occupancy units</w:t>
            </w:r>
            <w:r w:rsidRPr="002A3F98">
              <w:rPr>
                <w:rFonts w:asciiTheme="minorHAnsi" w:eastAsia="Times New Roman" w:hAnsiTheme="minorHAnsi" w:cs="Arial"/>
                <w:lang w:eastAsia="en-AU"/>
              </w:rPr>
              <w:t xml:space="preserve"> each being a sepa</w:t>
            </w:r>
            <w:r w:rsidR="008A7F5F">
              <w:rPr>
                <w:rFonts w:asciiTheme="minorHAnsi" w:eastAsia="Times New Roman" w:hAnsiTheme="minorHAnsi" w:cs="Arial"/>
                <w:lang w:eastAsia="en-AU"/>
              </w:rPr>
              <w:t>ra</w:t>
            </w:r>
            <w:r w:rsidRPr="002A3F98">
              <w:rPr>
                <w:rFonts w:asciiTheme="minorHAnsi" w:eastAsia="Times New Roman" w:hAnsiTheme="minorHAnsi" w:cs="Arial"/>
                <w:lang w:eastAsia="en-AU"/>
              </w:rPr>
              <w:t>te dwelling.</w:t>
            </w:r>
          </w:p>
        </w:tc>
      </w:tr>
      <w:tr w:rsidR="00104179" w:rsidRPr="006B660E" w:rsidTr="00C465E5">
        <w:trPr>
          <w:tblHeader/>
        </w:trPr>
        <w:tc>
          <w:tcPr>
            <w:tcW w:w="2268" w:type="dxa"/>
          </w:tcPr>
          <w:p w:rsidR="00104179" w:rsidRPr="002B0689" w:rsidRDefault="00104179" w:rsidP="00C465E5">
            <w:pPr>
              <w:spacing w:before="120"/>
              <w:rPr>
                <w:rFonts w:asciiTheme="minorHAnsi" w:hAnsiTheme="minorHAnsi"/>
              </w:rPr>
            </w:pPr>
            <w:r>
              <w:rPr>
                <w:rFonts w:asciiTheme="minorHAnsi" w:hAnsiTheme="minorHAnsi"/>
              </w:rPr>
              <w:t xml:space="preserve">Class 3 building </w:t>
            </w:r>
          </w:p>
        </w:tc>
        <w:tc>
          <w:tcPr>
            <w:tcW w:w="5953" w:type="dxa"/>
          </w:tcPr>
          <w:p w:rsidR="00104179" w:rsidRPr="002A3F98" w:rsidRDefault="00104179" w:rsidP="00BC6293">
            <w:pPr>
              <w:spacing w:before="120"/>
              <w:rPr>
                <w:rFonts w:asciiTheme="minorHAnsi" w:eastAsia="Times New Roman" w:hAnsiTheme="minorHAnsi" w:cs="Arial"/>
                <w:lang w:eastAsia="en-AU"/>
              </w:rPr>
            </w:pPr>
            <w:r w:rsidRPr="002A3F98">
              <w:rPr>
                <w:rFonts w:asciiTheme="minorHAnsi" w:eastAsia="Times New Roman" w:hAnsiTheme="minorHAnsi" w:cs="Arial"/>
                <w:lang w:eastAsia="en-AU"/>
              </w:rPr>
              <w:t>A residential building, other than a building of Class 1 or 2, which is a common place of long term or transient living for a number of unrelated persons, including–</w:t>
            </w:r>
          </w:p>
          <w:p w:rsidR="00104179" w:rsidRPr="002A3F98" w:rsidRDefault="00104179" w:rsidP="00E10DFB">
            <w:pPr>
              <w:spacing w:before="120"/>
              <w:ind w:left="351" w:hanging="351"/>
              <w:rPr>
                <w:rFonts w:asciiTheme="minorHAnsi" w:eastAsia="Times New Roman" w:hAnsiTheme="minorHAnsi" w:cs="Arial"/>
                <w:lang w:eastAsia="en-AU"/>
              </w:rPr>
            </w:pPr>
            <w:r w:rsidRPr="002A3F98">
              <w:rPr>
                <w:rFonts w:asciiTheme="minorHAnsi" w:eastAsia="Times New Roman" w:hAnsiTheme="minorHAnsi" w:cs="Arial"/>
                <w:lang w:eastAsia="en-AU"/>
              </w:rPr>
              <w:t>(a) a boarding house, guest house, hostel, lodging house or backpackers accommodation; or</w:t>
            </w:r>
          </w:p>
          <w:p w:rsidR="00104179" w:rsidRPr="002A3F98" w:rsidRDefault="00104179" w:rsidP="00E10DFB">
            <w:pPr>
              <w:spacing w:before="120"/>
              <w:rPr>
                <w:rFonts w:asciiTheme="minorHAnsi" w:eastAsia="Times New Roman" w:hAnsiTheme="minorHAnsi" w:cs="Arial"/>
                <w:lang w:eastAsia="en-AU"/>
              </w:rPr>
            </w:pPr>
            <w:r w:rsidRPr="002A3F98">
              <w:rPr>
                <w:rFonts w:asciiTheme="minorHAnsi" w:eastAsia="Times New Roman" w:hAnsiTheme="minorHAnsi" w:cs="Arial"/>
                <w:lang w:eastAsia="en-AU"/>
              </w:rPr>
              <w:t>(b) a residential part of a hotel or motel; or</w:t>
            </w:r>
          </w:p>
          <w:p w:rsidR="00104179" w:rsidRPr="002A3F98" w:rsidRDefault="00104179" w:rsidP="00E10DFB">
            <w:pPr>
              <w:spacing w:before="120"/>
              <w:rPr>
                <w:rFonts w:asciiTheme="minorHAnsi" w:eastAsia="Times New Roman" w:hAnsiTheme="minorHAnsi" w:cs="Arial"/>
                <w:lang w:eastAsia="en-AU"/>
              </w:rPr>
            </w:pPr>
            <w:r w:rsidRPr="002A3F98">
              <w:rPr>
                <w:rFonts w:asciiTheme="minorHAnsi" w:eastAsia="Times New Roman" w:hAnsiTheme="minorHAnsi" w:cs="Arial"/>
                <w:lang w:eastAsia="en-AU"/>
              </w:rPr>
              <w:t>(c) a residential part of a school; or</w:t>
            </w:r>
          </w:p>
          <w:p w:rsidR="00104179" w:rsidRPr="002A3F98" w:rsidRDefault="00104179" w:rsidP="00E10DFB">
            <w:pPr>
              <w:tabs>
                <w:tab w:val="left" w:pos="145"/>
              </w:tabs>
              <w:spacing w:before="120"/>
              <w:ind w:left="351" w:hanging="351"/>
              <w:rPr>
                <w:rFonts w:asciiTheme="minorHAnsi" w:eastAsia="Times New Roman" w:hAnsiTheme="minorHAnsi" w:cs="Arial"/>
                <w:lang w:eastAsia="en-AU"/>
              </w:rPr>
            </w:pPr>
            <w:r w:rsidRPr="002A3F98">
              <w:rPr>
                <w:rFonts w:asciiTheme="minorHAnsi" w:eastAsia="Times New Roman" w:hAnsiTheme="minorHAnsi" w:cs="Arial"/>
                <w:lang w:eastAsia="en-AU"/>
              </w:rPr>
              <w:t>(d) accommodation for the aged, children or people with disabilities</w:t>
            </w:r>
            <w:r w:rsidRPr="002A3F98">
              <w:rPr>
                <w:rStyle w:val="FootnoteReference"/>
                <w:rFonts w:asciiTheme="minorHAnsi" w:eastAsia="Times New Roman" w:hAnsiTheme="minorHAnsi" w:cs="Arial"/>
                <w:lang w:eastAsia="en-AU"/>
              </w:rPr>
              <w:footnoteReference w:id="2"/>
            </w:r>
          </w:p>
          <w:p w:rsidR="008A7F5F" w:rsidRDefault="00104179" w:rsidP="00E10DFB">
            <w:pPr>
              <w:spacing w:before="120"/>
              <w:ind w:left="209" w:hanging="209"/>
              <w:rPr>
                <w:rFonts w:asciiTheme="minorHAnsi" w:eastAsia="Times New Roman" w:hAnsiTheme="minorHAnsi" w:cs="Arial"/>
                <w:lang w:eastAsia="en-AU"/>
              </w:rPr>
            </w:pPr>
            <w:r w:rsidRPr="002A3F98">
              <w:rPr>
                <w:rFonts w:asciiTheme="minorHAnsi" w:eastAsia="Times New Roman" w:hAnsiTheme="minorHAnsi" w:cs="Arial"/>
                <w:lang w:eastAsia="en-AU"/>
              </w:rPr>
              <w:t xml:space="preserve">(e) a residential part of a </w:t>
            </w:r>
            <w:r w:rsidRPr="00987A29">
              <w:rPr>
                <w:rFonts w:asciiTheme="minorHAnsi" w:eastAsia="Times New Roman" w:hAnsiTheme="minorHAnsi" w:cs="Arial"/>
                <w:lang w:eastAsia="en-AU"/>
              </w:rPr>
              <w:t>health care building</w:t>
            </w:r>
            <w:r w:rsidRPr="002A3F98">
              <w:rPr>
                <w:rFonts w:asciiTheme="minorHAnsi" w:eastAsia="Times New Roman" w:hAnsiTheme="minorHAnsi" w:cs="Arial"/>
                <w:lang w:eastAsia="en-AU"/>
              </w:rPr>
              <w:t xml:space="preserve"> which accommodates members of staff; or </w:t>
            </w:r>
          </w:p>
          <w:p w:rsidR="00104179" w:rsidRPr="002A3F98" w:rsidRDefault="008A7F5F">
            <w:pPr>
              <w:spacing w:before="120"/>
              <w:rPr>
                <w:rFonts w:asciiTheme="minorHAnsi" w:eastAsia="Times New Roman" w:hAnsiTheme="minorHAnsi" w:cs="Arial"/>
                <w:lang w:eastAsia="en-AU"/>
              </w:rPr>
            </w:pPr>
            <w:r>
              <w:rPr>
                <w:rFonts w:asciiTheme="minorHAnsi" w:eastAsia="Times New Roman" w:hAnsiTheme="minorHAnsi" w:cs="Arial"/>
                <w:lang w:eastAsia="en-AU"/>
              </w:rPr>
              <w:t xml:space="preserve">(f) </w:t>
            </w:r>
            <w:r w:rsidR="00104179" w:rsidRPr="002A3F98">
              <w:rPr>
                <w:rFonts w:asciiTheme="minorHAnsi" w:eastAsia="Times New Roman" w:hAnsiTheme="minorHAnsi" w:cs="Arial"/>
                <w:lang w:eastAsia="en-AU"/>
              </w:rPr>
              <w:t>a residential part of a detention centre.</w:t>
            </w:r>
          </w:p>
          <w:p w:rsidR="00104179" w:rsidRDefault="00104179" w:rsidP="00C465E5">
            <w:pPr>
              <w:spacing w:before="120"/>
              <w:rPr>
                <w:rFonts w:asciiTheme="minorHAnsi" w:hAnsiTheme="minorHAnsi"/>
              </w:rPr>
            </w:pPr>
          </w:p>
        </w:tc>
      </w:tr>
      <w:tr w:rsidR="00DD4216" w:rsidRPr="006B660E" w:rsidTr="00C465E5">
        <w:trPr>
          <w:tblHeader/>
        </w:trPr>
        <w:tc>
          <w:tcPr>
            <w:tcW w:w="2268" w:type="dxa"/>
          </w:tcPr>
          <w:p w:rsidR="00DD4216" w:rsidRDefault="00DD4216" w:rsidP="00C465E5">
            <w:pPr>
              <w:spacing w:before="120"/>
              <w:rPr>
                <w:rFonts w:asciiTheme="minorHAnsi" w:hAnsiTheme="minorHAnsi"/>
              </w:rPr>
            </w:pPr>
            <w:r>
              <w:rPr>
                <w:rFonts w:asciiTheme="minorHAnsi" w:hAnsiTheme="minorHAnsi"/>
              </w:rPr>
              <w:t>Deemed-to-Satisfy Provisions</w:t>
            </w:r>
          </w:p>
        </w:tc>
        <w:tc>
          <w:tcPr>
            <w:tcW w:w="5953" w:type="dxa"/>
          </w:tcPr>
          <w:p w:rsidR="00EB19C9" w:rsidRPr="002A3F98" w:rsidRDefault="00DD4216" w:rsidP="00BC6293">
            <w:pPr>
              <w:spacing w:before="120"/>
              <w:rPr>
                <w:rFonts w:asciiTheme="minorHAnsi" w:eastAsia="Times New Roman" w:hAnsiTheme="minorHAnsi" w:cs="Arial"/>
                <w:lang w:eastAsia="en-AU"/>
              </w:rPr>
            </w:pPr>
            <w:r>
              <w:rPr>
                <w:rFonts w:asciiTheme="minorHAnsi" w:eastAsia="Times New Roman" w:hAnsiTheme="minorHAnsi" w:cs="Arial"/>
                <w:lang w:eastAsia="en-AU"/>
              </w:rPr>
              <w:t xml:space="preserve">Means provisions which are deemed to satisfy the Performance Requirements. </w:t>
            </w:r>
          </w:p>
        </w:tc>
      </w:tr>
      <w:tr w:rsidR="00B13A13" w:rsidRPr="006B660E" w:rsidTr="00C465E5">
        <w:trPr>
          <w:tblHeader/>
        </w:trPr>
        <w:tc>
          <w:tcPr>
            <w:tcW w:w="2268" w:type="dxa"/>
          </w:tcPr>
          <w:p w:rsidR="00B13A13" w:rsidRDefault="00B13A13" w:rsidP="00C465E5">
            <w:pPr>
              <w:spacing w:before="120"/>
              <w:rPr>
                <w:rFonts w:asciiTheme="minorHAnsi" w:hAnsiTheme="minorHAnsi"/>
              </w:rPr>
            </w:pPr>
            <w:r>
              <w:rPr>
                <w:rFonts w:asciiTheme="minorHAnsi" w:hAnsiTheme="minorHAnsi"/>
              </w:rPr>
              <w:t>Deemed-to-Satisfy Solution</w:t>
            </w:r>
          </w:p>
        </w:tc>
        <w:tc>
          <w:tcPr>
            <w:tcW w:w="5953" w:type="dxa"/>
          </w:tcPr>
          <w:p w:rsidR="00B13A13" w:rsidRDefault="00B13A13" w:rsidP="00BC6293">
            <w:pPr>
              <w:spacing w:before="120"/>
              <w:rPr>
                <w:rFonts w:asciiTheme="minorHAnsi" w:eastAsia="Times New Roman" w:hAnsiTheme="minorHAnsi" w:cs="Arial"/>
                <w:lang w:eastAsia="en-AU"/>
              </w:rPr>
            </w:pPr>
            <w:r>
              <w:rPr>
                <w:rFonts w:asciiTheme="minorHAnsi" w:eastAsia="Times New Roman" w:hAnsiTheme="minorHAnsi" w:cs="Arial"/>
                <w:lang w:eastAsia="en-AU"/>
              </w:rPr>
              <w:t xml:space="preserve">Means a method of satisfying the Deemed-to-Satisfy Provisions </w:t>
            </w:r>
          </w:p>
        </w:tc>
      </w:tr>
      <w:tr w:rsidR="00EB19C9" w:rsidRPr="006B660E" w:rsidTr="00C465E5">
        <w:trPr>
          <w:tblHeader/>
        </w:trPr>
        <w:tc>
          <w:tcPr>
            <w:tcW w:w="2268" w:type="dxa"/>
          </w:tcPr>
          <w:p w:rsidR="00EB19C9" w:rsidRDefault="00EB19C9" w:rsidP="00C465E5">
            <w:pPr>
              <w:spacing w:before="120"/>
              <w:rPr>
                <w:rFonts w:asciiTheme="minorHAnsi" w:hAnsiTheme="minorHAnsi"/>
              </w:rPr>
            </w:pPr>
            <w:r>
              <w:rPr>
                <w:rFonts w:asciiTheme="minorHAnsi" w:hAnsiTheme="minorHAnsi"/>
              </w:rPr>
              <w:t>Fire-isolated stair</w:t>
            </w:r>
          </w:p>
        </w:tc>
        <w:tc>
          <w:tcPr>
            <w:tcW w:w="5953" w:type="dxa"/>
          </w:tcPr>
          <w:p w:rsidR="00EB19C9" w:rsidRDefault="00EB19C9" w:rsidP="00BC6293">
            <w:pPr>
              <w:spacing w:before="120"/>
              <w:rPr>
                <w:rFonts w:asciiTheme="minorHAnsi" w:eastAsia="Times New Roman" w:hAnsiTheme="minorHAnsi" w:cs="Arial"/>
                <w:lang w:eastAsia="en-AU"/>
              </w:rPr>
            </w:pPr>
            <w:r>
              <w:rPr>
                <w:rFonts w:asciiTheme="minorHAnsi" w:eastAsia="Times New Roman" w:hAnsiTheme="minorHAnsi" w:cs="Arial"/>
                <w:lang w:eastAsia="en-AU"/>
              </w:rPr>
              <w:t>Means a stairway within a fire resisting shaft and includes the floor and roof or top enclosing structure.</w:t>
            </w:r>
          </w:p>
        </w:tc>
      </w:tr>
      <w:tr w:rsidR="00DD4216" w:rsidRPr="006B660E" w:rsidTr="00C465E5">
        <w:trPr>
          <w:tblHeader/>
        </w:trPr>
        <w:tc>
          <w:tcPr>
            <w:tcW w:w="2268" w:type="dxa"/>
          </w:tcPr>
          <w:p w:rsidR="00DD4216" w:rsidRDefault="00DD4216" w:rsidP="00C465E5">
            <w:pPr>
              <w:spacing w:before="120"/>
              <w:rPr>
                <w:rFonts w:asciiTheme="minorHAnsi" w:hAnsiTheme="minorHAnsi"/>
              </w:rPr>
            </w:pPr>
            <w:r>
              <w:rPr>
                <w:rFonts w:asciiTheme="minorHAnsi" w:hAnsiTheme="minorHAnsi"/>
              </w:rPr>
              <w:t>Performance Requirement</w:t>
            </w:r>
          </w:p>
        </w:tc>
        <w:tc>
          <w:tcPr>
            <w:tcW w:w="5953" w:type="dxa"/>
          </w:tcPr>
          <w:p w:rsidR="00DD4216" w:rsidRPr="002A3F98" w:rsidRDefault="00DD4216" w:rsidP="00BC6293">
            <w:pPr>
              <w:spacing w:before="120"/>
              <w:rPr>
                <w:rFonts w:asciiTheme="minorHAnsi" w:eastAsia="Times New Roman" w:hAnsiTheme="minorHAnsi" w:cs="Arial"/>
                <w:lang w:eastAsia="en-AU"/>
              </w:rPr>
            </w:pPr>
            <w:r>
              <w:rPr>
                <w:rFonts w:asciiTheme="minorHAnsi" w:eastAsia="Times New Roman" w:hAnsiTheme="minorHAnsi" w:cs="Arial"/>
                <w:lang w:eastAsia="en-AU"/>
              </w:rPr>
              <w:t>Means a requirement which states the level of performance which a Performance Solution or Deemed-to-Satisfy Solution must meet.</w:t>
            </w:r>
          </w:p>
        </w:tc>
      </w:tr>
      <w:tr w:rsidR="00B13A13" w:rsidRPr="006B660E" w:rsidTr="00C465E5">
        <w:trPr>
          <w:tblHeader/>
        </w:trPr>
        <w:tc>
          <w:tcPr>
            <w:tcW w:w="2268" w:type="dxa"/>
          </w:tcPr>
          <w:p w:rsidR="00B13A13" w:rsidRDefault="00B13A13" w:rsidP="00C465E5">
            <w:pPr>
              <w:spacing w:before="120"/>
              <w:rPr>
                <w:rFonts w:asciiTheme="minorHAnsi" w:hAnsiTheme="minorHAnsi"/>
              </w:rPr>
            </w:pPr>
            <w:r>
              <w:rPr>
                <w:rFonts w:asciiTheme="minorHAnsi" w:hAnsiTheme="minorHAnsi"/>
              </w:rPr>
              <w:t>Performance Solution</w:t>
            </w:r>
          </w:p>
        </w:tc>
        <w:tc>
          <w:tcPr>
            <w:tcW w:w="5953" w:type="dxa"/>
          </w:tcPr>
          <w:p w:rsidR="00B13A13" w:rsidRDefault="00B13A13" w:rsidP="00BC6293">
            <w:pPr>
              <w:spacing w:before="120"/>
              <w:rPr>
                <w:rFonts w:asciiTheme="minorHAnsi" w:eastAsia="Times New Roman" w:hAnsiTheme="minorHAnsi" w:cs="Arial"/>
                <w:lang w:eastAsia="en-AU"/>
              </w:rPr>
            </w:pPr>
            <w:r>
              <w:rPr>
                <w:rFonts w:asciiTheme="minorHAnsi" w:eastAsia="Times New Roman" w:hAnsiTheme="minorHAnsi" w:cs="Arial"/>
                <w:lang w:eastAsia="en-AU"/>
              </w:rPr>
              <w:t>Means a method of complying with the Performance Requirements other than by a Deemed-to-Satisfy Solution</w:t>
            </w:r>
          </w:p>
        </w:tc>
      </w:tr>
      <w:tr w:rsidR="004B7C0E" w:rsidRPr="006B660E" w:rsidTr="00C465E5">
        <w:trPr>
          <w:tblHeader/>
        </w:trPr>
        <w:tc>
          <w:tcPr>
            <w:tcW w:w="2268" w:type="dxa"/>
          </w:tcPr>
          <w:p w:rsidR="004B7C0E" w:rsidRDefault="004B7C0E" w:rsidP="00C465E5">
            <w:pPr>
              <w:spacing w:before="120"/>
              <w:rPr>
                <w:rFonts w:asciiTheme="minorHAnsi" w:hAnsiTheme="minorHAnsi"/>
              </w:rPr>
            </w:pPr>
            <w:r>
              <w:rPr>
                <w:rFonts w:asciiTheme="minorHAnsi" w:hAnsiTheme="minorHAnsi"/>
              </w:rPr>
              <w:t>Sole-occupancy unit</w:t>
            </w:r>
          </w:p>
        </w:tc>
        <w:tc>
          <w:tcPr>
            <w:tcW w:w="5953" w:type="dxa"/>
          </w:tcPr>
          <w:p w:rsidR="004B7C0E" w:rsidRDefault="004B7C0E" w:rsidP="00BC6293">
            <w:pPr>
              <w:spacing w:before="120"/>
              <w:rPr>
                <w:rFonts w:asciiTheme="minorHAnsi" w:eastAsia="Times New Roman" w:hAnsiTheme="minorHAnsi" w:cs="Arial"/>
                <w:lang w:eastAsia="en-AU"/>
              </w:rPr>
            </w:pPr>
            <w:r>
              <w:rPr>
                <w:rFonts w:asciiTheme="minorHAnsi" w:eastAsia="Times New Roman" w:hAnsiTheme="minorHAnsi" w:cs="Arial"/>
                <w:lang w:eastAsia="en-AU"/>
              </w:rPr>
              <w:t>Means a room or other part of a building for occupation by one or joint owner, lessee, tenant, or other occupier to the exclusion of any other owner, lessee, tenant, or other occupier and includes—</w:t>
            </w:r>
          </w:p>
          <w:p w:rsidR="004B7C0E" w:rsidRDefault="008A7F5F" w:rsidP="00E10DFB">
            <w:pPr>
              <w:pStyle w:val="ListParagraph"/>
              <w:numPr>
                <w:ilvl w:val="0"/>
                <w:numId w:val="10"/>
              </w:numPr>
              <w:spacing w:before="120"/>
              <w:rPr>
                <w:rFonts w:asciiTheme="minorHAnsi" w:eastAsia="Times New Roman" w:hAnsiTheme="minorHAnsi" w:cs="Arial"/>
                <w:lang w:eastAsia="en-AU"/>
              </w:rPr>
            </w:pPr>
            <w:r>
              <w:rPr>
                <w:rFonts w:asciiTheme="minorHAnsi" w:eastAsia="Times New Roman" w:hAnsiTheme="minorHAnsi" w:cs="Arial"/>
                <w:lang w:eastAsia="en-AU"/>
              </w:rPr>
              <w:t>a</w:t>
            </w:r>
            <w:r w:rsidR="004B7C0E">
              <w:rPr>
                <w:rFonts w:asciiTheme="minorHAnsi" w:eastAsia="Times New Roman" w:hAnsiTheme="minorHAnsi" w:cs="Arial"/>
                <w:lang w:eastAsia="en-AU"/>
              </w:rPr>
              <w:t xml:space="preserve"> dwelling; or</w:t>
            </w:r>
          </w:p>
          <w:p w:rsidR="004B7C0E" w:rsidRDefault="008A7F5F" w:rsidP="00E10DFB">
            <w:pPr>
              <w:pStyle w:val="ListParagraph"/>
              <w:numPr>
                <w:ilvl w:val="0"/>
                <w:numId w:val="10"/>
              </w:numPr>
              <w:spacing w:before="120"/>
              <w:rPr>
                <w:rFonts w:asciiTheme="minorHAnsi" w:eastAsia="Times New Roman" w:hAnsiTheme="minorHAnsi" w:cs="Arial"/>
                <w:lang w:eastAsia="en-AU"/>
              </w:rPr>
            </w:pPr>
            <w:r>
              <w:rPr>
                <w:rFonts w:asciiTheme="minorHAnsi" w:eastAsia="Times New Roman" w:hAnsiTheme="minorHAnsi" w:cs="Arial"/>
                <w:lang w:eastAsia="en-AU"/>
              </w:rPr>
              <w:t>a</w:t>
            </w:r>
            <w:r w:rsidR="004B7C0E">
              <w:rPr>
                <w:rFonts w:asciiTheme="minorHAnsi" w:eastAsia="Times New Roman" w:hAnsiTheme="minorHAnsi" w:cs="Arial"/>
                <w:lang w:eastAsia="en-AU"/>
              </w:rPr>
              <w:t xml:space="preserve"> room or suite of rooms in a Class 3 building which includes sleeping facilities; or</w:t>
            </w:r>
          </w:p>
          <w:p w:rsidR="004B7C0E" w:rsidRDefault="008A7F5F" w:rsidP="00E10DFB">
            <w:pPr>
              <w:pStyle w:val="ListParagraph"/>
              <w:numPr>
                <w:ilvl w:val="0"/>
                <w:numId w:val="10"/>
              </w:numPr>
              <w:spacing w:before="120"/>
              <w:rPr>
                <w:rFonts w:asciiTheme="minorHAnsi" w:eastAsia="Times New Roman" w:hAnsiTheme="minorHAnsi" w:cs="Arial"/>
                <w:lang w:eastAsia="en-AU"/>
              </w:rPr>
            </w:pPr>
            <w:r>
              <w:rPr>
                <w:rFonts w:asciiTheme="minorHAnsi" w:eastAsia="Times New Roman" w:hAnsiTheme="minorHAnsi" w:cs="Arial"/>
                <w:lang w:eastAsia="en-AU"/>
              </w:rPr>
              <w:t>a</w:t>
            </w:r>
            <w:r w:rsidR="004B7C0E">
              <w:rPr>
                <w:rFonts w:asciiTheme="minorHAnsi" w:eastAsia="Times New Roman" w:hAnsiTheme="minorHAnsi" w:cs="Arial"/>
                <w:lang w:eastAsia="en-AU"/>
              </w:rPr>
              <w:t xml:space="preserve"> room or suite of associated rooms in a Class 5, 6, 7, 8 or 9 building; or </w:t>
            </w:r>
          </w:p>
          <w:p w:rsidR="004B7C0E" w:rsidRPr="004B7C0E" w:rsidRDefault="004B7C0E" w:rsidP="00E10DFB">
            <w:pPr>
              <w:pStyle w:val="ListParagraph"/>
              <w:numPr>
                <w:ilvl w:val="0"/>
                <w:numId w:val="10"/>
              </w:numPr>
              <w:spacing w:before="120"/>
              <w:rPr>
                <w:rFonts w:asciiTheme="minorHAnsi" w:eastAsia="Times New Roman" w:hAnsiTheme="minorHAnsi" w:cs="Arial"/>
                <w:lang w:eastAsia="en-AU"/>
              </w:rPr>
            </w:pPr>
            <w:r>
              <w:rPr>
                <w:rFonts w:asciiTheme="minorHAnsi" w:eastAsia="Times New Roman" w:hAnsiTheme="minorHAnsi" w:cs="Arial"/>
                <w:lang w:eastAsia="en-AU"/>
              </w:rPr>
              <w:t>A room or suite of associated room</w:t>
            </w:r>
            <w:r w:rsidR="00011EFA">
              <w:rPr>
                <w:rFonts w:asciiTheme="minorHAnsi" w:eastAsia="Times New Roman" w:hAnsiTheme="minorHAnsi" w:cs="Arial"/>
                <w:lang w:eastAsia="en-AU"/>
              </w:rPr>
              <w:t>s</w:t>
            </w:r>
            <w:r>
              <w:rPr>
                <w:rFonts w:asciiTheme="minorHAnsi" w:eastAsia="Times New Roman" w:hAnsiTheme="minorHAnsi" w:cs="Arial"/>
                <w:lang w:eastAsia="en-AU"/>
              </w:rPr>
              <w:t xml:space="preserve"> in a Class 9c building, which includes sleeping facilities and any area for the exclusive use of a resident.</w:t>
            </w:r>
          </w:p>
        </w:tc>
      </w:tr>
    </w:tbl>
    <w:p w:rsidR="004A18BA" w:rsidRPr="005B5D36" w:rsidRDefault="00E95F85" w:rsidP="00D27020">
      <w:pPr>
        <w:pStyle w:val="Heading1"/>
        <w:spacing w:after="240"/>
      </w:pPr>
      <w:bookmarkStart w:id="5" w:name="_Toc505333469"/>
      <w:bookmarkStart w:id="6" w:name="_Toc527709096"/>
      <w:r w:rsidRPr="005B5D36">
        <w:lastRenderedPageBreak/>
        <w:t>A</w:t>
      </w:r>
      <w:r w:rsidR="00011EFA">
        <w:t>bbreviations</w:t>
      </w:r>
      <w:bookmarkEnd w:id="5"/>
      <w:bookmarkEnd w:id="6"/>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Glossary of abbreviations used in this document."/>
      </w:tblPr>
      <w:tblGrid>
        <w:gridCol w:w="1876"/>
        <w:gridCol w:w="6345"/>
      </w:tblGrid>
      <w:tr w:rsidR="00E95F85" w:rsidRPr="00E95F85" w:rsidTr="00743EB9">
        <w:trPr>
          <w:tblHeader/>
        </w:trPr>
        <w:tc>
          <w:tcPr>
            <w:tcW w:w="1876" w:type="dxa"/>
          </w:tcPr>
          <w:p w:rsidR="00E95F85" w:rsidRPr="00E95F85" w:rsidRDefault="00E95F85" w:rsidP="00E95F85">
            <w:pPr>
              <w:rPr>
                <w:b/>
                <w:bCs/>
              </w:rPr>
            </w:pPr>
            <w:r w:rsidRPr="00E95F85">
              <w:rPr>
                <w:b/>
                <w:bCs/>
              </w:rPr>
              <w:t>Abbreviation</w:t>
            </w:r>
          </w:p>
        </w:tc>
        <w:tc>
          <w:tcPr>
            <w:tcW w:w="6345" w:type="dxa"/>
          </w:tcPr>
          <w:p w:rsidR="00E95F85" w:rsidRPr="00E95F85" w:rsidRDefault="00E95F85" w:rsidP="00E95F85">
            <w:pPr>
              <w:rPr>
                <w:b/>
                <w:bCs/>
              </w:rPr>
            </w:pPr>
            <w:r w:rsidRPr="00E95F85">
              <w:rPr>
                <w:b/>
                <w:bCs/>
              </w:rPr>
              <w:t xml:space="preserve">Full </w:t>
            </w:r>
            <w:r w:rsidR="00011EFA">
              <w:rPr>
                <w:b/>
                <w:bCs/>
              </w:rPr>
              <w:t>n</w:t>
            </w:r>
            <w:r w:rsidRPr="00E95F85">
              <w:rPr>
                <w:b/>
                <w:bCs/>
              </w:rPr>
              <w:t>ame</w:t>
            </w:r>
          </w:p>
        </w:tc>
      </w:tr>
      <w:tr w:rsidR="00E95F85" w:rsidRPr="00E95F85" w:rsidTr="00743EB9">
        <w:trPr>
          <w:tblHeader/>
        </w:trPr>
        <w:tc>
          <w:tcPr>
            <w:tcW w:w="1876" w:type="dxa"/>
          </w:tcPr>
          <w:p w:rsidR="00E95F85" w:rsidRPr="006B660E" w:rsidRDefault="00E95F85" w:rsidP="00E95F85">
            <w:pPr>
              <w:rPr>
                <w:rFonts w:asciiTheme="minorHAnsi" w:hAnsiTheme="minorHAnsi"/>
              </w:rPr>
            </w:pPr>
            <w:r w:rsidRPr="006B660E">
              <w:rPr>
                <w:rFonts w:asciiTheme="minorHAnsi" w:hAnsiTheme="minorHAnsi"/>
              </w:rPr>
              <w:t>ABCB</w:t>
            </w:r>
          </w:p>
        </w:tc>
        <w:tc>
          <w:tcPr>
            <w:tcW w:w="6345" w:type="dxa"/>
          </w:tcPr>
          <w:p w:rsidR="00E95F85" w:rsidRPr="006B660E" w:rsidRDefault="00E95F85" w:rsidP="00E95F85">
            <w:pPr>
              <w:rPr>
                <w:rFonts w:asciiTheme="minorHAnsi" w:hAnsiTheme="minorHAnsi"/>
              </w:rPr>
            </w:pPr>
            <w:r w:rsidRPr="006B660E">
              <w:rPr>
                <w:rFonts w:asciiTheme="minorHAnsi" w:hAnsiTheme="minorHAnsi"/>
              </w:rPr>
              <w:t>Australian Building Codes Board</w:t>
            </w:r>
          </w:p>
        </w:tc>
      </w:tr>
      <w:tr w:rsidR="00D9072A" w:rsidRPr="00E95F85" w:rsidTr="00743EB9">
        <w:trPr>
          <w:tblHeader/>
        </w:trPr>
        <w:tc>
          <w:tcPr>
            <w:tcW w:w="1876" w:type="dxa"/>
          </w:tcPr>
          <w:p w:rsidR="00D9072A" w:rsidRPr="006B660E" w:rsidRDefault="00D9072A" w:rsidP="00E95F85">
            <w:pPr>
              <w:rPr>
                <w:rFonts w:asciiTheme="minorHAnsi" w:hAnsiTheme="minorHAnsi"/>
              </w:rPr>
            </w:pPr>
            <w:r>
              <w:rPr>
                <w:rFonts w:asciiTheme="minorHAnsi" w:hAnsiTheme="minorHAnsi"/>
              </w:rPr>
              <w:t>BCA</w:t>
            </w:r>
          </w:p>
        </w:tc>
        <w:tc>
          <w:tcPr>
            <w:tcW w:w="6345" w:type="dxa"/>
          </w:tcPr>
          <w:p w:rsidR="00D9072A" w:rsidRPr="006B660E" w:rsidRDefault="00D9072A" w:rsidP="00E95F85">
            <w:pPr>
              <w:rPr>
                <w:rFonts w:asciiTheme="minorHAnsi" w:hAnsiTheme="minorHAnsi"/>
              </w:rPr>
            </w:pPr>
            <w:r>
              <w:rPr>
                <w:rFonts w:asciiTheme="minorHAnsi" w:hAnsiTheme="minorHAnsi"/>
              </w:rPr>
              <w:t>Building Code of Australia (Volumes One and Two of the NCC)</w:t>
            </w:r>
          </w:p>
        </w:tc>
      </w:tr>
      <w:tr w:rsidR="00E95F85" w:rsidRPr="00E95F85" w:rsidTr="00743EB9">
        <w:trPr>
          <w:tblHeader/>
        </w:trPr>
        <w:tc>
          <w:tcPr>
            <w:tcW w:w="1876" w:type="dxa"/>
          </w:tcPr>
          <w:p w:rsidR="00E95F85" w:rsidRPr="006B660E" w:rsidRDefault="00E95F85" w:rsidP="00E95F85">
            <w:pPr>
              <w:rPr>
                <w:rFonts w:asciiTheme="minorHAnsi" w:hAnsiTheme="minorHAnsi"/>
              </w:rPr>
            </w:pPr>
            <w:r w:rsidRPr="006B660E">
              <w:rPr>
                <w:rFonts w:asciiTheme="minorHAnsi" w:hAnsiTheme="minorHAnsi"/>
              </w:rPr>
              <w:t>COAG</w:t>
            </w:r>
          </w:p>
        </w:tc>
        <w:tc>
          <w:tcPr>
            <w:tcW w:w="6345" w:type="dxa"/>
          </w:tcPr>
          <w:p w:rsidR="00E95F85" w:rsidRPr="006B660E" w:rsidRDefault="00E95F85" w:rsidP="00E95F85">
            <w:pPr>
              <w:rPr>
                <w:rFonts w:asciiTheme="minorHAnsi" w:hAnsiTheme="minorHAnsi"/>
              </w:rPr>
            </w:pPr>
            <w:r w:rsidRPr="006B660E">
              <w:rPr>
                <w:rFonts w:asciiTheme="minorHAnsi" w:hAnsiTheme="minorHAnsi"/>
              </w:rPr>
              <w:t>Council of Australian Governments</w:t>
            </w:r>
          </w:p>
        </w:tc>
      </w:tr>
      <w:tr w:rsidR="00710F4D" w:rsidRPr="00E95F85" w:rsidTr="00743EB9">
        <w:trPr>
          <w:tblHeader/>
        </w:trPr>
        <w:tc>
          <w:tcPr>
            <w:tcW w:w="1876" w:type="dxa"/>
          </w:tcPr>
          <w:p w:rsidR="00710F4D" w:rsidRPr="006B660E" w:rsidRDefault="00710F4D" w:rsidP="00E95F85">
            <w:pPr>
              <w:rPr>
                <w:rFonts w:asciiTheme="minorHAnsi" w:hAnsiTheme="minorHAnsi"/>
              </w:rPr>
            </w:pPr>
            <w:r>
              <w:rPr>
                <w:rFonts w:asciiTheme="minorHAnsi" w:hAnsiTheme="minorHAnsi"/>
              </w:rPr>
              <w:t>DtS</w:t>
            </w:r>
          </w:p>
        </w:tc>
        <w:tc>
          <w:tcPr>
            <w:tcW w:w="6345" w:type="dxa"/>
          </w:tcPr>
          <w:p w:rsidR="00710F4D" w:rsidRPr="006B660E" w:rsidRDefault="00710F4D" w:rsidP="00E95F85">
            <w:pPr>
              <w:rPr>
                <w:rFonts w:asciiTheme="minorHAnsi" w:hAnsiTheme="minorHAnsi"/>
              </w:rPr>
            </w:pPr>
            <w:r>
              <w:rPr>
                <w:rFonts w:asciiTheme="minorHAnsi" w:hAnsiTheme="minorHAnsi"/>
              </w:rPr>
              <w:t>Deemed-to-Satisfy</w:t>
            </w:r>
          </w:p>
        </w:tc>
      </w:tr>
      <w:tr w:rsidR="00710F4D" w:rsidRPr="00E95F85" w:rsidTr="00743EB9">
        <w:trPr>
          <w:tblHeader/>
        </w:trPr>
        <w:tc>
          <w:tcPr>
            <w:tcW w:w="1876" w:type="dxa"/>
          </w:tcPr>
          <w:p w:rsidR="00710F4D" w:rsidRPr="006B660E" w:rsidRDefault="00710F4D" w:rsidP="00E95F85">
            <w:pPr>
              <w:rPr>
                <w:rFonts w:asciiTheme="minorHAnsi" w:hAnsiTheme="minorHAnsi"/>
              </w:rPr>
            </w:pPr>
            <w:r>
              <w:rPr>
                <w:rFonts w:asciiTheme="minorHAnsi" w:hAnsiTheme="minorHAnsi"/>
              </w:rPr>
              <w:t>IGA</w:t>
            </w:r>
          </w:p>
        </w:tc>
        <w:tc>
          <w:tcPr>
            <w:tcW w:w="6345" w:type="dxa"/>
          </w:tcPr>
          <w:p w:rsidR="00710F4D" w:rsidRPr="006B660E" w:rsidRDefault="00710F4D" w:rsidP="00E95F85">
            <w:pPr>
              <w:rPr>
                <w:rFonts w:asciiTheme="minorHAnsi" w:hAnsiTheme="minorHAnsi"/>
              </w:rPr>
            </w:pPr>
            <w:r>
              <w:rPr>
                <w:rFonts w:asciiTheme="minorHAnsi" w:hAnsiTheme="minorHAnsi"/>
              </w:rPr>
              <w:t>Inter-Governmental Agreement</w:t>
            </w:r>
          </w:p>
        </w:tc>
      </w:tr>
      <w:tr w:rsidR="00E95F85" w:rsidRPr="00E95F85" w:rsidTr="00743EB9">
        <w:trPr>
          <w:tblHeader/>
        </w:trPr>
        <w:tc>
          <w:tcPr>
            <w:tcW w:w="1876" w:type="dxa"/>
          </w:tcPr>
          <w:p w:rsidR="00E95F85" w:rsidRPr="006B660E" w:rsidRDefault="00E95F85" w:rsidP="00E95F85">
            <w:pPr>
              <w:rPr>
                <w:rFonts w:asciiTheme="minorHAnsi" w:hAnsiTheme="minorHAnsi"/>
              </w:rPr>
            </w:pPr>
            <w:r w:rsidRPr="006B660E">
              <w:rPr>
                <w:rFonts w:asciiTheme="minorHAnsi" w:hAnsiTheme="minorHAnsi"/>
              </w:rPr>
              <w:t>NCC</w:t>
            </w:r>
          </w:p>
        </w:tc>
        <w:tc>
          <w:tcPr>
            <w:tcW w:w="6345" w:type="dxa"/>
          </w:tcPr>
          <w:p w:rsidR="00E95F85" w:rsidRPr="006B660E" w:rsidRDefault="00E95F85" w:rsidP="00E95F85">
            <w:pPr>
              <w:rPr>
                <w:rFonts w:asciiTheme="minorHAnsi" w:hAnsiTheme="minorHAnsi"/>
              </w:rPr>
            </w:pPr>
            <w:r w:rsidRPr="006B660E">
              <w:rPr>
                <w:rFonts w:asciiTheme="minorHAnsi" w:hAnsiTheme="minorHAnsi"/>
              </w:rPr>
              <w:t>National Construction Code</w:t>
            </w:r>
          </w:p>
        </w:tc>
      </w:tr>
      <w:tr w:rsidR="00E95F85" w:rsidRPr="00E95F85" w:rsidTr="00743EB9">
        <w:trPr>
          <w:tblHeader/>
        </w:trPr>
        <w:tc>
          <w:tcPr>
            <w:tcW w:w="1876" w:type="dxa"/>
          </w:tcPr>
          <w:p w:rsidR="00E95F85" w:rsidRPr="006B660E" w:rsidRDefault="00E95F85" w:rsidP="00E95F85">
            <w:pPr>
              <w:rPr>
                <w:rFonts w:asciiTheme="minorHAnsi" w:hAnsiTheme="minorHAnsi"/>
              </w:rPr>
            </w:pPr>
            <w:r w:rsidRPr="006B660E">
              <w:rPr>
                <w:rFonts w:asciiTheme="minorHAnsi" w:hAnsiTheme="minorHAnsi"/>
              </w:rPr>
              <w:t>OBPR</w:t>
            </w:r>
          </w:p>
        </w:tc>
        <w:tc>
          <w:tcPr>
            <w:tcW w:w="6345" w:type="dxa"/>
          </w:tcPr>
          <w:p w:rsidR="00E95F85" w:rsidRPr="006B660E" w:rsidRDefault="00E95F85" w:rsidP="00E95F85">
            <w:pPr>
              <w:rPr>
                <w:rFonts w:asciiTheme="minorHAnsi" w:hAnsiTheme="minorHAnsi"/>
              </w:rPr>
            </w:pPr>
            <w:r w:rsidRPr="006B660E">
              <w:rPr>
                <w:rFonts w:asciiTheme="minorHAnsi" w:hAnsiTheme="minorHAnsi"/>
              </w:rPr>
              <w:t>Office of Best Practice Regulation</w:t>
            </w:r>
          </w:p>
        </w:tc>
      </w:tr>
      <w:tr w:rsidR="00E95F85" w:rsidRPr="00E95F85" w:rsidTr="00743EB9">
        <w:trPr>
          <w:tblHeader/>
        </w:trPr>
        <w:tc>
          <w:tcPr>
            <w:tcW w:w="1876" w:type="dxa"/>
          </w:tcPr>
          <w:p w:rsidR="00E95F85" w:rsidRPr="006B660E" w:rsidRDefault="00E95F85" w:rsidP="00E95F85">
            <w:pPr>
              <w:rPr>
                <w:rFonts w:asciiTheme="minorHAnsi" w:hAnsiTheme="minorHAnsi"/>
              </w:rPr>
            </w:pPr>
            <w:r w:rsidRPr="006B660E">
              <w:rPr>
                <w:rFonts w:asciiTheme="minorHAnsi" w:hAnsiTheme="minorHAnsi"/>
              </w:rPr>
              <w:t>RIS</w:t>
            </w:r>
          </w:p>
        </w:tc>
        <w:tc>
          <w:tcPr>
            <w:tcW w:w="6345" w:type="dxa"/>
          </w:tcPr>
          <w:p w:rsidR="00E95F85" w:rsidRPr="006B660E" w:rsidRDefault="00E95F85" w:rsidP="00E95F85">
            <w:pPr>
              <w:rPr>
                <w:rFonts w:asciiTheme="minorHAnsi" w:hAnsiTheme="minorHAnsi"/>
              </w:rPr>
            </w:pPr>
            <w:r w:rsidRPr="006B660E">
              <w:rPr>
                <w:rFonts w:asciiTheme="minorHAnsi" w:hAnsiTheme="minorHAnsi"/>
              </w:rPr>
              <w:t>Regulation Impact Statement</w:t>
            </w:r>
          </w:p>
        </w:tc>
      </w:tr>
    </w:tbl>
    <w:p w:rsidR="00E95F85" w:rsidRDefault="00E95F85">
      <w:pPr>
        <w:rPr>
          <w:rFonts w:asciiTheme="majorHAnsi" w:eastAsiaTheme="majorEastAsia" w:hAnsiTheme="majorHAnsi" w:cstheme="majorBidi"/>
          <w:b/>
          <w:bCs/>
          <w:color w:val="002060"/>
          <w:sz w:val="40"/>
          <w:szCs w:val="28"/>
        </w:rPr>
      </w:pPr>
      <w:r>
        <w:br w:type="page"/>
      </w:r>
    </w:p>
    <w:p w:rsidR="00C63369" w:rsidRDefault="00C63369" w:rsidP="00C63369">
      <w:pPr>
        <w:pStyle w:val="Heading1"/>
      </w:pPr>
      <w:bookmarkStart w:id="7" w:name="_Toc471384390"/>
      <w:bookmarkStart w:id="8" w:name="_Toc505333470"/>
      <w:bookmarkStart w:id="9" w:name="_Toc527709097"/>
      <w:r w:rsidRPr="00B55BB3">
        <w:lastRenderedPageBreak/>
        <w:t>I</w:t>
      </w:r>
      <w:r w:rsidRPr="00C63369">
        <w:t>ntroduction</w:t>
      </w:r>
      <w:bookmarkEnd w:id="7"/>
      <w:bookmarkEnd w:id="8"/>
      <w:bookmarkEnd w:id="9"/>
      <w:r w:rsidRPr="00C63369">
        <w:t xml:space="preserve"> </w:t>
      </w:r>
    </w:p>
    <w:p w:rsidR="00E65417" w:rsidRPr="002A3F98" w:rsidRDefault="00E65417" w:rsidP="0003376D">
      <w:pPr>
        <w:spacing w:after="60"/>
      </w:pPr>
      <w:r w:rsidRPr="002A3F98">
        <w:rPr>
          <w:rFonts w:asciiTheme="minorHAnsi" w:eastAsia="Times New Roman" w:hAnsiTheme="minorHAnsi" w:cs="Arial"/>
          <w:lang w:eastAsia="en-AU"/>
        </w:rPr>
        <w:t xml:space="preserve">Following the death and life changing injuries sustained by two occupants </w:t>
      </w:r>
      <w:r w:rsidR="00BF40B8">
        <w:rPr>
          <w:rFonts w:asciiTheme="minorHAnsi" w:eastAsia="Times New Roman" w:hAnsiTheme="minorHAnsi" w:cs="Arial"/>
          <w:lang w:eastAsia="en-AU"/>
        </w:rPr>
        <w:t>in</w:t>
      </w:r>
      <w:r w:rsidRPr="002A3F98">
        <w:rPr>
          <w:rFonts w:asciiTheme="minorHAnsi" w:eastAsia="Times New Roman" w:hAnsiTheme="minorHAnsi" w:cs="Arial"/>
          <w:lang w:eastAsia="en-AU"/>
        </w:rPr>
        <w:t xml:space="preserve"> a</w:t>
      </w:r>
      <w:r w:rsidR="00FC2334" w:rsidRPr="002A3F98">
        <w:rPr>
          <w:rFonts w:asciiTheme="minorHAnsi" w:eastAsia="Times New Roman" w:hAnsiTheme="minorHAnsi" w:cs="Arial"/>
          <w:lang w:eastAsia="en-AU"/>
        </w:rPr>
        <w:t>n apartment</w:t>
      </w:r>
      <w:r w:rsidRPr="002A3F98">
        <w:rPr>
          <w:rFonts w:asciiTheme="minorHAnsi" w:eastAsia="Times New Roman" w:hAnsiTheme="minorHAnsi" w:cs="Arial"/>
          <w:lang w:eastAsia="en-AU"/>
        </w:rPr>
        <w:t xml:space="preserve"> fire in 2015, the NSW </w:t>
      </w:r>
      <w:r w:rsidR="00011EFA">
        <w:rPr>
          <w:rFonts w:asciiTheme="minorHAnsi" w:eastAsia="Times New Roman" w:hAnsiTheme="minorHAnsi" w:cs="Arial"/>
          <w:lang w:eastAsia="en-AU"/>
        </w:rPr>
        <w:t>D</w:t>
      </w:r>
      <w:r w:rsidR="00011EFA" w:rsidRPr="002A3F98">
        <w:rPr>
          <w:rFonts w:asciiTheme="minorHAnsi" w:eastAsia="Times New Roman" w:hAnsiTheme="minorHAnsi" w:cs="Arial"/>
          <w:lang w:eastAsia="en-AU"/>
        </w:rPr>
        <w:t xml:space="preserve">eputy </w:t>
      </w:r>
      <w:r w:rsidRPr="0343147D">
        <w:rPr>
          <w:rFonts w:asciiTheme="minorHAnsi" w:eastAsiaTheme="minorEastAsia" w:hAnsiTheme="minorHAnsi"/>
          <w:lang w:eastAsia="en-AU"/>
        </w:rPr>
        <w:t>Coroner</w:t>
      </w:r>
      <w:r w:rsidR="0343147D" w:rsidRPr="0343147D">
        <w:rPr>
          <w:rFonts w:asciiTheme="minorHAnsi" w:eastAsiaTheme="minorEastAsia" w:hAnsiTheme="minorHAnsi"/>
          <w:lang w:eastAsia="en-AU"/>
        </w:rPr>
        <w:t xml:space="preserve"> </w:t>
      </w:r>
      <w:r w:rsidR="009A65F9" w:rsidRPr="0343147D">
        <w:rPr>
          <w:rFonts w:asciiTheme="minorHAnsi" w:eastAsiaTheme="minorEastAsia" w:hAnsiTheme="minorHAnsi"/>
          <w:lang w:eastAsia="en-AU"/>
        </w:rPr>
        <w:t>requested that the A</w:t>
      </w:r>
      <w:r w:rsidR="009F6409">
        <w:rPr>
          <w:rFonts w:asciiTheme="minorHAnsi" w:eastAsiaTheme="minorEastAsia" w:hAnsiTheme="minorHAnsi"/>
          <w:lang w:eastAsia="en-AU"/>
        </w:rPr>
        <w:t xml:space="preserve">ustralian </w:t>
      </w:r>
      <w:r w:rsidR="009A65F9" w:rsidRPr="0343147D">
        <w:rPr>
          <w:rFonts w:asciiTheme="minorHAnsi" w:eastAsiaTheme="minorEastAsia" w:hAnsiTheme="minorHAnsi"/>
          <w:lang w:eastAsia="en-AU"/>
        </w:rPr>
        <w:t>B</w:t>
      </w:r>
      <w:r w:rsidR="009F6409">
        <w:rPr>
          <w:rFonts w:asciiTheme="minorHAnsi" w:eastAsiaTheme="minorEastAsia" w:hAnsiTheme="minorHAnsi"/>
          <w:lang w:eastAsia="en-AU"/>
        </w:rPr>
        <w:t xml:space="preserve">uilding </w:t>
      </w:r>
      <w:r w:rsidR="009A65F9" w:rsidRPr="0343147D">
        <w:rPr>
          <w:rFonts w:asciiTheme="minorHAnsi" w:eastAsiaTheme="minorEastAsia" w:hAnsiTheme="minorHAnsi"/>
          <w:lang w:eastAsia="en-AU"/>
        </w:rPr>
        <w:t>C</w:t>
      </w:r>
      <w:r w:rsidR="009F6409">
        <w:rPr>
          <w:rFonts w:asciiTheme="minorHAnsi" w:eastAsiaTheme="minorEastAsia" w:hAnsiTheme="minorHAnsi"/>
          <w:lang w:eastAsia="en-AU"/>
        </w:rPr>
        <w:t xml:space="preserve">odes </w:t>
      </w:r>
      <w:r w:rsidR="009A65F9" w:rsidRPr="0343147D">
        <w:rPr>
          <w:rFonts w:asciiTheme="minorHAnsi" w:eastAsiaTheme="minorEastAsia" w:hAnsiTheme="minorHAnsi"/>
          <w:lang w:eastAsia="en-AU"/>
        </w:rPr>
        <w:t>B</w:t>
      </w:r>
      <w:r w:rsidR="009F6409">
        <w:rPr>
          <w:rFonts w:asciiTheme="minorHAnsi" w:eastAsiaTheme="minorEastAsia" w:hAnsiTheme="minorHAnsi"/>
          <w:lang w:eastAsia="en-AU"/>
        </w:rPr>
        <w:t>oard (ABCB)</w:t>
      </w:r>
      <w:r w:rsidRPr="002A3F98">
        <w:rPr>
          <w:rFonts w:asciiTheme="minorHAnsi" w:eastAsia="Times New Roman" w:hAnsiTheme="minorHAnsi" w:cs="Arial"/>
          <w:lang w:eastAsia="en-AU"/>
        </w:rPr>
        <w:t xml:space="preserve"> consider extending the current Deemed-to-Satisfy (DtS) </w:t>
      </w:r>
      <w:r w:rsidR="00BE20D3">
        <w:rPr>
          <w:rFonts w:asciiTheme="minorHAnsi" w:eastAsia="Times New Roman" w:hAnsiTheme="minorHAnsi" w:cs="Arial"/>
          <w:lang w:eastAsia="en-AU"/>
        </w:rPr>
        <w:t>Provisions</w:t>
      </w:r>
      <w:r w:rsidR="00BE20D3" w:rsidRPr="002A3F98">
        <w:rPr>
          <w:rFonts w:asciiTheme="minorHAnsi" w:eastAsia="Times New Roman" w:hAnsiTheme="minorHAnsi" w:cs="Arial"/>
          <w:lang w:eastAsia="en-AU"/>
        </w:rPr>
        <w:t xml:space="preserve"> </w:t>
      </w:r>
      <w:r w:rsidR="009A65F9" w:rsidRPr="002A3F98">
        <w:rPr>
          <w:rFonts w:asciiTheme="minorHAnsi" w:eastAsia="Times New Roman" w:hAnsiTheme="minorHAnsi" w:cs="Arial"/>
          <w:lang w:eastAsia="en-AU"/>
        </w:rPr>
        <w:t>for</w:t>
      </w:r>
      <w:r w:rsidRPr="002A3F98">
        <w:rPr>
          <w:rFonts w:asciiTheme="minorHAnsi" w:eastAsia="Times New Roman" w:hAnsiTheme="minorHAnsi" w:cs="Arial"/>
          <w:lang w:eastAsia="en-AU"/>
        </w:rPr>
        <w:t xml:space="preserve"> sprinkler protect</w:t>
      </w:r>
      <w:r w:rsidR="009A65F9" w:rsidRPr="002A3F98">
        <w:rPr>
          <w:rFonts w:asciiTheme="minorHAnsi" w:eastAsia="Times New Roman" w:hAnsiTheme="minorHAnsi" w:cs="Arial"/>
          <w:lang w:eastAsia="en-AU"/>
        </w:rPr>
        <w:t>ion to medium</w:t>
      </w:r>
      <w:r w:rsidR="009A0840">
        <w:rPr>
          <w:rFonts w:asciiTheme="minorHAnsi" w:eastAsia="Times New Roman" w:hAnsiTheme="minorHAnsi" w:cs="Arial"/>
          <w:lang w:eastAsia="en-AU"/>
        </w:rPr>
        <w:t xml:space="preserve"> or ‘mid–</w:t>
      </w:r>
      <w:r w:rsidR="009A65F9" w:rsidRPr="002A3F98">
        <w:rPr>
          <w:rFonts w:asciiTheme="minorHAnsi" w:eastAsia="Times New Roman" w:hAnsiTheme="minorHAnsi" w:cs="Arial"/>
          <w:lang w:eastAsia="en-AU"/>
        </w:rPr>
        <w:t>rise</w:t>
      </w:r>
      <w:r w:rsidR="009A0840">
        <w:rPr>
          <w:rFonts w:asciiTheme="minorHAnsi" w:eastAsia="Times New Roman" w:hAnsiTheme="minorHAnsi" w:cs="Arial"/>
          <w:lang w:eastAsia="en-AU"/>
        </w:rPr>
        <w:t>’</w:t>
      </w:r>
      <w:r w:rsidR="009A65F9" w:rsidRPr="002A3F98">
        <w:rPr>
          <w:rFonts w:asciiTheme="minorHAnsi" w:eastAsia="Times New Roman" w:hAnsiTheme="minorHAnsi" w:cs="Arial"/>
          <w:lang w:eastAsia="en-AU"/>
        </w:rPr>
        <w:t xml:space="preserve"> multi</w:t>
      </w:r>
      <w:r w:rsidR="00FF7A0C" w:rsidRPr="002A3F98">
        <w:rPr>
          <w:rFonts w:asciiTheme="minorHAnsi" w:eastAsia="Times New Roman" w:hAnsiTheme="minorHAnsi" w:cs="Arial"/>
          <w:lang w:eastAsia="en-AU"/>
        </w:rPr>
        <w:t>-</w:t>
      </w:r>
      <w:r w:rsidR="009A65F9" w:rsidRPr="002A3F98">
        <w:rPr>
          <w:rFonts w:asciiTheme="minorHAnsi" w:eastAsia="Times New Roman" w:hAnsiTheme="minorHAnsi" w:cs="Arial"/>
          <w:lang w:eastAsia="en-AU"/>
        </w:rPr>
        <w:t>storey re</w:t>
      </w:r>
      <w:r w:rsidR="009A65F9" w:rsidRPr="002A3F98">
        <w:rPr>
          <w:rFonts w:asciiTheme="minorHAnsi" w:hAnsiTheme="minorHAnsi"/>
        </w:rPr>
        <w:t>sidential buildings</w:t>
      </w:r>
      <w:r w:rsidRPr="0343147D">
        <w:rPr>
          <w:rFonts w:asciiTheme="minorHAnsi" w:eastAsiaTheme="minorEastAsia" w:hAnsiTheme="minorHAnsi"/>
        </w:rPr>
        <w:t xml:space="preserve">. </w:t>
      </w:r>
      <w:r w:rsidR="0343147D" w:rsidRPr="0343147D">
        <w:rPr>
          <w:rFonts w:asciiTheme="minorHAnsi" w:eastAsiaTheme="minorEastAsia" w:hAnsiTheme="minorHAnsi"/>
        </w:rPr>
        <w:t>This</w:t>
      </w:r>
      <w:r w:rsidR="0049492D">
        <w:rPr>
          <w:rFonts w:asciiTheme="minorHAnsi" w:eastAsiaTheme="minorEastAsia" w:hAnsiTheme="minorHAnsi"/>
        </w:rPr>
        <w:t xml:space="preserve"> work was supported by the Board and Building Ministers, and</w:t>
      </w:r>
      <w:r w:rsidR="0343147D" w:rsidRPr="0343147D">
        <w:rPr>
          <w:rFonts w:asciiTheme="minorHAnsi" w:eastAsiaTheme="minorEastAsia" w:hAnsiTheme="minorHAnsi"/>
        </w:rPr>
        <w:t xml:space="preserve"> resulted in the ABCB commencing Stage 1 of the holistic review of fire safety measures for Class 2 and 3 buildings.</w:t>
      </w:r>
    </w:p>
    <w:p w:rsidR="00E65417" w:rsidRPr="002A3F98" w:rsidRDefault="0343147D" w:rsidP="0003376D">
      <w:pPr>
        <w:spacing w:before="60" w:after="60"/>
        <w:rPr>
          <w:rFonts w:asciiTheme="minorHAnsi" w:hAnsiTheme="minorHAnsi"/>
        </w:rPr>
      </w:pPr>
      <w:r w:rsidRPr="0343147D">
        <w:rPr>
          <w:rFonts w:asciiTheme="minorHAnsi" w:eastAsiaTheme="minorEastAsia" w:hAnsiTheme="minorHAnsi"/>
        </w:rPr>
        <w:t>Concurrent with the work of the ABCB,</w:t>
      </w:r>
      <w:r w:rsidRPr="0343147D">
        <w:rPr>
          <w:rFonts w:asciiTheme="minorHAnsi" w:eastAsiaTheme="minorEastAsia" w:hAnsiTheme="minorHAnsi"/>
          <w:lang w:eastAsia="en-AU"/>
        </w:rPr>
        <w:t xml:space="preserve"> advocates of fire safety</w:t>
      </w:r>
      <w:r w:rsidR="0049492D">
        <w:rPr>
          <w:rFonts w:asciiTheme="minorHAnsi" w:eastAsiaTheme="minorEastAsia" w:hAnsiTheme="minorHAnsi"/>
          <w:lang w:eastAsia="en-AU"/>
        </w:rPr>
        <w:t>, including</w:t>
      </w:r>
      <w:r w:rsidRPr="0343147D">
        <w:rPr>
          <w:rFonts w:asciiTheme="minorHAnsi" w:eastAsiaTheme="minorEastAsia" w:hAnsiTheme="minorHAnsi"/>
          <w:lang w:eastAsia="en-AU"/>
        </w:rPr>
        <w:t xml:space="preserve"> Fire and Rescue New South Wales (FRNSW), the Australasian Fire and Emergency Services Authorities Council (AFAC) and the Fire Protection Association of Australia (FPAA), commenced developing their own proposal for change to the NCC. </w:t>
      </w:r>
      <w:r w:rsidR="00717C7B" w:rsidRPr="0343147D">
        <w:rPr>
          <w:rFonts w:asciiTheme="minorHAnsi" w:eastAsiaTheme="minorEastAsia" w:hAnsiTheme="minorHAnsi"/>
        </w:rPr>
        <w:t xml:space="preserve">As justification for the proposal, the proponents suggested that the expansion of the fire sprinkler requirements </w:t>
      </w:r>
      <w:r w:rsidR="002D6541">
        <w:rPr>
          <w:rFonts w:asciiTheme="minorHAnsi" w:hAnsiTheme="minorHAnsi"/>
        </w:rPr>
        <w:t xml:space="preserve">to new Class 2 and 3 buildings constructed </w:t>
      </w:r>
      <w:r w:rsidR="003D4C04">
        <w:rPr>
          <w:rFonts w:asciiTheme="minorHAnsi" w:hAnsiTheme="minorHAnsi"/>
        </w:rPr>
        <w:t xml:space="preserve">above three </w:t>
      </w:r>
      <w:r w:rsidR="002D6541">
        <w:rPr>
          <w:rFonts w:asciiTheme="minorHAnsi" w:hAnsiTheme="minorHAnsi"/>
        </w:rPr>
        <w:t xml:space="preserve">storeys </w:t>
      </w:r>
      <w:r w:rsidR="003D4C04">
        <w:rPr>
          <w:rFonts w:asciiTheme="minorHAnsi" w:hAnsiTheme="minorHAnsi"/>
        </w:rPr>
        <w:t>and less than 25</w:t>
      </w:r>
      <w:r w:rsidR="00A81F99">
        <w:rPr>
          <w:rFonts w:asciiTheme="minorHAnsi" w:hAnsiTheme="minorHAnsi"/>
        </w:rPr>
        <w:t xml:space="preserve"> </w:t>
      </w:r>
      <w:r w:rsidR="003D4C04">
        <w:rPr>
          <w:rFonts w:asciiTheme="minorHAnsi" w:hAnsiTheme="minorHAnsi"/>
        </w:rPr>
        <w:t>m</w:t>
      </w:r>
      <w:r w:rsidR="009F6409">
        <w:rPr>
          <w:rFonts w:asciiTheme="minorHAnsi" w:hAnsiTheme="minorHAnsi"/>
        </w:rPr>
        <w:t>etres</w:t>
      </w:r>
      <w:r w:rsidR="003D4C04">
        <w:rPr>
          <w:rFonts w:asciiTheme="minorHAnsi" w:hAnsiTheme="minorHAnsi"/>
        </w:rPr>
        <w:t xml:space="preserve"> in effective height </w:t>
      </w:r>
      <w:r w:rsidR="00FC2334" w:rsidRPr="002A3F98">
        <w:rPr>
          <w:rFonts w:asciiTheme="minorHAnsi" w:hAnsiTheme="minorHAnsi"/>
        </w:rPr>
        <w:t>would in</w:t>
      </w:r>
      <w:r w:rsidR="009A0840">
        <w:rPr>
          <w:rFonts w:asciiTheme="minorHAnsi" w:hAnsiTheme="minorHAnsi"/>
        </w:rPr>
        <w:t>-</w:t>
      </w:r>
      <w:r w:rsidR="00FC2334" w:rsidRPr="002A3F98">
        <w:rPr>
          <w:rFonts w:asciiTheme="minorHAnsi" w:hAnsiTheme="minorHAnsi"/>
        </w:rPr>
        <w:t xml:space="preserve">turn allow the removal of a number of passive fire safety features </w:t>
      </w:r>
      <w:r w:rsidR="00F8700F">
        <w:rPr>
          <w:rFonts w:asciiTheme="minorHAnsi" w:hAnsiTheme="minorHAnsi"/>
        </w:rPr>
        <w:t xml:space="preserve">currently </w:t>
      </w:r>
      <w:r w:rsidR="00FC2334" w:rsidRPr="002A3F98">
        <w:rPr>
          <w:rFonts w:asciiTheme="minorHAnsi" w:hAnsiTheme="minorHAnsi"/>
        </w:rPr>
        <w:t xml:space="preserve">required </w:t>
      </w:r>
      <w:r w:rsidR="009A0840">
        <w:rPr>
          <w:rFonts w:asciiTheme="minorHAnsi" w:hAnsiTheme="minorHAnsi"/>
        </w:rPr>
        <w:t>under</w:t>
      </w:r>
      <w:r w:rsidR="009A0840" w:rsidRPr="002A3F98">
        <w:rPr>
          <w:rFonts w:asciiTheme="minorHAnsi" w:hAnsiTheme="minorHAnsi"/>
        </w:rPr>
        <w:t xml:space="preserve"> </w:t>
      </w:r>
      <w:r w:rsidR="00FC2334" w:rsidRPr="002A3F98">
        <w:rPr>
          <w:rFonts w:asciiTheme="minorHAnsi" w:hAnsiTheme="minorHAnsi"/>
        </w:rPr>
        <w:t xml:space="preserve">the DtS </w:t>
      </w:r>
      <w:r w:rsidR="00BE20D3">
        <w:rPr>
          <w:rFonts w:asciiTheme="minorHAnsi" w:hAnsiTheme="minorHAnsi"/>
        </w:rPr>
        <w:t>P</w:t>
      </w:r>
      <w:r w:rsidR="00F8700F">
        <w:rPr>
          <w:rFonts w:asciiTheme="minorHAnsi" w:hAnsiTheme="minorHAnsi"/>
        </w:rPr>
        <w:t>rovisions, leading</w:t>
      </w:r>
      <w:r w:rsidR="00717C7B">
        <w:rPr>
          <w:rFonts w:asciiTheme="minorHAnsi" w:hAnsiTheme="minorHAnsi"/>
        </w:rPr>
        <w:t xml:space="preserve"> to an overall saving in construction costs</w:t>
      </w:r>
      <w:r w:rsidR="00DD4096">
        <w:rPr>
          <w:rFonts w:asciiTheme="minorHAnsi" w:hAnsiTheme="minorHAnsi"/>
        </w:rPr>
        <w:t xml:space="preserve"> </w:t>
      </w:r>
      <w:r w:rsidR="005C14E4">
        <w:rPr>
          <w:rFonts w:asciiTheme="minorHAnsi" w:hAnsiTheme="minorHAnsi"/>
        </w:rPr>
        <w:t>as well as an increase in life safety in</w:t>
      </w:r>
      <w:r w:rsidR="00DD4096">
        <w:rPr>
          <w:rFonts w:asciiTheme="minorHAnsi" w:hAnsiTheme="minorHAnsi"/>
        </w:rPr>
        <w:t xml:space="preserve"> these buildings</w:t>
      </w:r>
      <w:r w:rsidR="00FC2334" w:rsidRPr="002A3F98">
        <w:rPr>
          <w:rFonts w:asciiTheme="minorHAnsi" w:hAnsiTheme="minorHAnsi"/>
        </w:rPr>
        <w:t>.</w:t>
      </w:r>
    </w:p>
    <w:p w:rsidR="00F02B1E" w:rsidRDefault="00F02B1E" w:rsidP="0003376D">
      <w:pPr>
        <w:spacing w:after="60"/>
        <w:rPr>
          <w:rFonts w:asciiTheme="minorHAnsi" w:hAnsiTheme="minorHAnsi"/>
        </w:rPr>
      </w:pPr>
      <w:r>
        <w:rPr>
          <w:rFonts w:asciiTheme="minorHAnsi" w:hAnsiTheme="minorHAnsi"/>
        </w:rPr>
        <w:t>A</w:t>
      </w:r>
      <w:r w:rsidR="0049492D">
        <w:rPr>
          <w:rFonts w:asciiTheme="minorHAnsi" w:hAnsiTheme="minorHAnsi"/>
        </w:rPr>
        <w:t>n existing</w:t>
      </w:r>
      <w:r w:rsidRPr="002A3F98">
        <w:rPr>
          <w:rFonts w:asciiTheme="minorHAnsi" w:hAnsiTheme="minorHAnsi"/>
        </w:rPr>
        <w:t xml:space="preserve"> Victorian variation to the NCC (VIC H103.1) provides a number of concessions for active and passive fire safety systems where</w:t>
      </w:r>
      <w:r>
        <w:rPr>
          <w:rFonts w:asciiTheme="minorHAnsi" w:hAnsiTheme="minorHAnsi"/>
        </w:rPr>
        <w:t xml:space="preserve"> fire</w:t>
      </w:r>
      <w:r w:rsidRPr="002A3F98">
        <w:rPr>
          <w:rFonts w:asciiTheme="minorHAnsi" w:hAnsiTheme="minorHAnsi"/>
        </w:rPr>
        <w:t xml:space="preserve"> sprinklers are installed. In 2014, the ABCB conducted a survey of all NCC </w:t>
      </w:r>
      <w:r w:rsidR="00BE20D3">
        <w:rPr>
          <w:rFonts w:asciiTheme="minorHAnsi" w:hAnsiTheme="minorHAnsi"/>
        </w:rPr>
        <w:t>users</w:t>
      </w:r>
      <w:r w:rsidR="0049492D">
        <w:rPr>
          <w:rFonts w:asciiTheme="minorHAnsi" w:hAnsiTheme="minorHAnsi"/>
        </w:rPr>
        <w:t>,</w:t>
      </w:r>
      <w:r w:rsidR="00BE20D3" w:rsidRPr="002A3F98">
        <w:rPr>
          <w:rFonts w:asciiTheme="minorHAnsi" w:hAnsiTheme="minorHAnsi"/>
        </w:rPr>
        <w:t xml:space="preserve"> </w:t>
      </w:r>
      <w:r w:rsidR="002533F9">
        <w:rPr>
          <w:rFonts w:asciiTheme="minorHAnsi" w:hAnsiTheme="minorHAnsi"/>
        </w:rPr>
        <w:t>which</w:t>
      </w:r>
      <w:r w:rsidRPr="002A3F98">
        <w:rPr>
          <w:rFonts w:asciiTheme="minorHAnsi" w:hAnsiTheme="minorHAnsi"/>
        </w:rPr>
        <w:t xml:space="preserve"> found that some stakeholders felt these concessions better reflected minimum necessary regulation and had the potential to deliver higher economic and life safety benefits.</w:t>
      </w:r>
    </w:p>
    <w:p w:rsidR="00BC6293" w:rsidRPr="002A3F98" w:rsidRDefault="00BC6293" w:rsidP="00BC6293">
      <w:pPr>
        <w:spacing w:after="60"/>
        <w:rPr>
          <w:rFonts w:asciiTheme="minorHAnsi" w:hAnsiTheme="minorHAnsi"/>
        </w:rPr>
      </w:pPr>
      <w:r w:rsidRPr="002A3F98">
        <w:rPr>
          <w:rFonts w:asciiTheme="minorHAnsi" w:hAnsiTheme="minorHAnsi"/>
        </w:rPr>
        <w:t>Fire sprinklers have proven highly effective both domestically and internationally as a means of suppressing fire in its early stages. In recent times, change</w:t>
      </w:r>
      <w:r>
        <w:rPr>
          <w:rFonts w:asciiTheme="minorHAnsi" w:hAnsiTheme="minorHAnsi"/>
        </w:rPr>
        <w:t>s</w:t>
      </w:r>
      <w:r w:rsidRPr="002A3F98">
        <w:rPr>
          <w:rFonts w:asciiTheme="minorHAnsi" w:hAnsiTheme="minorHAnsi"/>
        </w:rPr>
        <w:t xml:space="preserve"> in construction methods </w:t>
      </w:r>
      <w:r>
        <w:rPr>
          <w:rFonts w:asciiTheme="minorHAnsi" w:hAnsiTheme="minorHAnsi"/>
        </w:rPr>
        <w:t>such as timber mid-rise construction</w:t>
      </w:r>
      <w:r w:rsidRPr="002A3F98">
        <w:rPr>
          <w:rFonts w:asciiTheme="minorHAnsi" w:hAnsiTheme="minorHAnsi"/>
        </w:rPr>
        <w:t xml:space="preserve"> has</w:t>
      </w:r>
      <w:r>
        <w:rPr>
          <w:rFonts w:asciiTheme="minorHAnsi" w:hAnsiTheme="minorHAnsi"/>
        </w:rPr>
        <w:t xml:space="preserve"> also</w:t>
      </w:r>
      <w:r w:rsidRPr="002A3F98">
        <w:rPr>
          <w:rFonts w:asciiTheme="minorHAnsi" w:hAnsiTheme="minorHAnsi"/>
        </w:rPr>
        <w:t xml:space="preserve"> seen their inclusion in buildings less than 25</w:t>
      </w:r>
      <w:r>
        <w:rPr>
          <w:rFonts w:asciiTheme="minorHAnsi" w:hAnsiTheme="minorHAnsi"/>
        </w:rPr>
        <w:t xml:space="preserve"> </w:t>
      </w:r>
      <w:r w:rsidRPr="002A3F98">
        <w:rPr>
          <w:rFonts w:asciiTheme="minorHAnsi" w:hAnsiTheme="minorHAnsi"/>
        </w:rPr>
        <w:t>m in effective height.</w:t>
      </w:r>
    </w:p>
    <w:p w:rsidR="00181EFB" w:rsidRPr="002A3F98" w:rsidRDefault="004B162E" w:rsidP="0003376D">
      <w:pPr>
        <w:spacing w:after="60"/>
        <w:rPr>
          <w:rFonts w:asciiTheme="minorHAnsi" w:hAnsiTheme="minorHAnsi"/>
        </w:rPr>
      </w:pPr>
      <w:r>
        <w:rPr>
          <w:rFonts w:asciiTheme="minorHAnsi" w:hAnsiTheme="minorHAnsi"/>
        </w:rPr>
        <w:t xml:space="preserve">Under the current DtS </w:t>
      </w:r>
      <w:r w:rsidR="00BE20D3">
        <w:rPr>
          <w:rFonts w:asciiTheme="minorHAnsi" w:hAnsiTheme="minorHAnsi"/>
        </w:rPr>
        <w:t>P</w:t>
      </w:r>
      <w:r>
        <w:rPr>
          <w:rFonts w:asciiTheme="minorHAnsi" w:hAnsiTheme="minorHAnsi"/>
        </w:rPr>
        <w:t>rovision</w:t>
      </w:r>
      <w:r w:rsidRPr="00F6055B">
        <w:rPr>
          <w:rFonts w:asciiTheme="minorHAnsi" w:hAnsiTheme="minorHAnsi"/>
        </w:rPr>
        <w:t xml:space="preserve">s </w:t>
      </w:r>
      <w:r w:rsidR="00181EFB" w:rsidRPr="00F6055B">
        <w:rPr>
          <w:rFonts w:asciiTheme="minorHAnsi" w:hAnsiTheme="minorHAnsi"/>
        </w:rPr>
        <w:t>a fire sprinkler system is required in all new Class 2 and 3 buildings greater than 25 metres in effective height</w:t>
      </w:r>
      <w:r w:rsidR="00FE0A6B" w:rsidRPr="00AA38F2">
        <w:rPr>
          <w:rFonts w:asciiTheme="minorHAnsi" w:hAnsiTheme="minorHAnsi"/>
        </w:rPr>
        <w:t xml:space="preserve"> and</w:t>
      </w:r>
      <w:r w:rsidRPr="00AA38F2">
        <w:rPr>
          <w:rFonts w:asciiTheme="minorHAnsi" w:hAnsiTheme="minorHAnsi"/>
        </w:rPr>
        <w:t xml:space="preserve"> in buildings</w:t>
      </w:r>
      <w:r w:rsidR="00FE0A6B" w:rsidRPr="00AA38F2">
        <w:rPr>
          <w:rFonts w:asciiTheme="minorHAnsi" w:hAnsiTheme="minorHAnsi"/>
        </w:rPr>
        <w:t xml:space="preserve"> accommodatin</w:t>
      </w:r>
      <w:r w:rsidRPr="00AA38F2">
        <w:rPr>
          <w:rFonts w:asciiTheme="minorHAnsi" w:hAnsiTheme="minorHAnsi"/>
        </w:rPr>
        <w:t>g</w:t>
      </w:r>
      <w:r w:rsidR="00FE0A6B" w:rsidRPr="00AA38F2">
        <w:rPr>
          <w:rFonts w:asciiTheme="minorHAnsi" w:hAnsiTheme="minorHAnsi"/>
        </w:rPr>
        <w:t xml:space="preserve"> the aged, children or people with disabilities</w:t>
      </w:r>
      <w:r w:rsidR="00987A29" w:rsidRPr="00E40BFE">
        <w:rPr>
          <w:rStyle w:val="FootnoteReference"/>
          <w:rFonts w:asciiTheme="minorHAnsi" w:hAnsiTheme="minorHAnsi"/>
        </w:rPr>
        <w:footnoteReference w:id="3"/>
      </w:r>
      <w:r w:rsidR="00181EFB" w:rsidRPr="00F6055B">
        <w:rPr>
          <w:rFonts w:asciiTheme="minorHAnsi" w:hAnsiTheme="minorHAnsi"/>
        </w:rPr>
        <w:t>.</w:t>
      </w:r>
    </w:p>
    <w:p w:rsidR="00642EFE" w:rsidRDefault="00C63369" w:rsidP="0062442C">
      <w:pPr>
        <w:spacing w:after="60"/>
        <w:rPr>
          <w:rFonts w:asciiTheme="minorHAnsi" w:hAnsiTheme="minorHAnsi"/>
        </w:rPr>
      </w:pPr>
      <w:r w:rsidRPr="002A3F98">
        <w:rPr>
          <w:rFonts w:asciiTheme="minorHAnsi" w:hAnsiTheme="minorHAnsi"/>
        </w:rPr>
        <w:t xml:space="preserve">This </w:t>
      </w:r>
      <w:r w:rsidR="002003B5">
        <w:rPr>
          <w:rFonts w:asciiTheme="minorHAnsi" w:hAnsiTheme="minorHAnsi"/>
        </w:rPr>
        <w:t>Final</w:t>
      </w:r>
      <w:r w:rsidR="002003B5" w:rsidRPr="002A3F98">
        <w:rPr>
          <w:rFonts w:asciiTheme="minorHAnsi" w:hAnsiTheme="minorHAnsi"/>
        </w:rPr>
        <w:t xml:space="preserve"> </w:t>
      </w:r>
      <w:r w:rsidR="00A90471" w:rsidRPr="002A3F98">
        <w:rPr>
          <w:rFonts w:asciiTheme="minorHAnsi" w:hAnsiTheme="minorHAnsi"/>
        </w:rPr>
        <w:t xml:space="preserve">RIS </w:t>
      </w:r>
      <w:r w:rsidRPr="002A3F98">
        <w:rPr>
          <w:rFonts w:asciiTheme="minorHAnsi" w:hAnsiTheme="minorHAnsi"/>
        </w:rPr>
        <w:t xml:space="preserve">assesses the costs and benefits of </w:t>
      </w:r>
      <w:r w:rsidR="00A81F99">
        <w:rPr>
          <w:rFonts w:asciiTheme="minorHAnsi" w:hAnsiTheme="minorHAnsi"/>
        </w:rPr>
        <w:t xml:space="preserve">requiring fire sprinklers in the DtS Provisions, </w:t>
      </w:r>
      <w:r w:rsidR="00026850" w:rsidRPr="002A3F98">
        <w:rPr>
          <w:rFonts w:asciiTheme="minorHAnsi" w:hAnsiTheme="minorHAnsi"/>
        </w:rPr>
        <w:t>u</w:t>
      </w:r>
      <w:r w:rsidR="00B13A13">
        <w:rPr>
          <w:rFonts w:asciiTheme="minorHAnsi" w:hAnsiTheme="minorHAnsi"/>
        </w:rPr>
        <w:t xml:space="preserve">nder </w:t>
      </w:r>
      <w:r w:rsidR="00026850" w:rsidRPr="002A3F98">
        <w:rPr>
          <w:rFonts w:asciiTheme="minorHAnsi" w:hAnsiTheme="minorHAnsi"/>
        </w:rPr>
        <w:t xml:space="preserve">alternative sprinkler </w:t>
      </w:r>
      <w:r w:rsidR="003B528F">
        <w:rPr>
          <w:rFonts w:asciiTheme="minorHAnsi" w:hAnsiTheme="minorHAnsi"/>
        </w:rPr>
        <w:t>specifications</w:t>
      </w:r>
      <w:r w:rsidR="00A81F99">
        <w:rPr>
          <w:rFonts w:asciiTheme="minorHAnsi" w:hAnsiTheme="minorHAnsi"/>
        </w:rPr>
        <w:t>,</w:t>
      </w:r>
      <w:r w:rsidR="00231A82" w:rsidRPr="002A3F98">
        <w:rPr>
          <w:rFonts w:asciiTheme="minorHAnsi" w:hAnsiTheme="minorHAnsi"/>
        </w:rPr>
        <w:t xml:space="preserve"> in new </w:t>
      </w:r>
      <w:r w:rsidR="003A2A10" w:rsidRPr="002A3F98">
        <w:rPr>
          <w:rFonts w:asciiTheme="minorHAnsi" w:hAnsiTheme="minorHAnsi"/>
        </w:rPr>
        <w:t xml:space="preserve">multi-storey Class 2 and 3 </w:t>
      </w:r>
      <w:r w:rsidR="00231A82" w:rsidRPr="002A3F98">
        <w:rPr>
          <w:rFonts w:asciiTheme="minorHAnsi" w:hAnsiTheme="minorHAnsi"/>
        </w:rPr>
        <w:t>residential buildings</w:t>
      </w:r>
      <w:r w:rsidR="002003B5">
        <w:rPr>
          <w:rFonts w:asciiTheme="minorHAnsi" w:hAnsiTheme="minorHAnsi"/>
        </w:rPr>
        <w:t xml:space="preserve"> between four and eight storeys in height</w:t>
      </w:r>
      <w:r w:rsidR="00D15218" w:rsidRPr="002A3F98">
        <w:rPr>
          <w:rFonts w:asciiTheme="minorHAnsi" w:hAnsiTheme="minorHAnsi"/>
        </w:rPr>
        <w:t>.</w:t>
      </w:r>
      <w:r w:rsidR="00026850" w:rsidRPr="002A3F98">
        <w:rPr>
          <w:rFonts w:asciiTheme="minorHAnsi" w:hAnsiTheme="minorHAnsi"/>
        </w:rPr>
        <w:t xml:space="preserve"> It is informed by</w:t>
      </w:r>
      <w:r w:rsidR="00B427E7">
        <w:rPr>
          <w:rFonts w:asciiTheme="minorHAnsi" w:hAnsiTheme="minorHAnsi"/>
        </w:rPr>
        <w:t xml:space="preserve"> </w:t>
      </w:r>
      <w:r w:rsidRPr="002A3F98">
        <w:rPr>
          <w:rFonts w:asciiTheme="minorHAnsi" w:hAnsiTheme="minorHAnsi"/>
        </w:rPr>
        <w:t>findings</w:t>
      </w:r>
      <w:r w:rsidR="00231A82" w:rsidRPr="002A3F98">
        <w:rPr>
          <w:rFonts w:asciiTheme="minorHAnsi" w:hAnsiTheme="minorHAnsi"/>
        </w:rPr>
        <w:t xml:space="preserve"> of </w:t>
      </w:r>
      <w:r w:rsidR="00CC0B86" w:rsidRPr="002A3F98">
        <w:rPr>
          <w:rFonts w:asciiTheme="minorHAnsi" w:hAnsiTheme="minorHAnsi"/>
        </w:rPr>
        <w:t xml:space="preserve">a fire risk analysis </w:t>
      </w:r>
      <w:r w:rsidR="00A90471" w:rsidRPr="002A3F98">
        <w:rPr>
          <w:rFonts w:asciiTheme="minorHAnsi" w:hAnsiTheme="minorHAnsi"/>
        </w:rPr>
        <w:t xml:space="preserve">by EFT </w:t>
      </w:r>
      <w:r w:rsidR="00026850" w:rsidRPr="002A3F98">
        <w:rPr>
          <w:rFonts w:asciiTheme="minorHAnsi" w:hAnsiTheme="minorHAnsi"/>
        </w:rPr>
        <w:t xml:space="preserve">Consulting </w:t>
      </w:r>
      <w:r w:rsidR="00231A82" w:rsidRPr="002A3F98">
        <w:rPr>
          <w:rFonts w:asciiTheme="minorHAnsi" w:hAnsiTheme="minorHAnsi"/>
        </w:rPr>
        <w:t xml:space="preserve">and material provided by </w:t>
      </w:r>
      <w:r w:rsidR="00026850" w:rsidRPr="002A3F98">
        <w:rPr>
          <w:rFonts w:asciiTheme="minorHAnsi" w:hAnsiTheme="minorHAnsi"/>
        </w:rPr>
        <w:t>AFAC</w:t>
      </w:r>
      <w:r w:rsidR="00D15218" w:rsidRPr="002A3F98">
        <w:rPr>
          <w:rFonts w:asciiTheme="minorHAnsi" w:hAnsiTheme="minorHAnsi"/>
        </w:rPr>
        <w:t>, FRNSW</w:t>
      </w:r>
      <w:r w:rsidR="00026850" w:rsidRPr="002A3F98">
        <w:rPr>
          <w:rFonts w:asciiTheme="minorHAnsi" w:hAnsiTheme="minorHAnsi"/>
        </w:rPr>
        <w:t xml:space="preserve"> and </w:t>
      </w:r>
      <w:r w:rsidR="00936F49" w:rsidRPr="002A3F98">
        <w:rPr>
          <w:rFonts w:asciiTheme="minorHAnsi" w:hAnsiTheme="minorHAnsi"/>
        </w:rPr>
        <w:t>FPAA</w:t>
      </w:r>
      <w:r w:rsidR="0049492D">
        <w:rPr>
          <w:rFonts w:asciiTheme="minorHAnsi" w:hAnsiTheme="minorHAnsi"/>
        </w:rPr>
        <w:t>,</w:t>
      </w:r>
      <w:r w:rsidR="009A0840">
        <w:rPr>
          <w:rFonts w:asciiTheme="minorHAnsi" w:hAnsiTheme="minorHAnsi"/>
        </w:rPr>
        <w:t xml:space="preserve"> and information received at public consultation</w:t>
      </w:r>
      <w:r w:rsidR="00231A82" w:rsidRPr="002A3F98">
        <w:rPr>
          <w:rFonts w:asciiTheme="minorHAnsi" w:hAnsiTheme="minorHAnsi"/>
        </w:rPr>
        <w:t xml:space="preserve">. </w:t>
      </w:r>
      <w:r w:rsidR="005C14E4">
        <w:rPr>
          <w:rFonts w:asciiTheme="minorHAnsi" w:hAnsiTheme="minorHAnsi"/>
        </w:rPr>
        <w:t xml:space="preserve">The scope of this analysis is limited to </w:t>
      </w:r>
      <w:r w:rsidR="009747E2">
        <w:rPr>
          <w:rFonts w:asciiTheme="minorHAnsi" w:hAnsiTheme="minorHAnsi"/>
        </w:rPr>
        <w:t xml:space="preserve">new buildings as the solutions </w:t>
      </w:r>
      <w:r w:rsidR="004B162E">
        <w:rPr>
          <w:rFonts w:asciiTheme="minorHAnsi" w:hAnsiTheme="minorHAnsi"/>
        </w:rPr>
        <w:t>will not apply</w:t>
      </w:r>
      <w:r w:rsidR="005C14E4">
        <w:rPr>
          <w:rFonts w:asciiTheme="minorHAnsi" w:hAnsiTheme="minorHAnsi"/>
        </w:rPr>
        <w:t xml:space="preserve"> retrospectively.</w:t>
      </w:r>
    </w:p>
    <w:p w:rsidR="000B779D" w:rsidRDefault="000B779D" w:rsidP="006D4101">
      <w:pPr>
        <w:spacing w:after="120"/>
        <w:rPr>
          <w:rFonts w:asciiTheme="minorHAnsi" w:hAnsiTheme="minorHAnsi"/>
        </w:rPr>
      </w:pPr>
      <w:r>
        <w:rPr>
          <w:rFonts w:asciiTheme="minorHAnsi" w:hAnsiTheme="minorHAnsi"/>
        </w:rPr>
        <w:t>Th</w:t>
      </w:r>
      <w:r w:rsidR="00CA660A">
        <w:rPr>
          <w:rFonts w:asciiTheme="minorHAnsi" w:hAnsiTheme="minorHAnsi"/>
        </w:rPr>
        <w:t>e</w:t>
      </w:r>
      <w:r w:rsidR="003A4B31">
        <w:rPr>
          <w:rFonts w:asciiTheme="minorHAnsi" w:hAnsiTheme="minorHAnsi"/>
        </w:rPr>
        <w:t xml:space="preserve"> </w:t>
      </w:r>
      <w:r w:rsidR="00CA660A">
        <w:rPr>
          <w:rFonts w:asciiTheme="minorHAnsi" w:hAnsiTheme="minorHAnsi"/>
        </w:rPr>
        <w:t>following</w:t>
      </w:r>
      <w:r w:rsidR="00672448">
        <w:rPr>
          <w:rFonts w:asciiTheme="minorHAnsi" w:hAnsiTheme="minorHAnsi"/>
        </w:rPr>
        <w:t xml:space="preserve"> </w:t>
      </w:r>
      <w:r>
        <w:rPr>
          <w:rFonts w:asciiTheme="minorHAnsi" w:hAnsiTheme="minorHAnsi"/>
        </w:rPr>
        <w:t>s</w:t>
      </w:r>
      <w:r w:rsidR="003B528F">
        <w:rPr>
          <w:rFonts w:asciiTheme="minorHAnsi" w:hAnsiTheme="minorHAnsi"/>
        </w:rPr>
        <w:t>prinkler specifications</w:t>
      </w:r>
      <w:r w:rsidRPr="000B779D">
        <w:rPr>
          <w:rFonts w:asciiTheme="minorHAnsi" w:hAnsiTheme="minorHAnsi"/>
        </w:rPr>
        <w:t xml:space="preserve"> </w:t>
      </w:r>
      <w:r w:rsidR="00672448">
        <w:rPr>
          <w:rFonts w:asciiTheme="minorHAnsi" w:hAnsiTheme="minorHAnsi"/>
        </w:rPr>
        <w:t xml:space="preserve">on which this </w:t>
      </w:r>
      <w:r w:rsidR="008B20EB">
        <w:rPr>
          <w:rFonts w:asciiTheme="minorHAnsi" w:hAnsiTheme="minorHAnsi"/>
        </w:rPr>
        <w:t xml:space="preserve">Final </w:t>
      </w:r>
      <w:r w:rsidR="00CA660A">
        <w:rPr>
          <w:rFonts w:asciiTheme="minorHAnsi" w:hAnsiTheme="minorHAnsi"/>
        </w:rPr>
        <w:t xml:space="preserve">RIS </w:t>
      </w:r>
      <w:r w:rsidR="00672448">
        <w:rPr>
          <w:rFonts w:asciiTheme="minorHAnsi" w:hAnsiTheme="minorHAnsi"/>
        </w:rPr>
        <w:t>relie</w:t>
      </w:r>
      <w:r w:rsidR="009A0840">
        <w:rPr>
          <w:rFonts w:asciiTheme="minorHAnsi" w:hAnsiTheme="minorHAnsi"/>
        </w:rPr>
        <w:t>s</w:t>
      </w:r>
      <w:r>
        <w:rPr>
          <w:rFonts w:asciiTheme="minorHAnsi" w:hAnsiTheme="minorHAnsi"/>
        </w:rPr>
        <w:t>:</w:t>
      </w:r>
    </w:p>
    <w:p w:rsidR="00B13A13" w:rsidRPr="0003376D" w:rsidRDefault="00B13A13" w:rsidP="0003376D">
      <w:pPr>
        <w:pStyle w:val="ListParagraph"/>
        <w:numPr>
          <w:ilvl w:val="0"/>
          <w:numId w:val="39"/>
        </w:numPr>
        <w:spacing w:after="120"/>
        <w:rPr>
          <w:rFonts w:asciiTheme="minorHAnsi" w:hAnsiTheme="minorHAnsi"/>
        </w:rPr>
      </w:pPr>
      <w:r>
        <w:rPr>
          <w:rFonts w:asciiTheme="minorHAnsi" w:hAnsiTheme="minorHAnsi"/>
        </w:rPr>
        <w:t>AS 2118.1 Automatic fire Sprinkler Systems – General Systems</w:t>
      </w:r>
      <w:r w:rsidR="00FE3334">
        <w:rPr>
          <w:rFonts w:asciiTheme="minorHAnsi" w:hAnsiTheme="minorHAnsi"/>
        </w:rPr>
        <w:t>; and,</w:t>
      </w:r>
      <w:r>
        <w:rPr>
          <w:rFonts w:asciiTheme="minorHAnsi" w:hAnsiTheme="minorHAnsi"/>
        </w:rPr>
        <w:t xml:space="preserve"> </w:t>
      </w:r>
    </w:p>
    <w:p w:rsidR="00ED21DE" w:rsidRDefault="009F6409" w:rsidP="0003376D">
      <w:pPr>
        <w:pStyle w:val="ListParagraph"/>
        <w:numPr>
          <w:ilvl w:val="0"/>
          <w:numId w:val="39"/>
        </w:numPr>
        <w:spacing w:after="240"/>
        <w:ind w:left="771" w:hanging="357"/>
        <w:rPr>
          <w:rFonts w:asciiTheme="minorHAnsi" w:hAnsiTheme="minorHAnsi"/>
        </w:rPr>
      </w:pPr>
      <w:r>
        <w:rPr>
          <w:rFonts w:asciiTheme="minorHAnsi" w:hAnsiTheme="minorHAnsi"/>
        </w:rPr>
        <w:t>FPAA 101</w:t>
      </w:r>
      <w:r w:rsidR="000B779D" w:rsidRPr="0003376D">
        <w:rPr>
          <w:rFonts w:asciiTheme="minorHAnsi" w:hAnsiTheme="minorHAnsi"/>
        </w:rPr>
        <w:t>D Automatic Fire Sprinkler System Design and Installation –</w:t>
      </w:r>
      <w:r>
        <w:rPr>
          <w:rFonts w:asciiTheme="minorHAnsi" w:hAnsiTheme="minorHAnsi"/>
        </w:rPr>
        <w:t xml:space="preserve"> </w:t>
      </w:r>
      <w:r w:rsidR="000B779D" w:rsidRPr="0003376D">
        <w:rPr>
          <w:rFonts w:asciiTheme="minorHAnsi" w:hAnsiTheme="minorHAnsi"/>
        </w:rPr>
        <w:t xml:space="preserve">Domestic Water Supply, </w:t>
      </w:r>
      <w:r w:rsidR="009A0840" w:rsidRPr="0003376D">
        <w:rPr>
          <w:rFonts w:asciiTheme="minorHAnsi" w:hAnsiTheme="minorHAnsi"/>
        </w:rPr>
        <w:t>18 March 2018</w:t>
      </w:r>
      <w:r w:rsidR="000B779D" w:rsidRPr="0003376D">
        <w:rPr>
          <w:rFonts w:asciiTheme="minorHAnsi" w:hAnsiTheme="minorHAnsi"/>
        </w:rPr>
        <w:t>; and</w:t>
      </w:r>
      <w:r w:rsidR="00ED21DE">
        <w:rPr>
          <w:rFonts w:asciiTheme="minorHAnsi" w:hAnsiTheme="minorHAnsi"/>
        </w:rPr>
        <w:t>,</w:t>
      </w:r>
    </w:p>
    <w:p w:rsidR="00ED21DE" w:rsidRDefault="009F6409" w:rsidP="00ED21DE">
      <w:pPr>
        <w:pStyle w:val="ListParagraph"/>
        <w:numPr>
          <w:ilvl w:val="0"/>
          <w:numId w:val="39"/>
        </w:numPr>
        <w:spacing w:after="240"/>
        <w:ind w:left="771" w:hanging="357"/>
        <w:rPr>
          <w:rFonts w:asciiTheme="minorHAnsi" w:hAnsiTheme="minorHAnsi"/>
        </w:rPr>
      </w:pPr>
      <w:r>
        <w:rPr>
          <w:rFonts w:asciiTheme="minorHAnsi" w:hAnsiTheme="minorHAnsi"/>
        </w:rPr>
        <w:t>FPAA 101</w:t>
      </w:r>
      <w:r w:rsidR="000B779D" w:rsidRPr="00ED21DE">
        <w:rPr>
          <w:rFonts w:asciiTheme="minorHAnsi" w:hAnsiTheme="minorHAnsi"/>
        </w:rPr>
        <w:t>H Automatic Fire Sprinkler System Design and Installation –</w:t>
      </w:r>
      <w:r>
        <w:rPr>
          <w:rFonts w:asciiTheme="minorHAnsi" w:hAnsiTheme="minorHAnsi"/>
        </w:rPr>
        <w:t xml:space="preserve"> </w:t>
      </w:r>
      <w:r w:rsidR="000B779D" w:rsidRPr="00ED21DE">
        <w:rPr>
          <w:rFonts w:asciiTheme="minorHAnsi" w:hAnsiTheme="minorHAnsi"/>
        </w:rPr>
        <w:t xml:space="preserve">Hydrant Water Supply, </w:t>
      </w:r>
      <w:r w:rsidR="009A0840" w:rsidRPr="00ED21DE">
        <w:rPr>
          <w:rFonts w:asciiTheme="minorHAnsi" w:hAnsiTheme="minorHAnsi"/>
        </w:rPr>
        <w:t>18 March 2018</w:t>
      </w:r>
      <w:r w:rsidR="000B779D" w:rsidRPr="00ED21DE">
        <w:rPr>
          <w:rFonts w:asciiTheme="minorHAnsi" w:hAnsiTheme="minorHAnsi"/>
        </w:rPr>
        <w:t>.</w:t>
      </w:r>
    </w:p>
    <w:p w:rsidR="00C63369" w:rsidRPr="00ED21DE" w:rsidRDefault="00C63369" w:rsidP="00ED21DE">
      <w:pPr>
        <w:pStyle w:val="Heading2"/>
        <w:spacing w:before="240"/>
      </w:pPr>
      <w:bookmarkStart w:id="10" w:name="_Toc471384391"/>
      <w:bookmarkStart w:id="11" w:name="_Toc505333471"/>
      <w:r w:rsidRPr="00ED21DE">
        <w:lastRenderedPageBreak/>
        <w:t>Problem</w:t>
      </w:r>
      <w:bookmarkEnd w:id="10"/>
      <w:bookmarkEnd w:id="11"/>
    </w:p>
    <w:p w:rsidR="00AB3CE8" w:rsidRDefault="00C00705" w:rsidP="0003376D">
      <w:pPr>
        <w:spacing w:after="0" w:line="320" w:lineRule="exact"/>
        <w:rPr>
          <w:rFonts w:asciiTheme="minorHAnsi" w:eastAsia="Times New Roman" w:hAnsiTheme="minorHAnsi" w:cs="Arial"/>
          <w:lang w:eastAsia="en-AU"/>
        </w:rPr>
      </w:pPr>
      <w:r w:rsidRPr="002A3F98">
        <w:rPr>
          <w:rFonts w:asciiTheme="minorHAnsi" w:eastAsia="Times New Roman" w:hAnsiTheme="minorHAnsi" w:cs="Arial"/>
          <w:lang w:eastAsia="en-AU"/>
        </w:rPr>
        <w:t xml:space="preserve">A core goal of the </w:t>
      </w:r>
      <w:r w:rsidR="003A2A10" w:rsidRPr="002A3F98">
        <w:rPr>
          <w:rFonts w:asciiTheme="minorHAnsi" w:eastAsia="Times New Roman" w:hAnsiTheme="minorHAnsi" w:cs="Arial"/>
          <w:lang w:eastAsia="en-AU"/>
        </w:rPr>
        <w:t>NCC</w:t>
      </w:r>
      <w:r w:rsidRPr="002A3F98">
        <w:rPr>
          <w:rFonts w:asciiTheme="minorHAnsi" w:eastAsia="Times New Roman" w:hAnsiTheme="minorHAnsi" w:cs="Arial"/>
          <w:lang w:eastAsia="en-AU"/>
        </w:rPr>
        <w:t xml:space="preserve"> is the efficient achievement of minimum necessary standards for the safety of building occupants from fire. </w:t>
      </w:r>
      <w:r w:rsidR="002A022B">
        <w:rPr>
          <w:rFonts w:asciiTheme="minorHAnsi" w:eastAsia="Times New Roman" w:hAnsiTheme="minorHAnsi" w:cs="Arial"/>
          <w:lang w:eastAsia="en-AU"/>
        </w:rPr>
        <w:t xml:space="preserve">Currently, this is achieved </w:t>
      </w:r>
      <w:r w:rsidR="00F02B1E">
        <w:rPr>
          <w:rFonts w:asciiTheme="minorHAnsi" w:eastAsia="Times New Roman" w:hAnsiTheme="minorHAnsi" w:cs="Arial"/>
          <w:lang w:eastAsia="en-AU"/>
        </w:rPr>
        <w:t>using</w:t>
      </w:r>
      <w:r w:rsidR="00C33EF1" w:rsidRPr="002A3F98">
        <w:rPr>
          <w:rFonts w:asciiTheme="minorHAnsi" w:eastAsia="Times New Roman" w:hAnsiTheme="minorHAnsi" w:cs="Arial"/>
          <w:lang w:eastAsia="en-AU"/>
        </w:rPr>
        <w:t xml:space="preserve"> </w:t>
      </w:r>
      <w:r w:rsidR="00F02B1E" w:rsidRPr="002A3F98">
        <w:rPr>
          <w:rFonts w:asciiTheme="minorHAnsi" w:eastAsia="Times New Roman" w:hAnsiTheme="minorHAnsi" w:cs="Arial"/>
          <w:lang w:eastAsia="en-AU"/>
        </w:rPr>
        <w:t>a number of active and passive fire safety systems that work together as one system to provide</w:t>
      </w:r>
      <w:r w:rsidR="00FE3334">
        <w:rPr>
          <w:rFonts w:asciiTheme="minorHAnsi" w:eastAsia="Times New Roman" w:hAnsiTheme="minorHAnsi" w:cs="Arial"/>
          <w:lang w:eastAsia="en-AU"/>
        </w:rPr>
        <w:t xml:space="preserve"> an adequate level of life</w:t>
      </w:r>
      <w:r w:rsidR="00F02B1E" w:rsidRPr="002A3F98">
        <w:rPr>
          <w:rFonts w:asciiTheme="minorHAnsi" w:eastAsia="Times New Roman" w:hAnsiTheme="minorHAnsi" w:cs="Arial"/>
          <w:lang w:eastAsia="en-AU"/>
        </w:rPr>
        <w:t xml:space="preserve"> safety from the effects of fire.</w:t>
      </w:r>
      <w:r w:rsidR="00F02B1E" w:rsidRPr="002A3F98">
        <w:rPr>
          <w:rStyle w:val="FootnoteReference"/>
          <w:rFonts w:asciiTheme="minorHAnsi" w:eastAsia="Times New Roman" w:hAnsiTheme="minorHAnsi" w:cs="Arial"/>
          <w:lang w:eastAsia="en-AU"/>
        </w:rPr>
        <w:footnoteReference w:id="4"/>
      </w:r>
    </w:p>
    <w:p w:rsidR="00EF0C04" w:rsidRPr="002A3F98" w:rsidRDefault="00CA660A" w:rsidP="00EF0C04">
      <w:pPr>
        <w:spacing w:before="120" w:after="0" w:line="320" w:lineRule="exact"/>
        <w:rPr>
          <w:rFonts w:asciiTheme="minorHAnsi" w:eastAsia="Times New Roman" w:hAnsiTheme="minorHAnsi" w:cs="Arial"/>
          <w:lang w:eastAsia="en-AU"/>
        </w:rPr>
      </w:pPr>
      <w:r>
        <w:rPr>
          <w:rFonts w:asciiTheme="minorHAnsi" w:eastAsia="Times New Roman" w:hAnsiTheme="minorHAnsi" w:cs="Arial"/>
          <w:lang w:eastAsia="en-AU"/>
        </w:rPr>
        <w:t>T</w:t>
      </w:r>
      <w:r w:rsidR="00AB3CE8" w:rsidRPr="002A3F98">
        <w:rPr>
          <w:rFonts w:asciiTheme="minorHAnsi" w:eastAsia="Times New Roman" w:hAnsiTheme="minorHAnsi" w:cs="Arial"/>
          <w:lang w:eastAsia="en-AU"/>
        </w:rPr>
        <w:t xml:space="preserve">he </w:t>
      </w:r>
      <w:r>
        <w:rPr>
          <w:rFonts w:asciiTheme="minorHAnsi" w:eastAsia="Times New Roman" w:hAnsiTheme="minorHAnsi" w:cs="Arial"/>
          <w:lang w:eastAsia="en-AU"/>
        </w:rPr>
        <w:t xml:space="preserve">type and </w:t>
      </w:r>
      <w:r w:rsidR="00AB3CE8" w:rsidRPr="002A3F98">
        <w:rPr>
          <w:rFonts w:asciiTheme="minorHAnsi" w:eastAsia="Times New Roman" w:hAnsiTheme="minorHAnsi" w:cs="Arial"/>
          <w:lang w:eastAsia="en-AU"/>
        </w:rPr>
        <w:t xml:space="preserve">number of fire safety systems </w:t>
      </w:r>
      <w:r w:rsidR="00AB3CE8">
        <w:rPr>
          <w:rFonts w:asciiTheme="minorHAnsi" w:eastAsia="Times New Roman" w:hAnsiTheme="minorHAnsi" w:cs="Arial"/>
          <w:lang w:eastAsia="en-AU"/>
        </w:rPr>
        <w:t xml:space="preserve">required by the NCC </w:t>
      </w:r>
      <w:r w:rsidR="00AB3CE8" w:rsidRPr="002A3F98">
        <w:rPr>
          <w:rFonts w:asciiTheme="minorHAnsi" w:eastAsia="Times New Roman" w:hAnsiTheme="minorHAnsi" w:cs="Arial"/>
          <w:lang w:eastAsia="en-AU"/>
        </w:rPr>
        <w:t>increases</w:t>
      </w:r>
      <w:r w:rsidR="00AB3CE8">
        <w:rPr>
          <w:rFonts w:asciiTheme="minorHAnsi" w:eastAsia="Times New Roman" w:hAnsiTheme="minorHAnsi" w:cs="Arial"/>
          <w:lang w:eastAsia="en-AU"/>
        </w:rPr>
        <w:t xml:space="preserve"> </w:t>
      </w:r>
      <w:r w:rsidR="00441073">
        <w:rPr>
          <w:rFonts w:asciiTheme="minorHAnsi" w:eastAsia="Times New Roman" w:hAnsiTheme="minorHAnsi" w:cs="Arial"/>
          <w:lang w:eastAsia="en-AU"/>
        </w:rPr>
        <w:t>proportional to</w:t>
      </w:r>
      <w:r w:rsidR="005F1A6C">
        <w:rPr>
          <w:rFonts w:asciiTheme="minorHAnsi" w:eastAsia="Times New Roman" w:hAnsiTheme="minorHAnsi" w:cs="Arial"/>
          <w:lang w:eastAsia="en-AU"/>
        </w:rPr>
        <w:t xml:space="preserve"> </w:t>
      </w:r>
      <w:r w:rsidR="005F1A6C" w:rsidRPr="002A3F98">
        <w:rPr>
          <w:rFonts w:asciiTheme="minorHAnsi" w:eastAsia="Times New Roman" w:hAnsiTheme="minorHAnsi" w:cs="Arial"/>
          <w:lang w:eastAsia="en-AU"/>
        </w:rPr>
        <w:t>risk</w:t>
      </w:r>
      <w:r w:rsidR="00493265">
        <w:rPr>
          <w:rFonts w:asciiTheme="minorHAnsi" w:eastAsia="Times New Roman" w:hAnsiTheme="minorHAnsi" w:cs="Arial"/>
          <w:lang w:eastAsia="en-AU"/>
        </w:rPr>
        <w:t xml:space="preserve">s </w:t>
      </w:r>
      <w:r w:rsidR="005F1A6C" w:rsidRPr="002A3F98">
        <w:rPr>
          <w:rFonts w:asciiTheme="minorHAnsi" w:eastAsia="Times New Roman" w:hAnsiTheme="minorHAnsi" w:cs="Arial"/>
          <w:lang w:eastAsia="en-AU"/>
        </w:rPr>
        <w:t xml:space="preserve">due to the </w:t>
      </w:r>
      <w:r>
        <w:rPr>
          <w:rFonts w:asciiTheme="minorHAnsi" w:eastAsia="Times New Roman" w:hAnsiTheme="minorHAnsi" w:cs="Arial"/>
          <w:lang w:eastAsia="en-AU"/>
        </w:rPr>
        <w:t xml:space="preserve">height of the building, the </w:t>
      </w:r>
      <w:r w:rsidR="005F1A6C" w:rsidRPr="002A3F98">
        <w:rPr>
          <w:rFonts w:asciiTheme="minorHAnsi" w:eastAsia="Times New Roman" w:hAnsiTheme="minorHAnsi" w:cs="Arial"/>
          <w:lang w:eastAsia="en-AU"/>
        </w:rPr>
        <w:t>presence of sleeping occupants</w:t>
      </w:r>
      <w:r w:rsidR="00493265">
        <w:rPr>
          <w:rFonts w:asciiTheme="minorHAnsi" w:eastAsia="Times New Roman" w:hAnsiTheme="minorHAnsi" w:cs="Arial"/>
          <w:lang w:eastAsia="en-AU"/>
        </w:rPr>
        <w:t>,</w:t>
      </w:r>
      <w:r w:rsidR="005F1A6C">
        <w:rPr>
          <w:rFonts w:asciiTheme="minorHAnsi" w:eastAsia="Times New Roman" w:hAnsiTheme="minorHAnsi" w:cs="Arial"/>
          <w:lang w:eastAsia="en-AU"/>
        </w:rPr>
        <w:t xml:space="preserve"> larger populations of unrelated occupants</w:t>
      </w:r>
      <w:r w:rsidR="00493265">
        <w:rPr>
          <w:rFonts w:asciiTheme="minorHAnsi" w:eastAsia="Times New Roman" w:hAnsiTheme="minorHAnsi" w:cs="Arial"/>
          <w:lang w:eastAsia="en-AU"/>
        </w:rPr>
        <w:t xml:space="preserve"> and longer travel distance</w:t>
      </w:r>
      <w:r w:rsidR="00FE3334">
        <w:rPr>
          <w:rFonts w:asciiTheme="minorHAnsi" w:eastAsia="Times New Roman" w:hAnsiTheme="minorHAnsi" w:cs="Arial"/>
          <w:lang w:eastAsia="en-AU"/>
        </w:rPr>
        <w:t>s</w:t>
      </w:r>
      <w:r w:rsidR="005F1A6C">
        <w:rPr>
          <w:rFonts w:asciiTheme="minorHAnsi" w:eastAsia="Times New Roman" w:hAnsiTheme="minorHAnsi" w:cs="Arial"/>
          <w:lang w:eastAsia="en-AU"/>
        </w:rPr>
        <w:t>.</w:t>
      </w:r>
      <w:r w:rsidR="005F1A6C" w:rsidRPr="002A3F98">
        <w:rPr>
          <w:rFonts w:asciiTheme="minorHAnsi" w:eastAsia="Times New Roman" w:hAnsiTheme="minorHAnsi" w:cs="Arial"/>
          <w:lang w:eastAsia="en-AU"/>
        </w:rPr>
        <w:t xml:space="preserve"> </w:t>
      </w:r>
      <w:r w:rsidR="00AB3CE8" w:rsidRPr="002A3F98">
        <w:rPr>
          <w:rFonts w:asciiTheme="minorHAnsi" w:eastAsia="Times New Roman" w:hAnsiTheme="minorHAnsi" w:cs="Arial"/>
          <w:lang w:eastAsia="en-AU"/>
        </w:rPr>
        <w:t xml:space="preserve">Currently, the NCC </w:t>
      </w:r>
      <w:r w:rsidR="00AB3CE8">
        <w:rPr>
          <w:rFonts w:asciiTheme="minorHAnsi" w:eastAsia="Times New Roman" w:hAnsiTheme="minorHAnsi" w:cs="Arial"/>
          <w:lang w:eastAsia="en-AU"/>
        </w:rPr>
        <w:t>D</w:t>
      </w:r>
      <w:r w:rsidR="00AB3CE8" w:rsidRPr="002A3F98">
        <w:rPr>
          <w:rFonts w:asciiTheme="minorHAnsi" w:eastAsia="Times New Roman" w:hAnsiTheme="minorHAnsi" w:cs="Arial"/>
          <w:lang w:eastAsia="en-AU"/>
        </w:rPr>
        <w:t xml:space="preserve">tS </w:t>
      </w:r>
      <w:r w:rsidR="004B162E">
        <w:rPr>
          <w:rFonts w:asciiTheme="minorHAnsi" w:eastAsia="Times New Roman" w:hAnsiTheme="minorHAnsi" w:cs="Arial"/>
          <w:lang w:eastAsia="en-AU"/>
        </w:rPr>
        <w:t>P</w:t>
      </w:r>
      <w:r w:rsidR="00AB3CE8" w:rsidRPr="002A3F98">
        <w:rPr>
          <w:rFonts w:asciiTheme="minorHAnsi" w:eastAsia="Times New Roman" w:hAnsiTheme="minorHAnsi" w:cs="Arial"/>
          <w:lang w:eastAsia="en-AU"/>
        </w:rPr>
        <w:t>rovisions require a sprinkler system be installed in Class 2 and 3 residential buildings where any part of the building has an effective height that exceeds 25</w:t>
      </w:r>
      <w:r>
        <w:rPr>
          <w:rFonts w:asciiTheme="minorHAnsi" w:eastAsia="Times New Roman" w:hAnsiTheme="minorHAnsi" w:cs="Arial"/>
          <w:lang w:eastAsia="en-AU"/>
        </w:rPr>
        <w:t xml:space="preserve"> </w:t>
      </w:r>
      <w:r w:rsidR="00AB3CE8" w:rsidRPr="002A3F98">
        <w:rPr>
          <w:rFonts w:asciiTheme="minorHAnsi" w:eastAsia="Times New Roman" w:hAnsiTheme="minorHAnsi" w:cs="Arial"/>
          <w:lang w:eastAsia="en-AU"/>
        </w:rPr>
        <w:t>m</w:t>
      </w:r>
      <w:r w:rsidR="00FE3334">
        <w:rPr>
          <w:rFonts w:asciiTheme="minorHAnsi" w:eastAsia="Times New Roman" w:hAnsiTheme="minorHAnsi" w:cs="Arial"/>
          <w:lang w:eastAsia="en-AU"/>
        </w:rPr>
        <w:t>etres</w:t>
      </w:r>
      <w:r w:rsidR="00AB3CE8" w:rsidRPr="002A3F98">
        <w:rPr>
          <w:rFonts w:asciiTheme="minorHAnsi" w:eastAsia="Times New Roman" w:hAnsiTheme="minorHAnsi" w:cs="Arial"/>
          <w:lang w:eastAsia="en-AU"/>
        </w:rPr>
        <w:t xml:space="preserve">. </w:t>
      </w:r>
      <w:r w:rsidR="00584298">
        <w:rPr>
          <w:rFonts w:asciiTheme="minorHAnsi" w:eastAsia="Times New Roman" w:hAnsiTheme="minorHAnsi" w:cs="Arial"/>
          <w:lang w:eastAsia="en-AU"/>
        </w:rPr>
        <w:t xml:space="preserve">In </w:t>
      </w:r>
      <w:r w:rsidR="00BC6293">
        <w:rPr>
          <w:rFonts w:asciiTheme="minorHAnsi" w:eastAsia="Times New Roman" w:hAnsiTheme="minorHAnsi" w:cs="Arial"/>
          <w:lang w:eastAsia="en-AU"/>
        </w:rPr>
        <w:t xml:space="preserve">Class 2 and 3 buildings of more than four storeys and </w:t>
      </w:r>
      <w:r w:rsidR="00584298">
        <w:rPr>
          <w:rFonts w:asciiTheme="minorHAnsi" w:eastAsia="Times New Roman" w:hAnsiTheme="minorHAnsi" w:cs="Arial"/>
          <w:lang w:eastAsia="en-AU"/>
        </w:rPr>
        <w:t>less than 25</w:t>
      </w:r>
      <w:r>
        <w:rPr>
          <w:rFonts w:asciiTheme="minorHAnsi" w:eastAsia="Times New Roman" w:hAnsiTheme="minorHAnsi" w:cs="Arial"/>
          <w:lang w:eastAsia="en-AU"/>
        </w:rPr>
        <w:t xml:space="preserve"> </w:t>
      </w:r>
      <w:r w:rsidR="00584298">
        <w:rPr>
          <w:rFonts w:asciiTheme="minorHAnsi" w:eastAsia="Times New Roman" w:hAnsiTheme="minorHAnsi" w:cs="Arial"/>
          <w:lang w:eastAsia="en-AU"/>
        </w:rPr>
        <w:t>m</w:t>
      </w:r>
      <w:r w:rsidR="00FE3334">
        <w:rPr>
          <w:rFonts w:asciiTheme="minorHAnsi" w:eastAsia="Times New Roman" w:hAnsiTheme="minorHAnsi" w:cs="Arial"/>
          <w:lang w:eastAsia="en-AU"/>
        </w:rPr>
        <w:t>etres</w:t>
      </w:r>
      <w:r w:rsidR="00493265">
        <w:rPr>
          <w:rFonts w:asciiTheme="minorHAnsi" w:eastAsia="Times New Roman" w:hAnsiTheme="minorHAnsi" w:cs="Arial"/>
          <w:lang w:eastAsia="en-AU"/>
        </w:rPr>
        <w:t>,</w:t>
      </w:r>
      <w:r w:rsidR="00584298">
        <w:rPr>
          <w:rFonts w:asciiTheme="minorHAnsi" w:eastAsia="Times New Roman" w:hAnsiTheme="minorHAnsi" w:cs="Arial"/>
          <w:lang w:eastAsia="en-AU"/>
        </w:rPr>
        <w:t xml:space="preserve"> t</w:t>
      </w:r>
      <w:r w:rsidR="005F1A6C">
        <w:rPr>
          <w:rFonts w:asciiTheme="minorHAnsi" w:eastAsia="Times New Roman" w:hAnsiTheme="minorHAnsi" w:cs="Arial"/>
          <w:lang w:eastAsia="en-AU"/>
        </w:rPr>
        <w:t xml:space="preserve">he NCC does not recognise the option </w:t>
      </w:r>
      <w:r w:rsidR="00584298">
        <w:rPr>
          <w:rFonts w:asciiTheme="minorHAnsi" w:eastAsia="Times New Roman" w:hAnsiTheme="minorHAnsi" w:cs="Arial"/>
          <w:lang w:eastAsia="en-AU"/>
        </w:rPr>
        <w:t xml:space="preserve">to sprinkler protect </w:t>
      </w:r>
      <w:r w:rsidR="00B13A13">
        <w:rPr>
          <w:rFonts w:asciiTheme="minorHAnsi" w:eastAsia="Times New Roman" w:hAnsiTheme="minorHAnsi" w:cs="Arial"/>
          <w:lang w:eastAsia="en-AU"/>
        </w:rPr>
        <w:t xml:space="preserve">as </w:t>
      </w:r>
      <w:r w:rsidR="005F1A6C">
        <w:rPr>
          <w:rFonts w:asciiTheme="minorHAnsi" w:eastAsia="Times New Roman" w:hAnsiTheme="minorHAnsi" w:cs="Arial"/>
          <w:lang w:eastAsia="en-AU"/>
        </w:rPr>
        <w:t xml:space="preserve">a </w:t>
      </w:r>
      <w:r w:rsidR="00971494">
        <w:rPr>
          <w:rFonts w:asciiTheme="minorHAnsi" w:eastAsia="Times New Roman" w:hAnsiTheme="minorHAnsi" w:cs="Arial"/>
          <w:lang w:eastAsia="en-AU"/>
        </w:rPr>
        <w:t>D</w:t>
      </w:r>
      <w:r w:rsidR="00B13A13">
        <w:rPr>
          <w:rFonts w:asciiTheme="minorHAnsi" w:eastAsia="Times New Roman" w:hAnsiTheme="minorHAnsi" w:cs="Arial"/>
          <w:lang w:eastAsia="en-AU"/>
        </w:rPr>
        <w:t>t</w:t>
      </w:r>
      <w:r w:rsidR="00971494">
        <w:rPr>
          <w:rFonts w:asciiTheme="minorHAnsi" w:eastAsia="Times New Roman" w:hAnsiTheme="minorHAnsi" w:cs="Arial"/>
          <w:lang w:eastAsia="en-AU"/>
        </w:rPr>
        <w:t xml:space="preserve">S </w:t>
      </w:r>
      <w:r w:rsidR="00B13A13">
        <w:rPr>
          <w:rFonts w:asciiTheme="minorHAnsi" w:eastAsia="Times New Roman" w:hAnsiTheme="minorHAnsi" w:cs="Arial"/>
          <w:lang w:eastAsia="en-AU"/>
        </w:rPr>
        <w:t>solution</w:t>
      </w:r>
      <w:r w:rsidR="00584298">
        <w:rPr>
          <w:rFonts w:asciiTheme="minorHAnsi" w:eastAsia="Times New Roman" w:hAnsiTheme="minorHAnsi" w:cs="Arial"/>
          <w:lang w:eastAsia="en-AU"/>
        </w:rPr>
        <w:t xml:space="preserve">. This </w:t>
      </w:r>
      <w:r w:rsidR="00A30496">
        <w:rPr>
          <w:rFonts w:asciiTheme="minorHAnsi" w:eastAsia="Times New Roman" w:hAnsiTheme="minorHAnsi" w:cs="Arial"/>
          <w:lang w:eastAsia="en-AU"/>
        </w:rPr>
        <w:t>i</w:t>
      </w:r>
      <w:r w:rsidR="00584298">
        <w:rPr>
          <w:rFonts w:asciiTheme="minorHAnsi" w:eastAsia="Times New Roman" w:hAnsiTheme="minorHAnsi" w:cs="Arial"/>
          <w:lang w:eastAsia="en-AU"/>
        </w:rPr>
        <w:t xml:space="preserve">s </w:t>
      </w:r>
      <w:r w:rsidR="00A30496">
        <w:rPr>
          <w:rFonts w:asciiTheme="minorHAnsi" w:eastAsia="Times New Roman" w:hAnsiTheme="minorHAnsi" w:cs="Arial"/>
          <w:lang w:eastAsia="en-AU"/>
        </w:rPr>
        <w:t xml:space="preserve">largely due to </w:t>
      </w:r>
      <w:r w:rsidR="00B13A13">
        <w:rPr>
          <w:rFonts w:asciiTheme="minorHAnsi" w:eastAsia="Times New Roman" w:hAnsiTheme="minorHAnsi" w:cs="Arial"/>
          <w:lang w:eastAsia="en-AU"/>
        </w:rPr>
        <w:t xml:space="preserve">historically, </w:t>
      </w:r>
      <w:r w:rsidR="00A30496">
        <w:rPr>
          <w:rFonts w:asciiTheme="minorHAnsi" w:eastAsia="Times New Roman" w:hAnsiTheme="minorHAnsi" w:cs="Arial"/>
          <w:lang w:eastAsia="en-AU"/>
        </w:rPr>
        <w:t>no</w:t>
      </w:r>
      <w:r w:rsidR="00F07CA9">
        <w:rPr>
          <w:rFonts w:asciiTheme="minorHAnsi" w:eastAsia="Times New Roman" w:hAnsiTheme="minorHAnsi" w:cs="Arial"/>
          <w:lang w:eastAsia="en-AU"/>
        </w:rPr>
        <w:t xml:space="preserve"> </w:t>
      </w:r>
      <w:r w:rsidR="00A30496">
        <w:rPr>
          <w:rFonts w:asciiTheme="minorHAnsi" w:eastAsia="Times New Roman" w:hAnsiTheme="minorHAnsi" w:cs="Arial"/>
          <w:lang w:eastAsia="en-AU"/>
        </w:rPr>
        <w:t xml:space="preserve">cost-effective </w:t>
      </w:r>
      <w:r w:rsidR="00657AC1">
        <w:rPr>
          <w:rFonts w:asciiTheme="minorHAnsi" w:eastAsia="Times New Roman" w:hAnsiTheme="minorHAnsi" w:cs="Arial"/>
          <w:lang w:eastAsia="en-AU"/>
        </w:rPr>
        <w:t xml:space="preserve">domestic sprinkler </w:t>
      </w:r>
      <w:r w:rsidR="00441073">
        <w:rPr>
          <w:rFonts w:asciiTheme="minorHAnsi" w:eastAsia="Times New Roman" w:hAnsiTheme="minorHAnsi" w:cs="Arial"/>
          <w:lang w:eastAsia="en-AU"/>
        </w:rPr>
        <w:t>systems</w:t>
      </w:r>
      <w:r w:rsidR="00A30496">
        <w:rPr>
          <w:rFonts w:asciiTheme="minorHAnsi" w:eastAsia="Times New Roman" w:hAnsiTheme="minorHAnsi" w:cs="Arial"/>
          <w:lang w:eastAsia="en-AU"/>
        </w:rPr>
        <w:t xml:space="preserve"> being available.</w:t>
      </w:r>
    </w:p>
    <w:p w:rsidR="00C07A14" w:rsidRPr="002A3F98" w:rsidRDefault="00C07A14" w:rsidP="00C07A14">
      <w:pPr>
        <w:spacing w:before="120" w:after="0" w:line="320" w:lineRule="exact"/>
        <w:rPr>
          <w:rFonts w:asciiTheme="minorHAnsi" w:eastAsia="Times New Roman" w:hAnsiTheme="minorHAnsi" w:cs="Arial"/>
          <w:lang w:eastAsia="en-AU"/>
        </w:rPr>
      </w:pPr>
      <w:r w:rsidRPr="002A3F98">
        <w:rPr>
          <w:rFonts w:asciiTheme="minorHAnsi" w:eastAsia="Times New Roman" w:hAnsiTheme="minorHAnsi" w:cs="Arial"/>
          <w:lang w:eastAsia="en-AU"/>
        </w:rPr>
        <w:t xml:space="preserve">Recently, following the death and life changing injuries sustained by two occupants of a building fire in 2015, both the NSW </w:t>
      </w:r>
      <w:r w:rsidR="00CA660A">
        <w:rPr>
          <w:rFonts w:asciiTheme="minorHAnsi" w:eastAsia="Times New Roman" w:hAnsiTheme="minorHAnsi" w:cs="Arial"/>
          <w:lang w:eastAsia="en-AU"/>
        </w:rPr>
        <w:t>D</w:t>
      </w:r>
      <w:r w:rsidR="00CA660A" w:rsidRPr="002A3F98">
        <w:rPr>
          <w:rFonts w:asciiTheme="minorHAnsi" w:eastAsia="Times New Roman" w:hAnsiTheme="minorHAnsi" w:cs="Arial"/>
          <w:lang w:eastAsia="en-AU"/>
        </w:rPr>
        <w:t xml:space="preserve">eputy </w:t>
      </w:r>
      <w:r w:rsidRPr="002A3F98">
        <w:rPr>
          <w:rFonts w:asciiTheme="minorHAnsi" w:eastAsia="Times New Roman" w:hAnsiTheme="minorHAnsi" w:cs="Arial"/>
          <w:lang w:eastAsia="en-AU"/>
        </w:rPr>
        <w:t>Coroner and proponents of fire safety including FR</w:t>
      </w:r>
      <w:r w:rsidR="000022C4" w:rsidRPr="002A3F98">
        <w:rPr>
          <w:rFonts w:asciiTheme="minorHAnsi" w:eastAsia="Times New Roman" w:hAnsiTheme="minorHAnsi" w:cs="Arial"/>
          <w:lang w:eastAsia="en-AU"/>
        </w:rPr>
        <w:t>N</w:t>
      </w:r>
      <w:r w:rsidRPr="002A3F98">
        <w:rPr>
          <w:rFonts w:asciiTheme="minorHAnsi" w:eastAsia="Times New Roman" w:hAnsiTheme="minorHAnsi" w:cs="Arial"/>
          <w:lang w:eastAsia="en-AU"/>
        </w:rPr>
        <w:t xml:space="preserve">SW, </w:t>
      </w:r>
      <w:r w:rsidR="000022C4" w:rsidRPr="002A3F98">
        <w:rPr>
          <w:rFonts w:asciiTheme="minorHAnsi" w:eastAsia="Times New Roman" w:hAnsiTheme="minorHAnsi" w:cs="Arial"/>
          <w:lang w:eastAsia="en-AU"/>
        </w:rPr>
        <w:t xml:space="preserve">AFAC and </w:t>
      </w:r>
      <w:r w:rsidRPr="002A3F98">
        <w:rPr>
          <w:rFonts w:asciiTheme="minorHAnsi" w:eastAsia="Times New Roman" w:hAnsiTheme="minorHAnsi" w:cs="Arial"/>
          <w:lang w:eastAsia="en-AU"/>
        </w:rPr>
        <w:t xml:space="preserve">FPAA </w:t>
      </w:r>
      <w:r w:rsidR="00967858" w:rsidRPr="002A3F98">
        <w:rPr>
          <w:rFonts w:asciiTheme="minorHAnsi" w:eastAsia="Times New Roman" w:hAnsiTheme="minorHAnsi" w:cs="Arial"/>
          <w:lang w:eastAsia="en-AU"/>
        </w:rPr>
        <w:t>proposed</w:t>
      </w:r>
      <w:r w:rsidRPr="002A3F98">
        <w:rPr>
          <w:rFonts w:asciiTheme="minorHAnsi" w:eastAsia="Times New Roman" w:hAnsiTheme="minorHAnsi" w:cs="Arial"/>
          <w:lang w:eastAsia="en-AU"/>
        </w:rPr>
        <w:t xml:space="preserve"> the </w:t>
      </w:r>
      <w:r w:rsidR="001C09B1">
        <w:rPr>
          <w:rFonts w:asciiTheme="minorHAnsi" w:eastAsia="Times New Roman" w:hAnsiTheme="minorHAnsi" w:cs="Arial"/>
          <w:lang w:eastAsia="en-AU"/>
        </w:rPr>
        <w:t>ABCB</w:t>
      </w:r>
      <w:r w:rsidR="001C09B1" w:rsidRPr="002A3F98">
        <w:rPr>
          <w:rFonts w:asciiTheme="minorHAnsi" w:eastAsia="Times New Roman" w:hAnsiTheme="minorHAnsi" w:cs="Arial"/>
          <w:lang w:eastAsia="en-AU"/>
        </w:rPr>
        <w:t xml:space="preserve"> </w:t>
      </w:r>
      <w:r w:rsidRPr="002A3F98">
        <w:rPr>
          <w:rFonts w:asciiTheme="minorHAnsi" w:eastAsia="Times New Roman" w:hAnsiTheme="minorHAnsi" w:cs="Arial"/>
          <w:lang w:eastAsia="en-AU"/>
        </w:rPr>
        <w:t>consider extending</w:t>
      </w:r>
      <w:r w:rsidR="001C09B1">
        <w:rPr>
          <w:rFonts w:asciiTheme="minorHAnsi" w:eastAsia="Times New Roman" w:hAnsiTheme="minorHAnsi" w:cs="Arial"/>
          <w:lang w:eastAsia="en-AU"/>
        </w:rPr>
        <w:t xml:space="preserve"> the</w:t>
      </w:r>
      <w:r w:rsidRPr="002A3F98">
        <w:rPr>
          <w:rFonts w:asciiTheme="minorHAnsi" w:eastAsia="Times New Roman" w:hAnsiTheme="minorHAnsi" w:cs="Arial"/>
          <w:lang w:eastAsia="en-AU"/>
        </w:rPr>
        <w:t xml:space="preserve"> </w:t>
      </w:r>
      <w:r w:rsidR="001C09B1">
        <w:rPr>
          <w:rFonts w:asciiTheme="minorHAnsi" w:eastAsia="Times New Roman" w:hAnsiTheme="minorHAnsi" w:cs="Arial"/>
          <w:lang w:eastAsia="en-AU"/>
        </w:rPr>
        <w:t xml:space="preserve">current </w:t>
      </w:r>
      <w:r w:rsidR="001C09B1" w:rsidRPr="002A3F98">
        <w:rPr>
          <w:rFonts w:asciiTheme="minorHAnsi" w:eastAsia="Times New Roman" w:hAnsiTheme="minorHAnsi" w:cs="Arial"/>
          <w:lang w:eastAsia="en-AU"/>
        </w:rPr>
        <w:t xml:space="preserve">DtS </w:t>
      </w:r>
      <w:r w:rsidR="001C09B1">
        <w:rPr>
          <w:rFonts w:asciiTheme="minorHAnsi" w:eastAsia="Times New Roman" w:hAnsiTheme="minorHAnsi" w:cs="Arial"/>
          <w:lang w:eastAsia="en-AU"/>
        </w:rPr>
        <w:t>Provisions</w:t>
      </w:r>
      <w:r w:rsidR="001C09B1" w:rsidRPr="002A3F98">
        <w:rPr>
          <w:rFonts w:asciiTheme="minorHAnsi" w:eastAsia="Times New Roman" w:hAnsiTheme="minorHAnsi" w:cs="Arial"/>
          <w:lang w:eastAsia="en-AU"/>
        </w:rPr>
        <w:t xml:space="preserve"> for sprinkler protection to </w:t>
      </w:r>
      <w:r w:rsidR="009A0840" w:rsidRPr="002A3F98">
        <w:rPr>
          <w:rFonts w:asciiTheme="minorHAnsi" w:eastAsia="Times New Roman" w:hAnsiTheme="minorHAnsi" w:cs="Arial"/>
          <w:lang w:eastAsia="en-AU"/>
        </w:rPr>
        <w:t>m</w:t>
      </w:r>
      <w:r w:rsidR="009A0840">
        <w:rPr>
          <w:rFonts w:asciiTheme="minorHAnsi" w:eastAsia="Times New Roman" w:hAnsiTheme="minorHAnsi" w:cs="Arial"/>
          <w:lang w:eastAsia="en-AU"/>
        </w:rPr>
        <w:t>id-</w:t>
      </w:r>
      <w:r w:rsidR="001C09B1" w:rsidRPr="002A3F98">
        <w:rPr>
          <w:rFonts w:asciiTheme="minorHAnsi" w:eastAsia="Times New Roman" w:hAnsiTheme="minorHAnsi" w:cs="Arial"/>
          <w:lang w:eastAsia="en-AU"/>
        </w:rPr>
        <w:t xml:space="preserve">rise multi-storey </w:t>
      </w:r>
      <w:r w:rsidR="009A0840">
        <w:rPr>
          <w:rFonts w:asciiTheme="minorHAnsi" w:eastAsia="Times New Roman" w:hAnsiTheme="minorHAnsi" w:cs="Arial"/>
          <w:lang w:eastAsia="en-AU"/>
        </w:rPr>
        <w:t xml:space="preserve">Class 2 and 3 </w:t>
      </w:r>
      <w:r w:rsidR="001C09B1" w:rsidRPr="002A3F98">
        <w:rPr>
          <w:rFonts w:asciiTheme="minorHAnsi" w:eastAsia="Times New Roman" w:hAnsiTheme="minorHAnsi" w:cs="Arial"/>
          <w:lang w:eastAsia="en-AU"/>
        </w:rPr>
        <w:t>re</w:t>
      </w:r>
      <w:r w:rsidR="001C09B1" w:rsidRPr="002A3F98">
        <w:rPr>
          <w:rFonts w:asciiTheme="minorHAnsi" w:hAnsiTheme="minorHAnsi"/>
        </w:rPr>
        <w:t>sidential buildings</w:t>
      </w:r>
      <w:r w:rsidRPr="002A3F98">
        <w:rPr>
          <w:rFonts w:asciiTheme="minorHAnsi" w:eastAsia="Times New Roman" w:hAnsiTheme="minorHAnsi" w:cs="Arial"/>
          <w:lang w:eastAsia="en-AU"/>
        </w:rPr>
        <w:t xml:space="preserve">. This is in recognition of the effectiveness of sprinklers and the likely benefits they bring in reducing an occupant’s individual risk. </w:t>
      </w:r>
    </w:p>
    <w:p w:rsidR="003107DF" w:rsidRDefault="003107DF" w:rsidP="00C56F76">
      <w:pPr>
        <w:pStyle w:val="Heading2"/>
        <w:spacing w:before="240"/>
      </w:pPr>
      <w:bookmarkStart w:id="12" w:name="_Toc505333472"/>
      <w:r>
        <w:t>Nature of the Problem</w:t>
      </w:r>
      <w:bookmarkEnd w:id="12"/>
    </w:p>
    <w:p w:rsidR="0025790E" w:rsidRPr="002A3F98" w:rsidRDefault="00C07A14" w:rsidP="0003376D">
      <w:pPr>
        <w:spacing w:after="0" w:line="320" w:lineRule="exact"/>
        <w:rPr>
          <w:rFonts w:asciiTheme="minorHAnsi" w:hAnsiTheme="minorHAnsi"/>
        </w:rPr>
      </w:pPr>
      <w:r w:rsidRPr="002A3F98">
        <w:rPr>
          <w:rFonts w:asciiTheme="minorHAnsi" w:hAnsiTheme="minorHAnsi"/>
        </w:rPr>
        <w:t xml:space="preserve">The nature of the problem relates to the </w:t>
      </w:r>
      <w:r w:rsidR="007C22C4" w:rsidRPr="002A3F98">
        <w:rPr>
          <w:rFonts w:asciiTheme="minorHAnsi" w:hAnsiTheme="minorHAnsi"/>
        </w:rPr>
        <w:t xml:space="preserve">NCC’s recognition </w:t>
      </w:r>
      <w:r w:rsidR="00B91D5E">
        <w:rPr>
          <w:rFonts w:asciiTheme="minorHAnsi" w:hAnsiTheme="minorHAnsi"/>
        </w:rPr>
        <w:t xml:space="preserve">through the DtS </w:t>
      </w:r>
      <w:r w:rsidR="004B162E">
        <w:rPr>
          <w:rFonts w:asciiTheme="minorHAnsi" w:hAnsiTheme="minorHAnsi"/>
        </w:rPr>
        <w:t>P</w:t>
      </w:r>
      <w:r w:rsidR="00AA3524">
        <w:rPr>
          <w:rFonts w:asciiTheme="minorHAnsi" w:hAnsiTheme="minorHAnsi"/>
        </w:rPr>
        <w:t>rovisions</w:t>
      </w:r>
      <w:r w:rsidR="00B91D5E">
        <w:rPr>
          <w:rFonts w:asciiTheme="minorHAnsi" w:hAnsiTheme="minorHAnsi"/>
        </w:rPr>
        <w:t xml:space="preserve"> </w:t>
      </w:r>
      <w:r w:rsidR="007C22C4" w:rsidRPr="002A3F98">
        <w:rPr>
          <w:rFonts w:asciiTheme="minorHAnsi" w:hAnsiTheme="minorHAnsi"/>
        </w:rPr>
        <w:t xml:space="preserve">of appropriate </w:t>
      </w:r>
      <w:r w:rsidR="004F78AB" w:rsidRPr="002A3F98">
        <w:rPr>
          <w:rFonts w:asciiTheme="minorHAnsi" w:hAnsiTheme="minorHAnsi"/>
        </w:rPr>
        <w:t xml:space="preserve">strategies that are </w:t>
      </w:r>
      <w:r w:rsidR="00FE0A6B">
        <w:rPr>
          <w:rFonts w:asciiTheme="minorHAnsi" w:hAnsiTheme="minorHAnsi"/>
        </w:rPr>
        <w:t xml:space="preserve">more </w:t>
      </w:r>
      <w:r w:rsidRPr="002A3F98">
        <w:rPr>
          <w:rFonts w:asciiTheme="minorHAnsi" w:hAnsiTheme="minorHAnsi"/>
        </w:rPr>
        <w:t xml:space="preserve">cost effective </w:t>
      </w:r>
      <w:r w:rsidR="007C22C4" w:rsidRPr="002A3F98">
        <w:rPr>
          <w:rFonts w:asciiTheme="minorHAnsi" w:hAnsiTheme="minorHAnsi"/>
        </w:rPr>
        <w:t>in</w:t>
      </w:r>
      <w:r w:rsidR="004F78AB" w:rsidRPr="002A3F98">
        <w:rPr>
          <w:rFonts w:asciiTheme="minorHAnsi" w:hAnsiTheme="minorHAnsi"/>
        </w:rPr>
        <w:t xml:space="preserve"> </w:t>
      </w:r>
      <w:r w:rsidR="007C22C4" w:rsidRPr="002A3F98">
        <w:rPr>
          <w:rFonts w:asciiTheme="minorHAnsi" w:hAnsiTheme="minorHAnsi"/>
        </w:rPr>
        <w:t>achieving</w:t>
      </w:r>
      <w:r w:rsidR="004F78AB" w:rsidRPr="002A3F98">
        <w:rPr>
          <w:rFonts w:asciiTheme="minorHAnsi" w:hAnsiTheme="minorHAnsi"/>
        </w:rPr>
        <w:t xml:space="preserve"> the Goals of the NCC</w:t>
      </w:r>
      <w:r w:rsidRPr="002A3F98">
        <w:rPr>
          <w:rFonts w:asciiTheme="minorHAnsi" w:hAnsiTheme="minorHAnsi"/>
        </w:rPr>
        <w:t xml:space="preserve">. </w:t>
      </w:r>
      <w:r w:rsidR="00757F56">
        <w:rPr>
          <w:rFonts w:asciiTheme="minorHAnsi" w:hAnsiTheme="minorHAnsi"/>
        </w:rPr>
        <w:t xml:space="preserve">New </w:t>
      </w:r>
      <w:r w:rsidR="00840E76">
        <w:rPr>
          <w:rFonts w:asciiTheme="minorHAnsi" w:hAnsiTheme="minorHAnsi"/>
        </w:rPr>
        <w:t xml:space="preserve">sprinkler specifications </w:t>
      </w:r>
      <w:r w:rsidR="00757F56">
        <w:rPr>
          <w:rFonts w:asciiTheme="minorHAnsi" w:hAnsiTheme="minorHAnsi"/>
        </w:rPr>
        <w:t xml:space="preserve">prepared by FPAA have been developed that </w:t>
      </w:r>
      <w:r w:rsidR="00840E76">
        <w:rPr>
          <w:rFonts w:asciiTheme="minorHAnsi" w:hAnsiTheme="minorHAnsi"/>
        </w:rPr>
        <w:t xml:space="preserve">use new technology to improve </w:t>
      </w:r>
      <w:r w:rsidR="00757F56">
        <w:rPr>
          <w:rFonts w:asciiTheme="minorHAnsi" w:hAnsiTheme="minorHAnsi"/>
        </w:rPr>
        <w:t>cost-effective</w:t>
      </w:r>
      <w:r w:rsidR="00840E76">
        <w:rPr>
          <w:rFonts w:asciiTheme="minorHAnsi" w:hAnsiTheme="minorHAnsi"/>
        </w:rPr>
        <w:t>ness</w:t>
      </w:r>
      <w:r w:rsidR="00174DFC">
        <w:rPr>
          <w:rFonts w:asciiTheme="minorHAnsi" w:hAnsiTheme="minorHAnsi"/>
        </w:rPr>
        <w:t>.</w:t>
      </w:r>
      <w:r w:rsidR="001C09B1">
        <w:rPr>
          <w:rFonts w:asciiTheme="minorHAnsi" w:hAnsiTheme="minorHAnsi"/>
        </w:rPr>
        <w:t xml:space="preserve"> </w:t>
      </w:r>
      <w:r w:rsidR="00BC6293">
        <w:rPr>
          <w:rFonts w:asciiTheme="minorHAnsi" w:hAnsiTheme="minorHAnsi"/>
        </w:rPr>
        <w:t>A</w:t>
      </w:r>
      <w:r w:rsidR="00840E76">
        <w:rPr>
          <w:rFonts w:asciiTheme="minorHAnsi" w:hAnsiTheme="minorHAnsi"/>
        </w:rPr>
        <w:t xml:space="preserve">ssociated concessions </w:t>
      </w:r>
      <w:r w:rsidR="00BC6293">
        <w:rPr>
          <w:rFonts w:asciiTheme="minorHAnsi" w:hAnsiTheme="minorHAnsi"/>
        </w:rPr>
        <w:t xml:space="preserve">are </w:t>
      </w:r>
      <w:r w:rsidR="00840E76">
        <w:rPr>
          <w:rFonts w:asciiTheme="minorHAnsi" w:hAnsiTheme="minorHAnsi"/>
        </w:rPr>
        <w:t xml:space="preserve">intended to </w:t>
      </w:r>
      <w:r w:rsidR="00757F56">
        <w:rPr>
          <w:rFonts w:asciiTheme="minorHAnsi" w:hAnsiTheme="minorHAnsi"/>
        </w:rPr>
        <w:t xml:space="preserve">provide </w:t>
      </w:r>
      <w:r w:rsidR="00840E76">
        <w:rPr>
          <w:rFonts w:asciiTheme="minorHAnsi" w:hAnsiTheme="minorHAnsi"/>
        </w:rPr>
        <w:t xml:space="preserve">higher </w:t>
      </w:r>
      <w:r w:rsidR="00757F56">
        <w:rPr>
          <w:rFonts w:asciiTheme="minorHAnsi" w:hAnsiTheme="minorHAnsi"/>
        </w:rPr>
        <w:t xml:space="preserve">life safety and property protection benefits when compared with the current </w:t>
      </w:r>
      <w:r w:rsidR="00840E76">
        <w:rPr>
          <w:rFonts w:asciiTheme="minorHAnsi" w:hAnsiTheme="minorHAnsi"/>
        </w:rPr>
        <w:t xml:space="preserve">mix of fire safety </w:t>
      </w:r>
      <w:r w:rsidR="004D10CE">
        <w:rPr>
          <w:rFonts w:asciiTheme="minorHAnsi" w:hAnsiTheme="minorHAnsi"/>
        </w:rPr>
        <w:t xml:space="preserve">requirements specified </w:t>
      </w:r>
      <w:r w:rsidR="009A0840">
        <w:rPr>
          <w:rFonts w:asciiTheme="minorHAnsi" w:hAnsiTheme="minorHAnsi"/>
        </w:rPr>
        <w:t xml:space="preserve">under </w:t>
      </w:r>
      <w:r w:rsidR="004D10CE">
        <w:rPr>
          <w:rFonts w:asciiTheme="minorHAnsi" w:hAnsiTheme="minorHAnsi"/>
        </w:rPr>
        <w:t xml:space="preserve">the </w:t>
      </w:r>
      <w:r w:rsidR="002A022B">
        <w:rPr>
          <w:rFonts w:asciiTheme="minorHAnsi" w:hAnsiTheme="minorHAnsi"/>
        </w:rPr>
        <w:t>DtS</w:t>
      </w:r>
      <w:r w:rsidR="004D10CE">
        <w:rPr>
          <w:rFonts w:asciiTheme="minorHAnsi" w:hAnsiTheme="minorHAnsi"/>
        </w:rPr>
        <w:t xml:space="preserve"> </w:t>
      </w:r>
      <w:r w:rsidR="004B162E">
        <w:rPr>
          <w:rFonts w:asciiTheme="minorHAnsi" w:hAnsiTheme="minorHAnsi"/>
        </w:rPr>
        <w:t>Provisions</w:t>
      </w:r>
      <w:r w:rsidR="002A022B">
        <w:rPr>
          <w:rFonts w:asciiTheme="minorHAnsi" w:hAnsiTheme="minorHAnsi"/>
        </w:rPr>
        <w:t>.</w:t>
      </w:r>
    </w:p>
    <w:p w:rsidR="004F78AB" w:rsidRPr="002A3F98" w:rsidRDefault="00B2779B" w:rsidP="004F78AB">
      <w:pPr>
        <w:spacing w:before="120" w:after="0" w:line="320" w:lineRule="exact"/>
        <w:rPr>
          <w:rFonts w:asciiTheme="minorHAnsi" w:hAnsiTheme="minorHAnsi"/>
        </w:rPr>
      </w:pPr>
      <w:r>
        <w:rPr>
          <w:rFonts w:asciiTheme="minorHAnsi" w:hAnsiTheme="minorHAnsi"/>
        </w:rPr>
        <w:t>Performance</w:t>
      </w:r>
      <w:r w:rsidR="001C09B1">
        <w:rPr>
          <w:rFonts w:asciiTheme="minorHAnsi" w:hAnsiTheme="minorHAnsi"/>
        </w:rPr>
        <w:t>-</w:t>
      </w:r>
      <w:r>
        <w:rPr>
          <w:rFonts w:asciiTheme="minorHAnsi" w:hAnsiTheme="minorHAnsi"/>
        </w:rPr>
        <w:t>based b</w:t>
      </w:r>
      <w:r w:rsidR="00717C7B" w:rsidRPr="002A3F98">
        <w:rPr>
          <w:rFonts w:asciiTheme="minorHAnsi" w:hAnsiTheme="minorHAnsi"/>
        </w:rPr>
        <w:t xml:space="preserve">uilding </w:t>
      </w:r>
      <w:r w:rsidR="004F78AB" w:rsidRPr="002A3F98">
        <w:rPr>
          <w:rFonts w:asciiTheme="minorHAnsi" w:hAnsiTheme="minorHAnsi"/>
        </w:rPr>
        <w:t>codes in Australia and internationally place the objective of occupant safety as a central goal of compliant design. Active and passive fire safety measures combine to achieve a building fire safety system, reducing exposure</w:t>
      </w:r>
      <w:r w:rsidR="001C09B1">
        <w:rPr>
          <w:rFonts w:asciiTheme="minorHAnsi" w:hAnsiTheme="minorHAnsi"/>
        </w:rPr>
        <w:t xml:space="preserve"> of building occupants</w:t>
      </w:r>
      <w:r w:rsidR="004F78AB" w:rsidRPr="002A3F98">
        <w:rPr>
          <w:rFonts w:asciiTheme="minorHAnsi" w:hAnsiTheme="minorHAnsi"/>
        </w:rPr>
        <w:t xml:space="preserve"> to the products of fire including heat, smoke and toxic gases. </w:t>
      </w:r>
      <w:r w:rsidR="001C09B1">
        <w:rPr>
          <w:rFonts w:asciiTheme="minorHAnsi" w:hAnsiTheme="minorHAnsi"/>
        </w:rPr>
        <w:t>Alt</w:t>
      </w:r>
      <w:r w:rsidR="004F78AB" w:rsidRPr="002A3F98">
        <w:rPr>
          <w:rFonts w:asciiTheme="minorHAnsi" w:hAnsiTheme="minorHAnsi"/>
        </w:rPr>
        <w:t xml:space="preserve">hough not the only risk to building occupants, inhalation of smoke and/or toxic gases is the main cause of fatality from a fire. </w:t>
      </w:r>
    </w:p>
    <w:p w:rsidR="004F78AB" w:rsidRPr="002A3F98" w:rsidRDefault="00880AF2" w:rsidP="008A56B3">
      <w:pPr>
        <w:keepNext/>
        <w:spacing w:before="120" w:after="0" w:line="320" w:lineRule="exact"/>
        <w:rPr>
          <w:rFonts w:asciiTheme="minorHAnsi" w:hAnsiTheme="minorHAnsi"/>
        </w:rPr>
      </w:pPr>
      <w:r w:rsidRPr="002A3F98">
        <w:rPr>
          <w:rFonts w:asciiTheme="minorHAnsi" w:hAnsiTheme="minorHAnsi"/>
        </w:rPr>
        <w:t xml:space="preserve">The NCC </w:t>
      </w:r>
      <w:r w:rsidR="00D21209">
        <w:rPr>
          <w:rFonts w:asciiTheme="minorHAnsi" w:hAnsiTheme="minorHAnsi"/>
        </w:rPr>
        <w:t>Performance R</w:t>
      </w:r>
      <w:r w:rsidRPr="002A3F98">
        <w:rPr>
          <w:rFonts w:asciiTheme="minorHAnsi" w:hAnsiTheme="minorHAnsi"/>
        </w:rPr>
        <w:t xml:space="preserve">equirements implicitly recognise that fire </w:t>
      </w:r>
      <w:r w:rsidR="001C09B1">
        <w:rPr>
          <w:rFonts w:asciiTheme="minorHAnsi" w:hAnsiTheme="minorHAnsi"/>
        </w:rPr>
        <w:t xml:space="preserve">may </w:t>
      </w:r>
      <w:r w:rsidRPr="002A3F98">
        <w:rPr>
          <w:rFonts w:asciiTheme="minorHAnsi" w:hAnsiTheme="minorHAnsi"/>
        </w:rPr>
        <w:t>ha</w:t>
      </w:r>
      <w:r w:rsidR="001C09B1">
        <w:rPr>
          <w:rFonts w:asciiTheme="minorHAnsi" w:hAnsiTheme="minorHAnsi"/>
        </w:rPr>
        <w:t>ve</w:t>
      </w:r>
      <w:r w:rsidRPr="002A3F98">
        <w:rPr>
          <w:rFonts w:asciiTheme="minorHAnsi" w:hAnsiTheme="minorHAnsi"/>
        </w:rPr>
        <w:t xml:space="preserve"> both a localised effect and impacts beyond the compartment of fire origin. </w:t>
      </w:r>
      <w:r w:rsidR="001C09B1">
        <w:rPr>
          <w:rFonts w:asciiTheme="minorHAnsi" w:hAnsiTheme="minorHAnsi"/>
        </w:rPr>
        <w:t>Consequently, a</w:t>
      </w:r>
      <w:r w:rsidR="004F78AB" w:rsidRPr="002A3F98">
        <w:rPr>
          <w:rFonts w:asciiTheme="minorHAnsi" w:hAnsiTheme="minorHAnsi"/>
        </w:rPr>
        <w:t xml:space="preserve"> fire safety system is one or any combination of the methods used in a building to—</w:t>
      </w:r>
    </w:p>
    <w:p w:rsidR="004F78AB" w:rsidRPr="002A3F98" w:rsidRDefault="004F78AB" w:rsidP="000B2944">
      <w:pPr>
        <w:pStyle w:val="ListParagraph"/>
        <w:numPr>
          <w:ilvl w:val="0"/>
          <w:numId w:val="8"/>
        </w:numPr>
        <w:spacing w:before="120" w:after="0" w:line="320" w:lineRule="exact"/>
        <w:rPr>
          <w:rFonts w:asciiTheme="minorHAnsi" w:hAnsiTheme="minorHAnsi" w:cs="Arial"/>
        </w:rPr>
      </w:pPr>
      <w:r w:rsidRPr="002A3F98">
        <w:rPr>
          <w:rFonts w:asciiTheme="minorHAnsi" w:hAnsiTheme="minorHAnsi" w:cs="Arial"/>
        </w:rPr>
        <w:t xml:space="preserve">warn people of an emergency; </w:t>
      </w:r>
    </w:p>
    <w:p w:rsidR="004F78AB" w:rsidRPr="002A3F98" w:rsidRDefault="004F78AB" w:rsidP="000B2944">
      <w:pPr>
        <w:pStyle w:val="ListParagraph"/>
        <w:numPr>
          <w:ilvl w:val="0"/>
          <w:numId w:val="8"/>
        </w:numPr>
        <w:spacing w:before="120" w:after="0" w:line="320" w:lineRule="exact"/>
        <w:rPr>
          <w:rFonts w:asciiTheme="minorHAnsi" w:hAnsiTheme="minorHAnsi" w:cs="Arial"/>
        </w:rPr>
      </w:pPr>
      <w:r w:rsidRPr="002A3F98">
        <w:rPr>
          <w:rFonts w:asciiTheme="minorHAnsi" w:hAnsiTheme="minorHAnsi" w:cs="Arial"/>
        </w:rPr>
        <w:t xml:space="preserve">provide for safe evacuation; </w:t>
      </w:r>
    </w:p>
    <w:p w:rsidR="004F78AB" w:rsidRPr="002A3F98" w:rsidRDefault="004F78AB" w:rsidP="000B2944">
      <w:pPr>
        <w:pStyle w:val="ListParagraph"/>
        <w:numPr>
          <w:ilvl w:val="0"/>
          <w:numId w:val="8"/>
        </w:numPr>
        <w:spacing w:before="120" w:after="0" w:line="320" w:lineRule="exact"/>
        <w:rPr>
          <w:rFonts w:asciiTheme="minorHAnsi" w:hAnsiTheme="minorHAnsi" w:cs="Arial"/>
        </w:rPr>
      </w:pPr>
      <w:r w:rsidRPr="002A3F98">
        <w:rPr>
          <w:rFonts w:asciiTheme="minorHAnsi" w:hAnsiTheme="minorHAnsi" w:cs="Arial"/>
        </w:rPr>
        <w:t xml:space="preserve">restrict the spread of fire; </w:t>
      </w:r>
    </w:p>
    <w:p w:rsidR="004F78AB" w:rsidRPr="002A3F98" w:rsidRDefault="0042373E" w:rsidP="000B2944">
      <w:pPr>
        <w:pStyle w:val="ListParagraph"/>
        <w:numPr>
          <w:ilvl w:val="0"/>
          <w:numId w:val="8"/>
        </w:numPr>
        <w:spacing w:before="120" w:after="0" w:line="320" w:lineRule="exact"/>
        <w:rPr>
          <w:rFonts w:asciiTheme="minorHAnsi" w:hAnsiTheme="minorHAnsi" w:cs="Arial"/>
        </w:rPr>
      </w:pPr>
      <w:r w:rsidRPr="002A3F98">
        <w:rPr>
          <w:rFonts w:asciiTheme="minorHAnsi" w:hAnsiTheme="minorHAnsi" w:cs="Arial"/>
        </w:rPr>
        <w:t xml:space="preserve">control </w:t>
      </w:r>
      <w:r w:rsidR="004F78AB" w:rsidRPr="002A3F98">
        <w:rPr>
          <w:rFonts w:asciiTheme="minorHAnsi" w:hAnsiTheme="minorHAnsi" w:cs="Arial"/>
        </w:rPr>
        <w:t>a fire,</w:t>
      </w:r>
    </w:p>
    <w:p w:rsidR="004F78AB" w:rsidRPr="002A3F98" w:rsidRDefault="004F78AB" w:rsidP="004F78AB">
      <w:pPr>
        <w:spacing w:before="120" w:after="0" w:line="320" w:lineRule="exact"/>
        <w:rPr>
          <w:rFonts w:asciiTheme="minorHAnsi" w:hAnsiTheme="minorHAnsi"/>
        </w:rPr>
      </w:pPr>
      <w:r w:rsidRPr="002A3F98">
        <w:rPr>
          <w:rFonts w:asciiTheme="minorHAnsi" w:hAnsiTheme="minorHAnsi"/>
        </w:rPr>
        <w:t>and includes both active and passive systems.</w:t>
      </w:r>
    </w:p>
    <w:p w:rsidR="004F78AB" w:rsidRPr="002A3F98" w:rsidRDefault="004F78AB" w:rsidP="004F78AB">
      <w:pPr>
        <w:spacing w:before="120" w:after="0" w:line="320" w:lineRule="exact"/>
        <w:rPr>
          <w:rFonts w:asciiTheme="minorHAnsi" w:hAnsiTheme="minorHAnsi" w:cs="Arial"/>
        </w:rPr>
      </w:pPr>
      <w:r w:rsidRPr="002A3F98">
        <w:rPr>
          <w:rFonts w:asciiTheme="minorHAnsi" w:hAnsiTheme="minorHAnsi" w:cs="Arial"/>
        </w:rPr>
        <w:t>Examples of active and passive fire safety systems include</w:t>
      </w:r>
      <w:r w:rsidR="001C09B1">
        <w:rPr>
          <w:rFonts w:asciiTheme="minorHAnsi" w:hAnsiTheme="minorHAnsi" w:cs="Arial"/>
        </w:rPr>
        <w:t xml:space="preserve"> the following</w:t>
      </w:r>
      <w:r w:rsidRPr="002A3F98">
        <w:rPr>
          <w:rFonts w:asciiTheme="minorHAnsi" w:hAnsiTheme="minorHAnsi" w:cs="Arial"/>
        </w:rPr>
        <w:t>:</w:t>
      </w:r>
    </w:p>
    <w:p w:rsidR="004F78AB" w:rsidRPr="002A3F98" w:rsidRDefault="004F78AB" w:rsidP="00F17556">
      <w:pPr>
        <w:pStyle w:val="ListParagraph"/>
        <w:numPr>
          <w:ilvl w:val="0"/>
          <w:numId w:val="81"/>
        </w:numPr>
        <w:spacing w:before="120" w:after="0" w:line="320" w:lineRule="exact"/>
        <w:rPr>
          <w:rFonts w:asciiTheme="minorHAnsi" w:hAnsiTheme="minorHAnsi" w:cs="Arial"/>
        </w:rPr>
      </w:pPr>
      <w:r w:rsidRPr="002A3F98">
        <w:rPr>
          <w:rFonts w:asciiTheme="minorHAnsi" w:hAnsiTheme="minorHAnsi" w:cs="Arial"/>
          <w:b/>
        </w:rPr>
        <w:lastRenderedPageBreak/>
        <w:t>Passive systems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F</w:t>
      </w:r>
      <w:r w:rsidR="004F78AB" w:rsidRPr="002A3F98">
        <w:rPr>
          <w:rFonts w:asciiTheme="minorHAnsi" w:hAnsiTheme="minorHAnsi" w:cs="Arial"/>
        </w:rPr>
        <w:t>ire-isolated stairways, ramps and passageways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F</w:t>
      </w:r>
      <w:r w:rsidR="004F78AB" w:rsidRPr="002A3F98">
        <w:rPr>
          <w:rFonts w:asciiTheme="minorHAnsi" w:hAnsiTheme="minorHAnsi" w:cs="Arial"/>
        </w:rPr>
        <w:t>ire walls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O</w:t>
      </w:r>
      <w:r w:rsidR="004F78AB" w:rsidRPr="002A3F98">
        <w:rPr>
          <w:rFonts w:asciiTheme="minorHAnsi" w:hAnsiTheme="minorHAnsi" w:cs="Arial"/>
        </w:rPr>
        <w:t>ther fire-resisting building elements</w:t>
      </w:r>
      <w:r w:rsidR="00BC6293">
        <w:rPr>
          <w:rFonts w:asciiTheme="minorHAnsi" w:hAnsiTheme="minorHAnsi" w:cs="Arial"/>
        </w:rPr>
        <w:t>.</w:t>
      </w:r>
    </w:p>
    <w:p w:rsidR="004F78AB" w:rsidRPr="002A3F98" w:rsidRDefault="004F78AB" w:rsidP="00F17556">
      <w:pPr>
        <w:pStyle w:val="ListParagraph"/>
        <w:numPr>
          <w:ilvl w:val="0"/>
          <w:numId w:val="81"/>
        </w:numPr>
        <w:spacing w:before="120" w:after="0" w:line="320" w:lineRule="exact"/>
        <w:rPr>
          <w:rFonts w:asciiTheme="minorHAnsi" w:hAnsiTheme="minorHAnsi" w:cs="Arial"/>
          <w:b/>
        </w:rPr>
      </w:pPr>
      <w:r w:rsidRPr="002A3F98">
        <w:rPr>
          <w:rFonts w:asciiTheme="minorHAnsi" w:hAnsiTheme="minorHAnsi" w:cs="Arial"/>
          <w:b/>
        </w:rPr>
        <w:t>Active systems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S</w:t>
      </w:r>
      <w:r w:rsidR="00765A8F">
        <w:rPr>
          <w:rFonts w:asciiTheme="minorHAnsi" w:hAnsiTheme="minorHAnsi" w:cs="Arial"/>
        </w:rPr>
        <w:t>moke alarms</w:t>
      </w:r>
      <w:r w:rsidR="004F78AB" w:rsidRPr="002A3F98">
        <w:rPr>
          <w:rFonts w:asciiTheme="minorHAnsi" w:hAnsiTheme="minorHAnsi" w:cs="Arial"/>
        </w:rPr>
        <w:t xml:space="preserve"> and intercom systems for emergency purposes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E</w:t>
      </w:r>
      <w:r w:rsidR="004F78AB" w:rsidRPr="002A3F98">
        <w:rPr>
          <w:rFonts w:asciiTheme="minorHAnsi" w:hAnsiTheme="minorHAnsi" w:cs="Arial"/>
        </w:rPr>
        <w:t>mergency lighting</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E</w:t>
      </w:r>
      <w:r w:rsidR="004F78AB" w:rsidRPr="002A3F98">
        <w:rPr>
          <w:rFonts w:asciiTheme="minorHAnsi" w:hAnsiTheme="minorHAnsi" w:cs="Arial"/>
        </w:rPr>
        <w:t>xit signs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S</w:t>
      </w:r>
      <w:r w:rsidR="004F78AB" w:rsidRPr="002A3F98">
        <w:rPr>
          <w:rFonts w:asciiTheme="minorHAnsi" w:hAnsiTheme="minorHAnsi" w:cs="Arial"/>
        </w:rPr>
        <w:t>prinkler systems</w:t>
      </w:r>
    </w:p>
    <w:p w:rsidR="004F78AB" w:rsidRPr="002A3F98" w:rsidRDefault="001C09B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F</w:t>
      </w:r>
      <w:r w:rsidR="004F78AB" w:rsidRPr="002A3F98">
        <w:rPr>
          <w:rFonts w:asciiTheme="minorHAnsi" w:hAnsiTheme="minorHAnsi" w:cs="Arial"/>
        </w:rPr>
        <w:t>ire hydrant systems</w:t>
      </w:r>
    </w:p>
    <w:p w:rsidR="004F78AB" w:rsidRPr="002A3F98" w:rsidRDefault="00C6365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F</w:t>
      </w:r>
      <w:r w:rsidR="004F78AB" w:rsidRPr="002A3F98">
        <w:rPr>
          <w:rFonts w:asciiTheme="minorHAnsi" w:hAnsiTheme="minorHAnsi" w:cs="Arial"/>
        </w:rPr>
        <w:t>ire hose reel systems</w:t>
      </w:r>
    </w:p>
    <w:p w:rsidR="004F78AB" w:rsidRPr="002A3F98" w:rsidRDefault="00C6365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S</w:t>
      </w:r>
      <w:r w:rsidR="004F78AB" w:rsidRPr="002A3F98">
        <w:rPr>
          <w:rFonts w:asciiTheme="minorHAnsi" w:hAnsiTheme="minorHAnsi" w:cs="Arial"/>
        </w:rPr>
        <w:t>moke and heat vents</w:t>
      </w:r>
    </w:p>
    <w:p w:rsidR="004F78AB" w:rsidRPr="002A3F98" w:rsidRDefault="00C6365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M</w:t>
      </w:r>
      <w:r w:rsidR="004F78AB" w:rsidRPr="002A3F98">
        <w:rPr>
          <w:rFonts w:asciiTheme="minorHAnsi" w:hAnsiTheme="minorHAnsi" w:cs="Arial"/>
        </w:rPr>
        <w:t>echanical smoke-exhaust systems</w:t>
      </w:r>
    </w:p>
    <w:p w:rsidR="004F78AB" w:rsidRPr="002A3F98" w:rsidRDefault="00C63651" w:rsidP="00F17556">
      <w:pPr>
        <w:pStyle w:val="ListParagraph"/>
        <w:numPr>
          <w:ilvl w:val="1"/>
          <w:numId w:val="81"/>
        </w:numPr>
        <w:spacing w:before="120" w:after="0" w:line="320" w:lineRule="exact"/>
        <w:rPr>
          <w:rFonts w:asciiTheme="minorHAnsi" w:hAnsiTheme="minorHAnsi" w:cs="Arial"/>
        </w:rPr>
      </w:pPr>
      <w:r>
        <w:rPr>
          <w:rFonts w:asciiTheme="minorHAnsi" w:hAnsiTheme="minorHAnsi" w:cs="Arial"/>
        </w:rPr>
        <w:t>P</w:t>
      </w:r>
      <w:r w:rsidR="004F78AB" w:rsidRPr="002A3F98">
        <w:rPr>
          <w:rFonts w:asciiTheme="minorHAnsi" w:hAnsiTheme="minorHAnsi" w:cs="Arial"/>
        </w:rPr>
        <w:t>ortable fire extinguishers.</w:t>
      </w:r>
    </w:p>
    <w:p w:rsidR="00C63651" w:rsidRDefault="007406A8" w:rsidP="00BB0EB1">
      <w:pPr>
        <w:spacing w:before="120" w:after="0" w:line="320" w:lineRule="exact"/>
        <w:rPr>
          <w:rFonts w:asciiTheme="minorHAnsi" w:hAnsiTheme="minorHAnsi"/>
        </w:rPr>
      </w:pPr>
      <w:r>
        <w:rPr>
          <w:rFonts w:asciiTheme="minorHAnsi" w:hAnsiTheme="minorHAnsi"/>
        </w:rPr>
        <w:t xml:space="preserve">Under the DtS </w:t>
      </w:r>
      <w:r w:rsidR="00971494">
        <w:rPr>
          <w:rFonts w:asciiTheme="minorHAnsi" w:hAnsiTheme="minorHAnsi"/>
        </w:rPr>
        <w:t>Provisions</w:t>
      </w:r>
      <w:r>
        <w:rPr>
          <w:rFonts w:asciiTheme="minorHAnsi" w:hAnsiTheme="minorHAnsi"/>
        </w:rPr>
        <w:t>, these active and passive systems combine to</w:t>
      </w:r>
      <w:r w:rsidR="00BC6293">
        <w:rPr>
          <w:rFonts w:asciiTheme="minorHAnsi" w:hAnsiTheme="minorHAnsi"/>
        </w:rPr>
        <w:t>–</w:t>
      </w:r>
    </w:p>
    <w:p w:rsidR="00C63651" w:rsidRDefault="00C63651" w:rsidP="00F17556">
      <w:pPr>
        <w:pStyle w:val="ListParagraph"/>
        <w:numPr>
          <w:ilvl w:val="0"/>
          <w:numId w:val="85"/>
        </w:numPr>
        <w:spacing w:before="120" w:after="0" w:line="320" w:lineRule="exact"/>
        <w:rPr>
          <w:rFonts w:asciiTheme="minorHAnsi" w:hAnsiTheme="minorHAnsi"/>
        </w:rPr>
      </w:pPr>
      <w:r>
        <w:rPr>
          <w:rFonts w:asciiTheme="minorHAnsi" w:hAnsiTheme="minorHAnsi"/>
        </w:rPr>
        <w:t>alert people that an emergency exists and allow th</w:t>
      </w:r>
      <w:r w:rsidR="00D9072A">
        <w:rPr>
          <w:rFonts w:asciiTheme="minorHAnsi" w:hAnsiTheme="minorHAnsi"/>
        </w:rPr>
        <w:t xml:space="preserve">em to identify a path to a </w:t>
      </w:r>
      <w:r>
        <w:rPr>
          <w:rFonts w:asciiTheme="minorHAnsi" w:hAnsiTheme="minorHAnsi"/>
        </w:rPr>
        <w:t>place</w:t>
      </w:r>
      <w:r w:rsidR="00D9072A">
        <w:rPr>
          <w:rFonts w:asciiTheme="minorHAnsi" w:hAnsiTheme="minorHAnsi"/>
        </w:rPr>
        <w:t xml:space="preserve"> of safety</w:t>
      </w:r>
      <w:r>
        <w:rPr>
          <w:rFonts w:asciiTheme="minorHAnsi" w:hAnsiTheme="minorHAnsi"/>
        </w:rPr>
        <w:t>;</w:t>
      </w:r>
    </w:p>
    <w:p w:rsidR="00C63651" w:rsidRDefault="00C63651" w:rsidP="00F17556">
      <w:pPr>
        <w:pStyle w:val="ListParagraph"/>
        <w:numPr>
          <w:ilvl w:val="0"/>
          <w:numId w:val="85"/>
        </w:numPr>
        <w:spacing w:before="120" w:after="0" w:line="320" w:lineRule="exact"/>
        <w:rPr>
          <w:rFonts w:asciiTheme="minorHAnsi" w:hAnsiTheme="minorHAnsi"/>
        </w:rPr>
      </w:pPr>
      <w:r>
        <w:rPr>
          <w:rFonts w:asciiTheme="minorHAnsi" w:hAnsiTheme="minorHAnsi"/>
        </w:rPr>
        <w:t>provide people with an environment and evacuation routes which, during a fire, will minimise the risk of them suffering illness or injury;</w:t>
      </w:r>
    </w:p>
    <w:p w:rsidR="00C63651" w:rsidRDefault="00C63651" w:rsidP="00F17556">
      <w:pPr>
        <w:pStyle w:val="ListParagraph"/>
        <w:numPr>
          <w:ilvl w:val="0"/>
          <w:numId w:val="85"/>
        </w:numPr>
        <w:spacing w:before="120" w:after="0" w:line="320" w:lineRule="exact"/>
        <w:rPr>
          <w:rFonts w:asciiTheme="minorHAnsi" w:hAnsiTheme="minorHAnsi"/>
        </w:rPr>
      </w:pPr>
      <w:r>
        <w:rPr>
          <w:rFonts w:asciiTheme="minorHAnsi" w:hAnsiTheme="minorHAnsi"/>
        </w:rPr>
        <w:t>facilitate the role of emergency service personnel;</w:t>
      </w:r>
    </w:p>
    <w:p w:rsidR="00C63651" w:rsidRDefault="00C63651" w:rsidP="00F17556">
      <w:pPr>
        <w:pStyle w:val="ListParagraph"/>
        <w:numPr>
          <w:ilvl w:val="0"/>
          <w:numId w:val="85"/>
        </w:numPr>
        <w:spacing w:before="120" w:after="0" w:line="320" w:lineRule="exact"/>
        <w:rPr>
          <w:rFonts w:asciiTheme="minorHAnsi" w:hAnsiTheme="minorHAnsi"/>
        </w:rPr>
      </w:pPr>
      <w:r>
        <w:rPr>
          <w:rFonts w:asciiTheme="minorHAnsi" w:hAnsiTheme="minorHAnsi"/>
        </w:rPr>
        <w:t>assist in minimising the risk of fire spread; and</w:t>
      </w:r>
    </w:p>
    <w:p w:rsidR="00C63651" w:rsidRDefault="00C63651" w:rsidP="00F17556">
      <w:pPr>
        <w:pStyle w:val="ListParagraph"/>
        <w:numPr>
          <w:ilvl w:val="0"/>
          <w:numId w:val="85"/>
        </w:numPr>
        <w:spacing w:before="120" w:after="0" w:line="320" w:lineRule="exact"/>
        <w:rPr>
          <w:rFonts w:asciiTheme="minorHAnsi" w:hAnsiTheme="minorHAnsi"/>
        </w:rPr>
      </w:pPr>
      <w:r>
        <w:rPr>
          <w:rFonts w:asciiTheme="minorHAnsi" w:hAnsiTheme="minorHAnsi"/>
        </w:rPr>
        <w:t>not have a structural failure during a fire.</w:t>
      </w:r>
    </w:p>
    <w:p w:rsidR="00512417" w:rsidRPr="002A3F98" w:rsidRDefault="00512417" w:rsidP="00BB0EB1">
      <w:pPr>
        <w:spacing w:before="120" w:after="0" w:line="320" w:lineRule="exact"/>
        <w:rPr>
          <w:rFonts w:asciiTheme="minorHAnsi" w:hAnsiTheme="minorHAnsi"/>
        </w:rPr>
      </w:pPr>
      <w:r w:rsidRPr="002A3F98">
        <w:rPr>
          <w:rFonts w:asciiTheme="minorHAnsi" w:hAnsiTheme="minorHAnsi"/>
        </w:rPr>
        <w:t xml:space="preserve">The </w:t>
      </w:r>
      <w:r w:rsidR="00B26BD5">
        <w:rPr>
          <w:rFonts w:asciiTheme="minorHAnsi" w:hAnsiTheme="minorHAnsi"/>
        </w:rPr>
        <w:t>p</w:t>
      </w:r>
      <w:r w:rsidR="00B26BD5" w:rsidRPr="002A3F98">
        <w:rPr>
          <w:rFonts w:asciiTheme="minorHAnsi" w:hAnsiTheme="minorHAnsi"/>
        </w:rPr>
        <w:t>roblem</w:t>
      </w:r>
      <w:r w:rsidRPr="002A3F98">
        <w:rPr>
          <w:rFonts w:asciiTheme="minorHAnsi" w:hAnsiTheme="minorHAnsi"/>
        </w:rPr>
        <w:t xml:space="preserve"> this </w:t>
      </w:r>
      <w:r w:rsidR="008401C5">
        <w:rPr>
          <w:rFonts w:asciiTheme="minorHAnsi" w:hAnsiTheme="minorHAnsi"/>
        </w:rPr>
        <w:t xml:space="preserve">Final </w:t>
      </w:r>
      <w:r w:rsidRPr="002A3F98">
        <w:rPr>
          <w:rFonts w:asciiTheme="minorHAnsi" w:hAnsiTheme="minorHAnsi"/>
        </w:rPr>
        <w:t xml:space="preserve">RIS considers is the degree that the current </w:t>
      </w:r>
      <w:r w:rsidR="00894906">
        <w:rPr>
          <w:rFonts w:asciiTheme="minorHAnsi" w:hAnsiTheme="minorHAnsi"/>
        </w:rPr>
        <w:t>DtS</w:t>
      </w:r>
      <w:r w:rsidRPr="002A3F98">
        <w:rPr>
          <w:rFonts w:asciiTheme="minorHAnsi" w:hAnsiTheme="minorHAnsi"/>
        </w:rPr>
        <w:t xml:space="preserve"> </w:t>
      </w:r>
      <w:r w:rsidR="00971494">
        <w:rPr>
          <w:rFonts w:asciiTheme="minorHAnsi" w:hAnsiTheme="minorHAnsi"/>
        </w:rPr>
        <w:t>Provisions</w:t>
      </w:r>
      <w:r w:rsidR="00971494" w:rsidRPr="002A3F98">
        <w:rPr>
          <w:rFonts w:asciiTheme="minorHAnsi" w:hAnsiTheme="minorHAnsi"/>
        </w:rPr>
        <w:t xml:space="preserve"> </w:t>
      </w:r>
      <w:r w:rsidRPr="002A3F98">
        <w:rPr>
          <w:rFonts w:asciiTheme="minorHAnsi" w:hAnsiTheme="minorHAnsi"/>
        </w:rPr>
        <w:t xml:space="preserve">in </w:t>
      </w:r>
      <w:r w:rsidR="004B7C0E">
        <w:rPr>
          <w:rFonts w:asciiTheme="minorHAnsi" w:hAnsiTheme="minorHAnsi"/>
        </w:rPr>
        <w:t>non-sprinkler protected</w:t>
      </w:r>
      <w:r>
        <w:rPr>
          <w:rFonts w:asciiTheme="minorHAnsi" w:hAnsiTheme="minorHAnsi"/>
        </w:rPr>
        <w:t xml:space="preserve"> </w:t>
      </w:r>
      <w:r w:rsidRPr="002A3F98">
        <w:rPr>
          <w:rFonts w:asciiTheme="minorHAnsi" w:hAnsiTheme="minorHAnsi"/>
        </w:rPr>
        <w:t>m</w:t>
      </w:r>
      <w:r w:rsidR="00441073">
        <w:rPr>
          <w:rFonts w:asciiTheme="minorHAnsi" w:hAnsiTheme="minorHAnsi"/>
        </w:rPr>
        <w:t>edium</w:t>
      </w:r>
      <w:r w:rsidR="00D9072A">
        <w:rPr>
          <w:rFonts w:asciiTheme="minorHAnsi" w:hAnsiTheme="minorHAnsi"/>
        </w:rPr>
        <w:t>-</w:t>
      </w:r>
      <w:r w:rsidR="00441073">
        <w:rPr>
          <w:rFonts w:asciiTheme="minorHAnsi" w:hAnsiTheme="minorHAnsi"/>
        </w:rPr>
        <w:t>rise</w:t>
      </w:r>
      <w:r w:rsidRPr="002A3F98">
        <w:rPr>
          <w:rFonts w:asciiTheme="minorHAnsi" w:hAnsiTheme="minorHAnsi"/>
        </w:rPr>
        <w:t xml:space="preserve"> residential buildings address </w:t>
      </w:r>
      <w:r w:rsidR="00F07CA9">
        <w:rPr>
          <w:rFonts w:asciiTheme="minorHAnsi" w:hAnsiTheme="minorHAnsi"/>
        </w:rPr>
        <w:t>an</w:t>
      </w:r>
      <w:r w:rsidR="00DB124E">
        <w:rPr>
          <w:rFonts w:asciiTheme="minorHAnsi" w:hAnsiTheme="minorHAnsi"/>
        </w:rPr>
        <w:t xml:space="preserve"> </w:t>
      </w:r>
      <w:r w:rsidRPr="002A3F98">
        <w:rPr>
          <w:rFonts w:asciiTheme="minorHAnsi" w:hAnsiTheme="minorHAnsi"/>
        </w:rPr>
        <w:t xml:space="preserve">occupant’s </w:t>
      </w:r>
      <w:r w:rsidR="00F07CA9">
        <w:rPr>
          <w:rFonts w:asciiTheme="minorHAnsi" w:hAnsiTheme="minorHAnsi"/>
        </w:rPr>
        <w:t xml:space="preserve">individual risk </w:t>
      </w:r>
      <w:r w:rsidR="00DB124E">
        <w:rPr>
          <w:rFonts w:asciiTheme="minorHAnsi" w:hAnsiTheme="minorHAnsi"/>
        </w:rPr>
        <w:t>from fire</w:t>
      </w:r>
      <w:r w:rsidRPr="002A3F98">
        <w:rPr>
          <w:rFonts w:asciiTheme="minorHAnsi" w:hAnsiTheme="minorHAnsi"/>
        </w:rPr>
        <w:t xml:space="preserve"> relative to the effectiveness and cost of other options.</w:t>
      </w:r>
    </w:p>
    <w:p w:rsidR="00AC0EC5" w:rsidRDefault="00AC0EC5" w:rsidP="0003376D">
      <w:pPr>
        <w:pStyle w:val="Heading2"/>
        <w:rPr>
          <w:rFonts w:eastAsia="Times New Roman"/>
          <w:lang w:eastAsia="en-AU"/>
        </w:rPr>
      </w:pPr>
      <w:bookmarkStart w:id="13" w:name="_Toc349727992"/>
      <w:r>
        <w:rPr>
          <w:rFonts w:eastAsia="Times New Roman"/>
          <w:lang w:eastAsia="en-AU"/>
        </w:rPr>
        <w:t xml:space="preserve">The </w:t>
      </w:r>
      <w:r w:rsidR="00C56F76">
        <w:rPr>
          <w:rFonts w:eastAsia="Times New Roman"/>
          <w:lang w:eastAsia="en-AU"/>
        </w:rPr>
        <w:t xml:space="preserve">Current </w:t>
      </w:r>
      <w:r>
        <w:rPr>
          <w:rFonts w:eastAsia="Times New Roman"/>
          <w:lang w:eastAsia="en-AU"/>
        </w:rPr>
        <w:t>NCC Fire Safety Requirements</w:t>
      </w:r>
    </w:p>
    <w:p w:rsidR="00856749" w:rsidRPr="00AB4406" w:rsidRDefault="00856749" w:rsidP="0003376D">
      <w:pPr>
        <w:spacing w:after="0" w:line="320" w:lineRule="exact"/>
        <w:rPr>
          <w:rFonts w:asciiTheme="minorHAnsi" w:hAnsiTheme="minorHAnsi"/>
        </w:rPr>
      </w:pPr>
      <w:r w:rsidRPr="002A3F98">
        <w:rPr>
          <w:rFonts w:asciiTheme="minorHAnsi" w:hAnsiTheme="minorHAnsi"/>
        </w:rPr>
        <w:t>In the view of some stakeholders</w:t>
      </w:r>
      <w:r w:rsidR="00F07CA9">
        <w:rPr>
          <w:rFonts w:asciiTheme="minorHAnsi" w:hAnsiTheme="minorHAnsi"/>
        </w:rPr>
        <w:t>,</w:t>
      </w:r>
      <w:r w:rsidRPr="002A3F98">
        <w:rPr>
          <w:rFonts w:asciiTheme="minorHAnsi" w:hAnsiTheme="minorHAnsi"/>
        </w:rPr>
        <w:t xml:space="preserve"> th</w:t>
      </w:r>
      <w:r>
        <w:rPr>
          <w:rFonts w:asciiTheme="minorHAnsi" w:hAnsiTheme="minorHAnsi"/>
        </w:rPr>
        <w:t>e</w:t>
      </w:r>
      <w:r w:rsidRPr="002A3F98">
        <w:rPr>
          <w:rFonts w:asciiTheme="minorHAnsi" w:hAnsiTheme="minorHAnsi"/>
        </w:rPr>
        <w:t xml:space="preserve"> </w:t>
      </w:r>
      <w:r w:rsidR="00B2779B">
        <w:rPr>
          <w:rFonts w:asciiTheme="minorHAnsi" w:hAnsiTheme="minorHAnsi"/>
        </w:rPr>
        <w:t>DtS</w:t>
      </w:r>
      <w:r w:rsidRPr="002A3F98">
        <w:rPr>
          <w:rFonts w:asciiTheme="minorHAnsi" w:hAnsiTheme="minorHAnsi"/>
        </w:rPr>
        <w:t xml:space="preserve"> </w:t>
      </w:r>
      <w:r w:rsidR="00971494">
        <w:rPr>
          <w:rFonts w:asciiTheme="minorHAnsi" w:hAnsiTheme="minorHAnsi"/>
        </w:rPr>
        <w:t>Provisions</w:t>
      </w:r>
      <w:r w:rsidR="00971494" w:rsidRPr="002A3F98">
        <w:rPr>
          <w:rFonts w:asciiTheme="minorHAnsi" w:hAnsiTheme="minorHAnsi"/>
        </w:rPr>
        <w:t xml:space="preserve"> </w:t>
      </w:r>
      <w:r w:rsidRPr="002A3F98">
        <w:rPr>
          <w:rFonts w:asciiTheme="minorHAnsi" w:hAnsiTheme="minorHAnsi"/>
        </w:rPr>
        <w:t>do not reflect the most effective solution to meet the Goal of the NCC when considered from the perspective of individual risk</w:t>
      </w:r>
      <w:r w:rsidR="001D006B">
        <w:rPr>
          <w:rFonts w:asciiTheme="minorHAnsi" w:hAnsiTheme="minorHAnsi"/>
        </w:rPr>
        <w:t xml:space="preserve"> and cost</w:t>
      </w:r>
      <w:r w:rsidRPr="002A3F98">
        <w:rPr>
          <w:rFonts w:asciiTheme="minorHAnsi" w:hAnsiTheme="minorHAnsi"/>
        </w:rPr>
        <w:t xml:space="preserve">. The NCC’s Performance Requirements establish the mandatory degree of performance buildings must meet. They reflect societal expectations and recognise that risks can vary with building use and occupancy. The requirements reflect a minimum necessary standard for all buildings. However, as the Productivity Commission noted in 2004, the BCA </w:t>
      </w:r>
      <w:r w:rsidR="00CC1A9D" w:rsidRPr="002A3F98">
        <w:rPr>
          <w:rFonts w:asciiTheme="minorHAnsi" w:hAnsiTheme="minorHAnsi"/>
        </w:rPr>
        <w:t>w</w:t>
      </w:r>
      <w:r w:rsidR="00CC1A9D">
        <w:rPr>
          <w:rFonts w:asciiTheme="minorHAnsi" w:hAnsiTheme="minorHAnsi"/>
        </w:rPr>
        <w:t>ill</w:t>
      </w:r>
      <w:r w:rsidRPr="002A3F98">
        <w:rPr>
          <w:rFonts w:asciiTheme="minorHAnsi" w:hAnsiTheme="minorHAnsi"/>
        </w:rPr>
        <w:t>, for some proportion of the population at least</w:t>
      </w:r>
      <w:r w:rsidR="00ED2E4B">
        <w:rPr>
          <w:rFonts w:asciiTheme="minorHAnsi" w:hAnsiTheme="minorHAnsi"/>
        </w:rPr>
        <w:t>,</w:t>
      </w:r>
      <w:r w:rsidRPr="002A3F98">
        <w:rPr>
          <w:rFonts w:asciiTheme="minorHAnsi" w:hAnsiTheme="minorHAnsi"/>
        </w:rPr>
        <w:t xml:space="preserve"> fall short </w:t>
      </w:r>
      <w:r w:rsidR="002F2A42">
        <w:rPr>
          <w:rFonts w:asciiTheme="minorHAnsi" w:hAnsiTheme="minorHAnsi"/>
        </w:rPr>
        <w:br/>
      </w:r>
      <w:r w:rsidRPr="002A3F98">
        <w:rPr>
          <w:rFonts w:asciiTheme="minorHAnsi" w:hAnsiTheme="minorHAnsi"/>
        </w:rPr>
        <w:t>or exceed the expectations regardless of the level o</w:t>
      </w:r>
      <w:r>
        <w:rPr>
          <w:rFonts w:asciiTheme="minorHAnsi" w:hAnsiTheme="minorHAnsi"/>
        </w:rPr>
        <w:t xml:space="preserve">f regulation adopted. Therefore, </w:t>
      </w:r>
      <w:r w:rsidRPr="002A3F98">
        <w:rPr>
          <w:rFonts w:asciiTheme="minorHAnsi" w:hAnsiTheme="minorHAnsi"/>
        </w:rPr>
        <w:t>in seeking to maximise the benefits to the economy and society along with community expectations</w:t>
      </w:r>
      <w:r>
        <w:rPr>
          <w:rFonts w:asciiTheme="minorHAnsi" w:hAnsiTheme="minorHAnsi"/>
        </w:rPr>
        <w:t>,</w:t>
      </w:r>
      <w:r w:rsidRPr="002A3F98">
        <w:rPr>
          <w:rFonts w:asciiTheme="minorHAnsi" w:hAnsiTheme="minorHAnsi"/>
        </w:rPr>
        <w:t xml:space="preserve"> </w:t>
      </w:r>
      <w:r w:rsidRPr="00AB4406">
        <w:rPr>
          <w:rFonts w:asciiTheme="minorHAnsi" w:hAnsiTheme="minorHAnsi" w:cs="Arial"/>
        </w:rPr>
        <w:t xml:space="preserve">the costs and benefits of </w:t>
      </w:r>
      <w:r w:rsidR="00BA4144">
        <w:rPr>
          <w:rFonts w:asciiTheme="minorHAnsi" w:hAnsiTheme="minorHAnsi" w:cs="Arial"/>
        </w:rPr>
        <w:t>the level of</w:t>
      </w:r>
      <w:r w:rsidR="00BA4144" w:rsidRPr="00AB4406">
        <w:rPr>
          <w:rFonts w:asciiTheme="minorHAnsi" w:hAnsiTheme="minorHAnsi" w:cs="Arial"/>
        </w:rPr>
        <w:t xml:space="preserve"> </w:t>
      </w:r>
      <w:r w:rsidRPr="00AB4406">
        <w:rPr>
          <w:rFonts w:asciiTheme="minorHAnsi" w:hAnsiTheme="minorHAnsi" w:cs="Arial"/>
        </w:rPr>
        <w:t>performance</w:t>
      </w:r>
      <w:r>
        <w:rPr>
          <w:rFonts w:asciiTheme="minorHAnsi" w:hAnsiTheme="minorHAnsi" w:cs="Arial"/>
        </w:rPr>
        <w:t xml:space="preserve"> </w:t>
      </w:r>
      <w:r w:rsidR="00F07CA9">
        <w:rPr>
          <w:rFonts w:asciiTheme="minorHAnsi" w:hAnsiTheme="minorHAnsi" w:cs="Arial"/>
        </w:rPr>
        <w:t>adopted</w:t>
      </w:r>
      <w:r>
        <w:rPr>
          <w:rFonts w:asciiTheme="minorHAnsi" w:hAnsiTheme="minorHAnsi" w:cs="Arial"/>
        </w:rPr>
        <w:t xml:space="preserve"> should be considered among other factors</w:t>
      </w:r>
      <w:r w:rsidRPr="00AB4406">
        <w:rPr>
          <w:rFonts w:asciiTheme="minorHAnsi" w:hAnsiTheme="minorHAnsi" w:cs="Arial"/>
        </w:rPr>
        <w:t>.</w:t>
      </w:r>
    </w:p>
    <w:p w:rsidR="00AC0EC5" w:rsidRPr="002A3F98" w:rsidRDefault="00AC0EC5" w:rsidP="00BB0EB1">
      <w:pPr>
        <w:spacing w:before="120" w:after="0" w:line="320" w:lineRule="exact"/>
        <w:rPr>
          <w:rFonts w:asciiTheme="minorHAnsi" w:hAnsiTheme="minorHAnsi"/>
        </w:rPr>
      </w:pPr>
      <w:r w:rsidRPr="002A3F98">
        <w:rPr>
          <w:rFonts w:asciiTheme="minorHAnsi" w:hAnsiTheme="minorHAnsi"/>
        </w:rPr>
        <w:t xml:space="preserve">The DtS </w:t>
      </w:r>
      <w:r w:rsidR="004B162E">
        <w:rPr>
          <w:rFonts w:asciiTheme="minorHAnsi" w:hAnsiTheme="minorHAnsi"/>
        </w:rPr>
        <w:t>P</w:t>
      </w:r>
      <w:r w:rsidRPr="002A3F98">
        <w:rPr>
          <w:rFonts w:asciiTheme="minorHAnsi" w:hAnsiTheme="minorHAnsi"/>
        </w:rPr>
        <w:t xml:space="preserve">rovisions contained in Sections B – Structure, C – Fire Resistance, D – Access and Egress and E – Fire Fighting Equipment are commonly used solutions for buildings. They assist industry in interpreting the </w:t>
      </w:r>
      <w:r w:rsidR="007C22C4" w:rsidRPr="002A3F98">
        <w:rPr>
          <w:rFonts w:asciiTheme="minorHAnsi" w:hAnsiTheme="minorHAnsi"/>
        </w:rPr>
        <w:t>Performance Requirements i</w:t>
      </w:r>
      <w:r w:rsidR="00BB0EB1" w:rsidRPr="002A3F98">
        <w:rPr>
          <w:rFonts w:asciiTheme="minorHAnsi" w:hAnsiTheme="minorHAnsi"/>
        </w:rPr>
        <w:t>n the absence of higher level</w:t>
      </w:r>
      <w:r w:rsidRPr="002A3F98">
        <w:rPr>
          <w:rFonts w:asciiTheme="minorHAnsi" w:hAnsiTheme="minorHAnsi"/>
        </w:rPr>
        <w:t xml:space="preserve"> </w:t>
      </w:r>
      <w:r w:rsidR="00BB0EB1" w:rsidRPr="002A3F98">
        <w:rPr>
          <w:rFonts w:asciiTheme="minorHAnsi" w:hAnsiTheme="minorHAnsi"/>
        </w:rPr>
        <w:t>q</w:t>
      </w:r>
      <w:r w:rsidRPr="002A3F98">
        <w:rPr>
          <w:rFonts w:asciiTheme="minorHAnsi" w:hAnsiTheme="minorHAnsi"/>
        </w:rPr>
        <w:t xml:space="preserve">uantification. </w:t>
      </w:r>
      <w:r w:rsidR="00F07CA9">
        <w:rPr>
          <w:rFonts w:asciiTheme="minorHAnsi" w:hAnsiTheme="minorHAnsi"/>
        </w:rPr>
        <w:t xml:space="preserve">Though </w:t>
      </w:r>
      <w:r w:rsidR="00D9072A">
        <w:rPr>
          <w:rFonts w:asciiTheme="minorHAnsi" w:hAnsiTheme="minorHAnsi"/>
        </w:rPr>
        <w:t>p</w:t>
      </w:r>
      <w:r w:rsidR="00F07CA9">
        <w:rPr>
          <w:rFonts w:asciiTheme="minorHAnsi" w:hAnsiTheme="minorHAnsi"/>
        </w:rPr>
        <w:t>erformance</w:t>
      </w:r>
      <w:r w:rsidR="00D9072A">
        <w:rPr>
          <w:rFonts w:asciiTheme="minorHAnsi" w:hAnsiTheme="minorHAnsi"/>
        </w:rPr>
        <w:t>-</w:t>
      </w:r>
      <w:r w:rsidR="00F07CA9">
        <w:rPr>
          <w:rFonts w:asciiTheme="minorHAnsi" w:hAnsiTheme="minorHAnsi"/>
        </w:rPr>
        <w:t xml:space="preserve">based codes allow alternative strategies and systems </w:t>
      </w:r>
      <w:r w:rsidR="00013678">
        <w:rPr>
          <w:rFonts w:asciiTheme="minorHAnsi" w:hAnsiTheme="minorHAnsi"/>
        </w:rPr>
        <w:t xml:space="preserve">to </w:t>
      </w:r>
      <w:r w:rsidR="00F07CA9">
        <w:rPr>
          <w:rFonts w:asciiTheme="minorHAnsi" w:hAnsiTheme="minorHAnsi"/>
        </w:rPr>
        <w:t xml:space="preserve">be used to the degree necessary, including the use of sprinklers, the DtS pathway is considered the most common method of </w:t>
      </w:r>
      <w:r w:rsidR="002E1A12">
        <w:rPr>
          <w:rFonts w:asciiTheme="minorHAnsi" w:hAnsiTheme="minorHAnsi"/>
        </w:rPr>
        <w:t xml:space="preserve">measuring or </w:t>
      </w:r>
      <w:r w:rsidR="00F07CA9">
        <w:rPr>
          <w:rFonts w:asciiTheme="minorHAnsi" w:hAnsiTheme="minorHAnsi"/>
        </w:rPr>
        <w:t>demonstrating compliance with the Performance Requirements</w:t>
      </w:r>
      <w:r w:rsidR="00253969">
        <w:rPr>
          <w:rFonts w:asciiTheme="minorHAnsi" w:hAnsiTheme="minorHAnsi"/>
        </w:rPr>
        <w:t xml:space="preserve">, </w:t>
      </w:r>
      <w:r w:rsidR="002F2A42">
        <w:rPr>
          <w:rFonts w:asciiTheme="minorHAnsi" w:hAnsiTheme="minorHAnsi"/>
        </w:rPr>
        <w:t xml:space="preserve">regardless of the compliance pathway adopted </w:t>
      </w:r>
      <w:r w:rsidR="00D9072A">
        <w:rPr>
          <w:rFonts w:asciiTheme="minorHAnsi" w:hAnsiTheme="minorHAnsi"/>
        </w:rPr>
        <w:t xml:space="preserve">and </w:t>
      </w:r>
      <w:r w:rsidR="00253969">
        <w:rPr>
          <w:rFonts w:asciiTheme="minorHAnsi" w:hAnsiTheme="minorHAnsi"/>
        </w:rPr>
        <w:t xml:space="preserve">hence are the focus of this </w:t>
      </w:r>
      <w:r w:rsidR="008401C5">
        <w:rPr>
          <w:rFonts w:asciiTheme="minorHAnsi" w:hAnsiTheme="minorHAnsi"/>
        </w:rPr>
        <w:t xml:space="preserve">Final </w:t>
      </w:r>
      <w:r w:rsidR="00253969">
        <w:rPr>
          <w:rFonts w:asciiTheme="minorHAnsi" w:hAnsiTheme="minorHAnsi"/>
        </w:rPr>
        <w:t>RIS</w:t>
      </w:r>
      <w:r w:rsidR="001057A6">
        <w:rPr>
          <w:rFonts w:asciiTheme="minorHAnsi" w:hAnsiTheme="minorHAnsi"/>
        </w:rPr>
        <w:t>.</w:t>
      </w:r>
    </w:p>
    <w:p w:rsidR="00AC0EC5" w:rsidRPr="008D2DB1" w:rsidRDefault="00AC0EC5" w:rsidP="00035417">
      <w:pPr>
        <w:pStyle w:val="Heading3"/>
        <w:spacing w:before="240"/>
        <w:rPr>
          <w:rFonts w:eastAsia="Times New Roman"/>
          <w:lang w:eastAsia="en-AU"/>
        </w:rPr>
      </w:pPr>
      <w:r w:rsidRPr="008D2DB1">
        <w:rPr>
          <w:rFonts w:eastAsia="Times New Roman"/>
          <w:lang w:eastAsia="en-AU"/>
        </w:rPr>
        <w:lastRenderedPageBreak/>
        <w:t>Section C – Fire Resistance</w:t>
      </w:r>
      <w:bookmarkEnd w:id="13"/>
      <w:r w:rsidRPr="008D2DB1">
        <w:rPr>
          <w:rFonts w:eastAsia="Times New Roman"/>
          <w:lang w:eastAsia="en-AU"/>
        </w:rPr>
        <w:t xml:space="preserve"> </w:t>
      </w:r>
    </w:p>
    <w:p w:rsidR="00AC0EC5" w:rsidRPr="002A3F98" w:rsidRDefault="00AC0EC5" w:rsidP="00035417">
      <w:pPr>
        <w:spacing w:after="0" w:line="320" w:lineRule="exact"/>
        <w:rPr>
          <w:rFonts w:asciiTheme="minorHAnsi" w:hAnsiTheme="minorHAnsi"/>
        </w:rPr>
      </w:pPr>
      <w:r w:rsidRPr="002A3F98">
        <w:rPr>
          <w:rFonts w:asciiTheme="minorHAnsi" w:hAnsiTheme="minorHAnsi"/>
        </w:rPr>
        <w:t xml:space="preserve">The </w:t>
      </w:r>
      <w:r w:rsidR="00971494">
        <w:rPr>
          <w:rFonts w:asciiTheme="minorHAnsi" w:hAnsiTheme="minorHAnsi"/>
        </w:rPr>
        <w:t>D</w:t>
      </w:r>
      <w:r w:rsidR="007C7D89">
        <w:rPr>
          <w:rFonts w:asciiTheme="minorHAnsi" w:hAnsiTheme="minorHAnsi"/>
        </w:rPr>
        <w:t>t</w:t>
      </w:r>
      <w:r w:rsidR="00971494">
        <w:rPr>
          <w:rFonts w:asciiTheme="minorHAnsi" w:hAnsiTheme="minorHAnsi"/>
        </w:rPr>
        <w:t xml:space="preserve">S Provisions </w:t>
      </w:r>
      <w:r w:rsidRPr="002A3F98">
        <w:rPr>
          <w:rFonts w:asciiTheme="minorHAnsi" w:hAnsiTheme="minorHAnsi"/>
        </w:rPr>
        <w:t xml:space="preserve">of Section C relate primarily to passive </w:t>
      </w:r>
      <w:r w:rsidR="00D9072A">
        <w:rPr>
          <w:rFonts w:asciiTheme="minorHAnsi" w:hAnsiTheme="minorHAnsi"/>
        </w:rPr>
        <w:t>systems that impa</w:t>
      </w:r>
      <w:r w:rsidR="001057A6">
        <w:rPr>
          <w:rFonts w:asciiTheme="minorHAnsi" w:hAnsiTheme="minorHAnsi"/>
        </w:rPr>
        <w:t>c</w:t>
      </w:r>
      <w:r w:rsidR="00D9072A">
        <w:rPr>
          <w:rFonts w:asciiTheme="minorHAnsi" w:hAnsiTheme="minorHAnsi"/>
        </w:rPr>
        <w:t xml:space="preserve">t </w:t>
      </w:r>
      <w:r w:rsidRPr="002A3F98">
        <w:rPr>
          <w:rFonts w:asciiTheme="minorHAnsi" w:hAnsiTheme="minorHAnsi"/>
        </w:rPr>
        <w:t>fire resistance of a building structure and prescribe</w:t>
      </w:r>
      <w:r w:rsidR="00013678">
        <w:rPr>
          <w:rFonts w:asciiTheme="minorHAnsi" w:hAnsiTheme="minorHAnsi"/>
        </w:rPr>
        <w:t>, inter alia,</w:t>
      </w:r>
      <w:r w:rsidRPr="002A3F98">
        <w:rPr>
          <w:rFonts w:asciiTheme="minorHAnsi" w:hAnsiTheme="minorHAnsi"/>
        </w:rPr>
        <w:t xml:space="preserve"> </w:t>
      </w:r>
      <w:r w:rsidR="00D9072A">
        <w:rPr>
          <w:rFonts w:asciiTheme="minorHAnsi" w:hAnsiTheme="minorHAnsi"/>
        </w:rPr>
        <w:t xml:space="preserve">fire-resistance levels, </w:t>
      </w:r>
      <w:r w:rsidRPr="002A3F98">
        <w:rPr>
          <w:rFonts w:asciiTheme="minorHAnsi" w:hAnsiTheme="minorHAnsi"/>
        </w:rPr>
        <w:t xml:space="preserve">maximum fire compartment sizes and the protection of openings. These elements are crucial in providing the necessary level of separation to prevent the spread of fire, contain its effects and in turn reduce </w:t>
      </w:r>
      <w:r w:rsidR="00F07CA9">
        <w:rPr>
          <w:rFonts w:asciiTheme="minorHAnsi" w:hAnsiTheme="minorHAnsi"/>
        </w:rPr>
        <w:t xml:space="preserve">an </w:t>
      </w:r>
      <w:r w:rsidRPr="002A3F98">
        <w:rPr>
          <w:rFonts w:asciiTheme="minorHAnsi" w:hAnsiTheme="minorHAnsi"/>
        </w:rPr>
        <w:t>occupant’s exposure, while maximising the time and opportunity for evacuation in an emergency.</w:t>
      </w:r>
    </w:p>
    <w:p w:rsidR="00856749" w:rsidRDefault="00856749" w:rsidP="00856749">
      <w:pPr>
        <w:spacing w:before="120" w:after="0" w:line="320" w:lineRule="exact"/>
        <w:rPr>
          <w:rFonts w:asciiTheme="minorHAnsi" w:hAnsiTheme="minorHAnsi"/>
        </w:rPr>
      </w:pPr>
      <w:bookmarkStart w:id="14" w:name="_Toc349727993"/>
      <w:r w:rsidRPr="002A3F98">
        <w:rPr>
          <w:rFonts w:asciiTheme="minorHAnsi" w:hAnsiTheme="minorHAnsi"/>
        </w:rPr>
        <w:t>Due to the high risks associated with sleeping occupan</w:t>
      </w:r>
      <w:r>
        <w:rPr>
          <w:rFonts w:asciiTheme="minorHAnsi" w:hAnsiTheme="minorHAnsi"/>
        </w:rPr>
        <w:t>ts</w:t>
      </w:r>
      <w:r w:rsidRPr="002A3F98">
        <w:rPr>
          <w:rFonts w:asciiTheme="minorHAnsi" w:hAnsiTheme="minorHAnsi"/>
        </w:rPr>
        <w:t xml:space="preserve">, the most stringent fire resisting construction applies to </w:t>
      </w:r>
      <w:r>
        <w:rPr>
          <w:rFonts w:asciiTheme="minorHAnsi" w:hAnsiTheme="minorHAnsi"/>
        </w:rPr>
        <w:t>residential (</w:t>
      </w:r>
      <w:r w:rsidRPr="002A3F98">
        <w:rPr>
          <w:rFonts w:asciiTheme="minorHAnsi" w:hAnsiTheme="minorHAnsi"/>
        </w:rPr>
        <w:t xml:space="preserve">Class 2 and </w:t>
      </w:r>
      <w:r w:rsidR="000D5784">
        <w:rPr>
          <w:rFonts w:asciiTheme="minorHAnsi" w:hAnsiTheme="minorHAnsi"/>
        </w:rPr>
        <w:t xml:space="preserve">Class </w:t>
      </w:r>
      <w:r w:rsidRPr="002A3F98">
        <w:rPr>
          <w:rFonts w:asciiTheme="minorHAnsi" w:hAnsiTheme="minorHAnsi"/>
        </w:rPr>
        <w:t>3</w:t>
      </w:r>
      <w:r>
        <w:rPr>
          <w:rFonts w:asciiTheme="minorHAnsi" w:hAnsiTheme="minorHAnsi"/>
        </w:rPr>
        <w:t>)</w:t>
      </w:r>
      <w:r w:rsidRPr="002A3F98">
        <w:rPr>
          <w:rFonts w:asciiTheme="minorHAnsi" w:hAnsiTheme="minorHAnsi"/>
        </w:rPr>
        <w:t xml:space="preserve"> buildings</w:t>
      </w:r>
      <w:r w:rsidR="004A593D">
        <w:rPr>
          <w:rFonts w:asciiTheme="minorHAnsi" w:hAnsiTheme="minorHAnsi"/>
        </w:rPr>
        <w:t xml:space="preserve"> of</w:t>
      </w:r>
      <w:r w:rsidRPr="002A3F98">
        <w:rPr>
          <w:rFonts w:asciiTheme="minorHAnsi" w:hAnsiTheme="minorHAnsi"/>
        </w:rPr>
        <w:t xml:space="preserve"> </w:t>
      </w:r>
      <w:r w:rsidR="00730C6A">
        <w:rPr>
          <w:rFonts w:asciiTheme="minorHAnsi" w:hAnsiTheme="minorHAnsi"/>
        </w:rPr>
        <w:t>three</w:t>
      </w:r>
      <w:r w:rsidRPr="002A3F98">
        <w:rPr>
          <w:rFonts w:asciiTheme="minorHAnsi" w:hAnsiTheme="minorHAnsi"/>
        </w:rPr>
        <w:t xml:space="preserve"> </w:t>
      </w:r>
      <w:r w:rsidR="00F02B1E">
        <w:rPr>
          <w:rFonts w:asciiTheme="minorHAnsi" w:hAnsiTheme="minorHAnsi"/>
        </w:rPr>
        <w:t xml:space="preserve">or more </w:t>
      </w:r>
      <w:r w:rsidRPr="002A3F98">
        <w:rPr>
          <w:rFonts w:asciiTheme="minorHAnsi" w:hAnsiTheme="minorHAnsi"/>
        </w:rPr>
        <w:t>storeys</w:t>
      </w:r>
      <w:r w:rsidRPr="006C2A46">
        <w:rPr>
          <w:rFonts w:asciiTheme="minorHAnsi" w:hAnsiTheme="minorHAnsi"/>
          <w:vertAlign w:val="superscript"/>
        </w:rPr>
        <w:footnoteReference w:id="5"/>
      </w:r>
      <w:r w:rsidRPr="002A3F98">
        <w:rPr>
          <w:rFonts w:asciiTheme="minorHAnsi" w:hAnsiTheme="minorHAnsi"/>
        </w:rPr>
        <w:t xml:space="preserve">. </w:t>
      </w:r>
      <w:r>
        <w:rPr>
          <w:rFonts w:asciiTheme="minorHAnsi" w:hAnsiTheme="minorHAnsi"/>
        </w:rPr>
        <w:t xml:space="preserve">This is referred to as Type A construction. </w:t>
      </w:r>
      <w:r w:rsidRPr="002A3F98">
        <w:rPr>
          <w:rFonts w:asciiTheme="minorHAnsi" w:hAnsiTheme="minorHAnsi"/>
        </w:rPr>
        <w:t xml:space="preserve">Buildings below this height have </w:t>
      </w:r>
      <w:r w:rsidR="00F52139">
        <w:rPr>
          <w:rFonts w:asciiTheme="minorHAnsi" w:hAnsiTheme="minorHAnsi"/>
        </w:rPr>
        <w:t xml:space="preserve">overall </w:t>
      </w:r>
      <w:r w:rsidRPr="002A3F98">
        <w:rPr>
          <w:rFonts w:asciiTheme="minorHAnsi" w:hAnsiTheme="minorHAnsi"/>
        </w:rPr>
        <w:t>lower fire loads, occupancy and travel distances</w:t>
      </w:r>
      <w:r w:rsidR="00F52139">
        <w:rPr>
          <w:rFonts w:asciiTheme="minorHAnsi" w:hAnsiTheme="minorHAnsi"/>
        </w:rPr>
        <w:t xml:space="preserve"> and </w:t>
      </w:r>
      <w:r w:rsidRPr="002A3F98">
        <w:rPr>
          <w:rFonts w:asciiTheme="minorHAnsi" w:hAnsiTheme="minorHAnsi"/>
        </w:rPr>
        <w:t>Type B or C construction</w:t>
      </w:r>
      <w:r w:rsidR="00F52139">
        <w:rPr>
          <w:rFonts w:asciiTheme="minorHAnsi" w:hAnsiTheme="minorHAnsi"/>
        </w:rPr>
        <w:t xml:space="preserve"> requirements apply</w:t>
      </w:r>
      <w:r w:rsidRPr="002A3F98">
        <w:rPr>
          <w:rFonts w:asciiTheme="minorHAnsi" w:hAnsiTheme="minorHAnsi"/>
        </w:rPr>
        <w:t xml:space="preserve">. This graduated approach </w:t>
      </w:r>
      <w:r>
        <w:rPr>
          <w:rFonts w:asciiTheme="minorHAnsi" w:hAnsiTheme="minorHAnsi"/>
        </w:rPr>
        <w:t xml:space="preserve">aligns </w:t>
      </w:r>
      <w:r w:rsidRPr="002A3F98">
        <w:rPr>
          <w:rFonts w:asciiTheme="minorHAnsi" w:hAnsiTheme="minorHAnsi"/>
        </w:rPr>
        <w:t>th</w:t>
      </w:r>
      <w:r>
        <w:rPr>
          <w:rFonts w:asciiTheme="minorHAnsi" w:hAnsiTheme="minorHAnsi"/>
        </w:rPr>
        <w:t>e increase in fire safety with increase</w:t>
      </w:r>
      <w:r w:rsidR="00F52139">
        <w:rPr>
          <w:rFonts w:asciiTheme="minorHAnsi" w:hAnsiTheme="minorHAnsi"/>
        </w:rPr>
        <w:t>d</w:t>
      </w:r>
      <w:r>
        <w:rPr>
          <w:rFonts w:asciiTheme="minorHAnsi" w:hAnsiTheme="minorHAnsi"/>
        </w:rPr>
        <w:t xml:space="preserve"> risk </w:t>
      </w:r>
      <w:r w:rsidRPr="002A3F98">
        <w:rPr>
          <w:rFonts w:asciiTheme="minorHAnsi" w:hAnsiTheme="minorHAnsi"/>
        </w:rPr>
        <w:t>to efficiently achieve the Code’s objectives.</w:t>
      </w:r>
    </w:p>
    <w:p w:rsidR="00AC0EC5" w:rsidRPr="008D2DB1" w:rsidRDefault="00856749" w:rsidP="00035417">
      <w:pPr>
        <w:pStyle w:val="Heading3"/>
        <w:spacing w:before="240"/>
        <w:rPr>
          <w:rFonts w:eastAsia="Times New Roman"/>
          <w:lang w:eastAsia="en-AU"/>
        </w:rPr>
      </w:pPr>
      <w:r w:rsidRPr="008D2DB1">
        <w:rPr>
          <w:rFonts w:eastAsia="Times New Roman"/>
          <w:lang w:eastAsia="en-AU"/>
        </w:rPr>
        <w:t xml:space="preserve"> </w:t>
      </w:r>
      <w:r w:rsidR="00AC0EC5" w:rsidRPr="008D2DB1">
        <w:rPr>
          <w:rFonts w:eastAsia="Times New Roman"/>
          <w:lang w:eastAsia="en-AU"/>
        </w:rPr>
        <w:t>Section D – Access and Egress</w:t>
      </w:r>
      <w:bookmarkEnd w:id="14"/>
    </w:p>
    <w:p w:rsidR="00AC0EC5" w:rsidRPr="002A3F98" w:rsidRDefault="00AC0EC5" w:rsidP="00035417">
      <w:pPr>
        <w:spacing w:after="0" w:line="320" w:lineRule="exact"/>
        <w:rPr>
          <w:rFonts w:asciiTheme="minorHAnsi" w:hAnsiTheme="minorHAnsi"/>
        </w:rPr>
      </w:pPr>
      <w:r w:rsidRPr="002A3F98">
        <w:rPr>
          <w:rFonts w:asciiTheme="minorHAnsi" w:hAnsiTheme="minorHAnsi"/>
        </w:rPr>
        <w:t xml:space="preserve">The </w:t>
      </w:r>
      <w:r w:rsidR="00971494">
        <w:rPr>
          <w:rFonts w:asciiTheme="minorHAnsi" w:hAnsiTheme="minorHAnsi"/>
        </w:rPr>
        <w:t>D</w:t>
      </w:r>
      <w:r w:rsidR="007C7D89">
        <w:rPr>
          <w:rFonts w:asciiTheme="minorHAnsi" w:hAnsiTheme="minorHAnsi"/>
        </w:rPr>
        <w:t>t</w:t>
      </w:r>
      <w:r w:rsidR="00971494">
        <w:rPr>
          <w:rFonts w:asciiTheme="minorHAnsi" w:hAnsiTheme="minorHAnsi"/>
        </w:rPr>
        <w:t>S Provisions</w:t>
      </w:r>
      <w:r w:rsidRPr="002A3F98">
        <w:rPr>
          <w:rFonts w:asciiTheme="minorHAnsi" w:hAnsiTheme="minorHAnsi"/>
        </w:rPr>
        <w:t xml:space="preserve"> of Section D relate to means of egress from a building in an emergency including limiting the distance of travel to a place of safety, the number and dimensions of exits and their construction. </w:t>
      </w:r>
    </w:p>
    <w:p w:rsidR="00856749" w:rsidRPr="002A3F98" w:rsidRDefault="00856749" w:rsidP="00856749">
      <w:pPr>
        <w:spacing w:before="120" w:after="0" w:line="320" w:lineRule="exact"/>
        <w:rPr>
          <w:rFonts w:asciiTheme="minorHAnsi" w:hAnsiTheme="minorHAnsi"/>
        </w:rPr>
      </w:pPr>
      <w:bookmarkStart w:id="15" w:name="_Toc349727994"/>
      <w:r>
        <w:rPr>
          <w:rFonts w:asciiTheme="minorHAnsi" w:hAnsiTheme="minorHAnsi"/>
        </w:rPr>
        <w:t xml:space="preserve">In residential buildings, </w:t>
      </w:r>
      <w:r w:rsidR="00617261">
        <w:rPr>
          <w:rFonts w:asciiTheme="minorHAnsi" w:hAnsiTheme="minorHAnsi"/>
        </w:rPr>
        <w:t xml:space="preserve">an </w:t>
      </w:r>
      <w:r>
        <w:rPr>
          <w:rFonts w:asciiTheme="minorHAnsi" w:hAnsiTheme="minorHAnsi"/>
        </w:rPr>
        <w:t xml:space="preserve">exit </w:t>
      </w:r>
      <w:r w:rsidR="00617261">
        <w:rPr>
          <w:rFonts w:asciiTheme="minorHAnsi" w:hAnsiTheme="minorHAnsi"/>
        </w:rPr>
        <w:t xml:space="preserve">is </w:t>
      </w:r>
      <w:r>
        <w:rPr>
          <w:rFonts w:asciiTheme="minorHAnsi" w:hAnsiTheme="minorHAnsi"/>
        </w:rPr>
        <w:t>required to be protected (fire</w:t>
      </w:r>
      <w:r w:rsidR="00D9072A">
        <w:rPr>
          <w:rFonts w:asciiTheme="minorHAnsi" w:hAnsiTheme="minorHAnsi"/>
        </w:rPr>
        <w:t>-</w:t>
      </w:r>
      <w:r>
        <w:rPr>
          <w:rFonts w:asciiTheme="minorHAnsi" w:hAnsiTheme="minorHAnsi"/>
        </w:rPr>
        <w:t xml:space="preserve">isolated) where it passes through or by more than </w:t>
      </w:r>
      <w:r w:rsidR="00BC6293">
        <w:rPr>
          <w:rFonts w:asciiTheme="minorHAnsi" w:hAnsiTheme="minorHAnsi"/>
        </w:rPr>
        <w:t>three</w:t>
      </w:r>
      <w:r>
        <w:rPr>
          <w:rFonts w:asciiTheme="minorHAnsi" w:hAnsiTheme="minorHAnsi"/>
        </w:rPr>
        <w:t xml:space="preserve"> consecutive storeys in a Class 2 building and </w:t>
      </w:r>
      <w:r w:rsidR="00BC6293">
        <w:rPr>
          <w:rFonts w:asciiTheme="minorHAnsi" w:hAnsiTheme="minorHAnsi"/>
        </w:rPr>
        <w:t>two</w:t>
      </w:r>
      <w:r>
        <w:rPr>
          <w:rFonts w:asciiTheme="minorHAnsi" w:hAnsiTheme="minorHAnsi"/>
        </w:rPr>
        <w:t xml:space="preserve"> consecutive storeys in a Class 3 building.</w:t>
      </w:r>
      <w:r w:rsidR="00617261">
        <w:rPr>
          <w:rFonts w:asciiTheme="minorHAnsi" w:hAnsiTheme="minorHAnsi"/>
        </w:rPr>
        <w:t xml:space="preserve"> These requirements serve to compl</w:t>
      </w:r>
      <w:r w:rsidR="00550B72">
        <w:rPr>
          <w:rFonts w:asciiTheme="minorHAnsi" w:hAnsiTheme="minorHAnsi"/>
        </w:rPr>
        <w:t>e</w:t>
      </w:r>
      <w:r w:rsidR="00617261">
        <w:rPr>
          <w:rFonts w:asciiTheme="minorHAnsi" w:hAnsiTheme="minorHAnsi"/>
        </w:rPr>
        <w:t xml:space="preserve">ment the maximum </w:t>
      </w:r>
      <w:r w:rsidR="003E3DF7">
        <w:rPr>
          <w:rFonts w:asciiTheme="minorHAnsi" w:hAnsiTheme="minorHAnsi"/>
        </w:rPr>
        <w:t xml:space="preserve">distance </w:t>
      </w:r>
      <w:r w:rsidR="00D9072A">
        <w:rPr>
          <w:rFonts w:asciiTheme="minorHAnsi" w:hAnsiTheme="minorHAnsi"/>
        </w:rPr>
        <w:t xml:space="preserve">from a sole-occupancy unit </w:t>
      </w:r>
      <w:r w:rsidR="003E3DF7">
        <w:rPr>
          <w:rFonts w:asciiTheme="minorHAnsi" w:hAnsiTheme="minorHAnsi"/>
        </w:rPr>
        <w:t xml:space="preserve">to </w:t>
      </w:r>
      <w:r w:rsidR="00955DA7">
        <w:rPr>
          <w:rFonts w:asciiTheme="minorHAnsi" w:hAnsiTheme="minorHAnsi"/>
        </w:rPr>
        <w:t>an exit</w:t>
      </w:r>
      <w:r w:rsidR="00C56F76">
        <w:rPr>
          <w:rFonts w:asciiTheme="minorHAnsi" w:hAnsiTheme="minorHAnsi"/>
        </w:rPr>
        <w:t xml:space="preserve"> in a residential building (</w:t>
      </w:r>
      <w:r w:rsidR="00D9072A">
        <w:rPr>
          <w:rFonts w:asciiTheme="minorHAnsi" w:hAnsiTheme="minorHAnsi"/>
        </w:rPr>
        <w:t xml:space="preserve">generally </w:t>
      </w:r>
      <w:r w:rsidR="00C56F76">
        <w:rPr>
          <w:rFonts w:asciiTheme="minorHAnsi" w:hAnsiTheme="minorHAnsi"/>
        </w:rPr>
        <w:t>6</w:t>
      </w:r>
      <w:r w:rsidR="00D9072A">
        <w:rPr>
          <w:rFonts w:asciiTheme="minorHAnsi" w:hAnsiTheme="minorHAnsi"/>
        </w:rPr>
        <w:t xml:space="preserve"> </w:t>
      </w:r>
      <w:r w:rsidR="00C56F76">
        <w:rPr>
          <w:rFonts w:asciiTheme="minorHAnsi" w:hAnsiTheme="minorHAnsi"/>
        </w:rPr>
        <w:t>m</w:t>
      </w:r>
      <w:r w:rsidR="00D9072A">
        <w:rPr>
          <w:rFonts w:asciiTheme="minorHAnsi" w:hAnsiTheme="minorHAnsi"/>
        </w:rPr>
        <w:t xml:space="preserve"> or 20 m to a point where travel to different exits is available</w:t>
      </w:r>
      <w:r w:rsidR="00C56F76" w:rsidRPr="7185698D">
        <w:rPr>
          <w:rFonts w:asciiTheme="minorHAnsi" w:eastAsiaTheme="minorEastAsia" w:hAnsiTheme="minorHAnsi"/>
        </w:rPr>
        <w:t>)</w:t>
      </w:r>
      <w:r w:rsidR="000D5784">
        <w:rPr>
          <w:rFonts w:asciiTheme="minorHAnsi" w:eastAsiaTheme="minorEastAsia" w:hAnsiTheme="minorHAnsi"/>
        </w:rPr>
        <w:t xml:space="preserve">. This distance </w:t>
      </w:r>
      <w:r w:rsidR="00C56F76" w:rsidRPr="7185698D">
        <w:rPr>
          <w:rFonts w:asciiTheme="minorHAnsi" w:eastAsiaTheme="minorEastAsia" w:hAnsiTheme="minorHAnsi"/>
        </w:rPr>
        <w:t xml:space="preserve">is </w:t>
      </w:r>
      <w:r w:rsidR="00617261">
        <w:rPr>
          <w:rFonts w:asciiTheme="minorHAnsi" w:hAnsiTheme="minorHAnsi"/>
        </w:rPr>
        <w:t xml:space="preserve">less than that </w:t>
      </w:r>
      <w:r w:rsidR="00AB3CE8">
        <w:rPr>
          <w:rFonts w:asciiTheme="minorHAnsi" w:hAnsiTheme="minorHAnsi"/>
        </w:rPr>
        <w:t xml:space="preserve">required </w:t>
      </w:r>
      <w:r w:rsidR="00617261">
        <w:rPr>
          <w:rFonts w:asciiTheme="minorHAnsi" w:hAnsiTheme="minorHAnsi"/>
        </w:rPr>
        <w:t xml:space="preserve">in other classes in recognition of the increased time for </w:t>
      </w:r>
      <w:r w:rsidR="00013678">
        <w:rPr>
          <w:rFonts w:asciiTheme="minorHAnsi" w:hAnsiTheme="minorHAnsi"/>
        </w:rPr>
        <w:t xml:space="preserve">sleeping </w:t>
      </w:r>
      <w:r w:rsidR="00617261">
        <w:rPr>
          <w:rFonts w:asciiTheme="minorHAnsi" w:hAnsiTheme="minorHAnsi"/>
        </w:rPr>
        <w:t>occupants to become alert</w:t>
      </w:r>
      <w:r w:rsidR="00D9072A">
        <w:rPr>
          <w:rFonts w:asciiTheme="minorHAnsi" w:hAnsiTheme="minorHAnsi"/>
        </w:rPr>
        <w:t xml:space="preserve"> in the event of a fire</w:t>
      </w:r>
      <w:r w:rsidR="003E3DF7">
        <w:rPr>
          <w:rFonts w:asciiTheme="minorHAnsi" w:hAnsiTheme="minorHAnsi"/>
        </w:rPr>
        <w:t xml:space="preserve">.  </w:t>
      </w:r>
    </w:p>
    <w:p w:rsidR="00AC0EC5" w:rsidRPr="008D2DB1" w:rsidRDefault="00AC0EC5" w:rsidP="00C56F76">
      <w:pPr>
        <w:pStyle w:val="Heading3"/>
        <w:spacing w:before="240"/>
        <w:rPr>
          <w:rFonts w:eastAsia="Times New Roman"/>
          <w:lang w:eastAsia="en-AU"/>
        </w:rPr>
      </w:pPr>
      <w:r w:rsidRPr="008D2DB1">
        <w:rPr>
          <w:rFonts w:eastAsia="Times New Roman"/>
          <w:lang w:eastAsia="en-AU"/>
        </w:rPr>
        <w:t>Section E – Services and Equipment</w:t>
      </w:r>
      <w:bookmarkEnd w:id="15"/>
      <w:r w:rsidRPr="008D2DB1">
        <w:rPr>
          <w:rFonts w:eastAsia="Times New Roman"/>
          <w:lang w:eastAsia="en-AU"/>
        </w:rPr>
        <w:t xml:space="preserve"> </w:t>
      </w:r>
    </w:p>
    <w:p w:rsidR="00852B10" w:rsidRPr="002A3F98" w:rsidRDefault="00AC0EC5" w:rsidP="00035417">
      <w:pPr>
        <w:spacing w:after="0" w:line="320" w:lineRule="exact"/>
        <w:rPr>
          <w:rFonts w:asciiTheme="minorHAnsi" w:hAnsiTheme="minorHAnsi"/>
        </w:rPr>
      </w:pPr>
      <w:r w:rsidRPr="002A3F98">
        <w:rPr>
          <w:rFonts w:asciiTheme="minorHAnsi" w:hAnsiTheme="minorHAnsi"/>
        </w:rPr>
        <w:t xml:space="preserve">The </w:t>
      </w:r>
      <w:r w:rsidR="00971494">
        <w:rPr>
          <w:rFonts w:asciiTheme="minorHAnsi" w:hAnsiTheme="minorHAnsi"/>
        </w:rPr>
        <w:t>D</w:t>
      </w:r>
      <w:r w:rsidR="007C7D89">
        <w:rPr>
          <w:rFonts w:asciiTheme="minorHAnsi" w:hAnsiTheme="minorHAnsi"/>
        </w:rPr>
        <w:t>t</w:t>
      </w:r>
      <w:r w:rsidR="00971494">
        <w:rPr>
          <w:rFonts w:asciiTheme="minorHAnsi" w:hAnsiTheme="minorHAnsi"/>
        </w:rPr>
        <w:t>S Provisions</w:t>
      </w:r>
      <w:r w:rsidRPr="002A3F98">
        <w:rPr>
          <w:rFonts w:asciiTheme="minorHAnsi" w:hAnsiTheme="minorHAnsi"/>
        </w:rPr>
        <w:t xml:space="preserve"> of Section E </w:t>
      </w:r>
      <w:r w:rsidR="00BC6293">
        <w:rPr>
          <w:rFonts w:asciiTheme="minorHAnsi" w:hAnsiTheme="minorHAnsi"/>
        </w:rPr>
        <w:t>relate to</w:t>
      </w:r>
      <w:r w:rsidRPr="002A3F98">
        <w:rPr>
          <w:rFonts w:asciiTheme="minorHAnsi" w:hAnsiTheme="minorHAnsi"/>
        </w:rPr>
        <w:t xml:space="preserve"> active fire safety systems including fire sprinklers, </w:t>
      </w:r>
      <w:r w:rsidR="00730C6A" w:rsidRPr="002A3F98">
        <w:rPr>
          <w:rFonts w:asciiTheme="minorHAnsi" w:hAnsiTheme="minorHAnsi"/>
        </w:rPr>
        <w:t>firefighting</w:t>
      </w:r>
      <w:r w:rsidRPr="002A3F98">
        <w:rPr>
          <w:rFonts w:asciiTheme="minorHAnsi" w:hAnsiTheme="minorHAnsi"/>
        </w:rPr>
        <w:t xml:space="preserve"> equipment, smoke hazard management systems, smoke detection and alarms, emergency lifts</w:t>
      </w:r>
      <w:r w:rsidR="00A52E8D">
        <w:rPr>
          <w:rFonts w:asciiTheme="minorHAnsi" w:hAnsiTheme="minorHAnsi"/>
        </w:rPr>
        <w:t>,</w:t>
      </w:r>
      <w:r w:rsidRPr="002A3F98">
        <w:rPr>
          <w:rFonts w:asciiTheme="minorHAnsi" w:hAnsiTheme="minorHAnsi"/>
        </w:rPr>
        <w:t xml:space="preserve"> emergency lighting</w:t>
      </w:r>
      <w:r w:rsidR="00971494">
        <w:rPr>
          <w:rFonts w:asciiTheme="minorHAnsi" w:hAnsiTheme="minorHAnsi"/>
        </w:rPr>
        <w:t xml:space="preserve"> and</w:t>
      </w:r>
      <w:r w:rsidRPr="002A3F98">
        <w:rPr>
          <w:rFonts w:asciiTheme="minorHAnsi" w:hAnsiTheme="minorHAnsi"/>
        </w:rPr>
        <w:t xml:space="preserve"> exit signs</w:t>
      </w:r>
      <w:r w:rsidR="00730C6A">
        <w:rPr>
          <w:rFonts w:asciiTheme="minorHAnsi" w:hAnsiTheme="minorHAnsi"/>
        </w:rPr>
        <w:t>.</w:t>
      </w:r>
    </w:p>
    <w:p w:rsidR="004908F5" w:rsidRPr="00614940" w:rsidRDefault="004908F5" w:rsidP="00177705">
      <w:pPr>
        <w:pStyle w:val="Heading3"/>
        <w:spacing w:before="360"/>
      </w:pPr>
      <w:r w:rsidRPr="00177705">
        <w:rPr>
          <w:sz w:val="24"/>
        </w:rPr>
        <w:t xml:space="preserve">Fixed Fire </w:t>
      </w:r>
      <w:r w:rsidR="00FF06B9">
        <w:rPr>
          <w:sz w:val="24"/>
        </w:rPr>
        <w:t>S</w:t>
      </w:r>
      <w:r w:rsidRPr="00177705">
        <w:rPr>
          <w:sz w:val="24"/>
        </w:rPr>
        <w:t>uppression</w:t>
      </w:r>
      <w:r w:rsidR="00A52E8D">
        <w:rPr>
          <w:sz w:val="24"/>
        </w:rPr>
        <w:t xml:space="preserve"> </w:t>
      </w:r>
      <w:r w:rsidR="00FF06B9">
        <w:rPr>
          <w:sz w:val="24"/>
        </w:rPr>
        <w:t>S</w:t>
      </w:r>
      <w:r w:rsidR="00A52E8D">
        <w:rPr>
          <w:sz w:val="24"/>
        </w:rPr>
        <w:t>ystems</w:t>
      </w:r>
    </w:p>
    <w:p w:rsidR="004908F5" w:rsidRPr="002A3F98" w:rsidRDefault="004908F5" w:rsidP="00177705">
      <w:pPr>
        <w:spacing w:before="120"/>
        <w:rPr>
          <w:rFonts w:asciiTheme="minorHAnsi" w:hAnsiTheme="minorHAnsi"/>
        </w:rPr>
      </w:pPr>
      <w:r w:rsidRPr="002A3F98">
        <w:rPr>
          <w:rFonts w:asciiTheme="minorHAnsi" w:hAnsiTheme="minorHAnsi"/>
        </w:rPr>
        <w:t xml:space="preserve">NCC Performance Requirement EP1.4 requires an </w:t>
      </w:r>
      <w:r w:rsidRPr="008A56B3">
        <w:rPr>
          <w:rFonts w:asciiTheme="minorHAnsi" w:hAnsiTheme="minorHAnsi"/>
        </w:rPr>
        <w:t>automatic s</w:t>
      </w:r>
      <w:r w:rsidRPr="002A3F98">
        <w:rPr>
          <w:rFonts w:asciiTheme="minorHAnsi" w:hAnsiTheme="minorHAnsi"/>
        </w:rPr>
        <w:t xml:space="preserve">uppression system be installed </w:t>
      </w:r>
      <w:r w:rsidR="00441073">
        <w:rPr>
          <w:rFonts w:asciiTheme="minorHAnsi" w:hAnsiTheme="minorHAnsi"/>
        </w:rPr>
        <w:t>‘</w:t>
      </w:r>
      <w:r w:rsidRPr="002A3F98">
        <w:rPr>
          <w:rFonts w:asciiTheme="minorHAnsi" w:hAnsiTheme="minorHAnsi"/>
        </w:rPr>
        <w:t>to the degree necessary</w:t>
      </w:r>
      <w:r w:rsidR="00441073">
        <w:rPr>
          <w:rFonts w:asciiTheme="minorHAnsi" w:hAnsiTheme="minorHAnsi"/>
        </w:rPr>
        <w:t>’</w:t>
      </w:r>
      <w:r w:rsidRPr="002A3F98">
        <w:rPr>
          <w:rFonts w:asciiTheme="minorHAnsi" w:hAnsiTheme="minorHAnsi"/>
        </w:rPr>
        <w:t xml:space="preserve"> to control the development and spread of fire appropriate to– </w:t>
      </w:r>
    </w:p>
    <w:p w:rsidR="004908F5" w:rsidRPr="002A3F98" w:rsidRDefault="00A52E8D" w:rsidP="000B2944">
      <w:pPr>
        <w:pStyle w:val="ListParagraph"/>
        <w:numPr>
          <w:ilvl w:val="0"/>
          <w:numId w:val="7"/>
        </w:numPr>
        <w:rPr>
          <w:rFonts w:asciiTheme="minorHAnsi" w:hAnsiTheme="minorHAnsi"/>
        </w:rPr>
      </w:pPr>
      <w:r>
        <w:rPr>
          <w:rFonts w:asciiTheme="minorHAnsi" w:hAnsiTheme="minorHAnsi"/>
        </w:rPr>
        <w:t>t</w:t>
      </w:r>
      <w:r w:rsidR="004908F5" w:rsidRPr="002A3F98">
        <w:rPr>
          <w:rFonts w:asciiTheme="minorHAnsi" w:hAnsiTheme="minorHAnsi"/>
        </w:rPr>
        <w:t xml:space="preserve">he size of the fire compartment; and  </w:t>
      </w:r>
    </w:p>
    <w:p w:rsidR="004908F5" w:rsidRPr="002A3F98" w:rsidRDefault="00A52E8D" w:rsidP="000B2944">
      <w:pPr>
        <w:pStyle w:val="ListParagraph"/>
        <w:numPr>
          <w:ilvl w:val="0"/>
          <w:numId w:val="7"/>
        </w:numPr>
        <w:rPr>
          <w:rFonts w:asciiTheme="minorHAnsi" w:hAnsiTheme="minorHAnsi"/>
        </w:rPr>
      </w:pPr>
      <w:r>
        <w:rPr>
          <w:rFonts w:asciiTheme="minorHAnsi" w:hAnsiTheme="minorHAnsi"/>
        </w:rPr>
        <w:t>t</w:t>
      </w:r>
      <w:r w:rsidR="004908F5" w:rsidRPr="002A3F98">
        <w:rPr>
          <w:rFonts w:asciiTheme="minorHAnsi" w:hAnsiTheme="minorHAnsi"/>
        </w:rPr>
        <w:t xml:space="preserve">he function and use of the building; and </w:t>
      </w:r>
    </w:p>
    <w:p w:rsidR="004908F5" w:rsidRPr="002A3F98" w:rsidRDefault="00A52E8D" w:rsidP="000B2944">
      <w:pPr>
        <w:pStyle w:val="ListParagraph"/>
        <w:numPr>
          <w:ilvl w:val="0"/>
          <w:numId w:val="7"/>
        </w:numPr>
        <w:rPr>
          <w:rFonts w:asciiTheme="minorHAnsi" w:hAnsiTheme="minorHAnsi"/>
        </w:rPr>
      </w:pPr>
      <w:r>
        <w:rPr>
          <w:rFonts w:asciiTheme="minorHAnsi" w:hAnsiTheme="minorHAnsi"/>
        </w:rPr>
        <w:t>t</w:t>
      </w:r>
      <w:r w:rsidR="004908F5" w:rsidRPr="002A3F98">
        <w:rPr>
          <w:rFonts w:asciiTheme="minorHAnsi" w:hAnsiTheme="minorHAnsi"/>
        </w:rPr>
        <w:t xml:space="preserve">he fire hazard; and </w:t>
      </w:r>
    </w:p>
    <w:p w:rsidR="004908F5" w:rsidRPr="002A3F98" w:rsidRDefault="00A52E8D" w:rsidP="000B2944">
      <w:pPr>
        <w:pStyle w:val="ListParagraph"/>
        <w:numPr>
          <w:ilvl w:val="0"/>
          <w:numId w:val="7"/>
        </w:numPr>
        <w:rPr>
          <w:rFonts w:asciiTheme="minorHAnsi" w:hAnsiTheme="minorHAnsi"/>
        </w:rPr>
      </w:pPr>
      <w:r>
        <w:rPr>
          <w:rFonts w:asciiTheme="minorHAnsi" w:hAnsiTheme="minorHAnsi"/>
        </w:rPr>
        <w:t>t</w:t>
      </w:r>
      <w:r w:rsidR="004908F5" w:rsidRPr="002A3F98">
        <w:rPr>
          <w:rFonts w:asciiTheme="minorHAnsi" w:hAnsiTheme="minorHAnsi"/>
        </w:rPr>
        <w:t>he height of the building.</w:t>
      </w:r>
    </w:p>
    <w:p w:rsidR="004908F5" w:rsidRDefault="00D5005E" w:rsidP="004908F5">
      <w:pPr>
        <w:rPr>
          <w:rFonts w:asciiTheme="minorHAnsi" w:hAnsiTheme="minorHAnsi"/>
        </w:rPr>
      </w:pPr>
      <w:r>
        <w:rPr>
          <w:rFonts w:asciiTheme="minorHAnsi" w:hAnsiTheme="minorHAnsi"/>
        </w:rPr>
        <w:t>‘To t</w:t>
      </w:r>
      <w:r w:rsidR="004908F5" w:rsidRPr="002A3F98">
        <w:rPr>
          <w:rFonts w:asciiTheme="minorHAnsi" w:hAnsiTheme="minorHAnsi"/>
        </w:rPr>
        <w:t>he degree necessary</w:t>
      </w:r>
      <w:r>
        <w:rPr>
          <w:rFonts w:asciiTheme="minorHAnsi" w:hAnsiTheme="minorHAnsi"/>
        </w:rPr>
        <w:t>’</w:t>
      </w:r>
      <w:r w:rsidR="004908F5" w:rsidRPr="002A3F98">
        <w:rPr>
          <w:rFonts w:asciiTheme="minorHAnsi" w:hAnsiTheme="minorHAnsi"/>
          <w:b/>
        </w:rPr>
        <w:t xml:space="preserve"> </w:t>
      </w:r>
      <w:r w:rsidR="004908F5" w:rsidRPr="002A3F98">
        <w:rPr>
          <w:rFonts w:asciiTheme="minorHAnsi" w:hAnsiTheme="minorHAnsi"/>
        </w:rPr>
        <w:t xml:space="preserve">is a term </w:t>
      </w:r>
      <w:r>
        <w:rPr>
          <w:rFonts w:asciiTheme="minorHAnsi" w:hAnsiTheme="minorHAnsi"/>
        </w:rPr>
        <w:t>used</w:t>
      </w:r>
      <w:r w:rsidR="004908F5" w:rsidRPr="002A3F98">
        <w:rPr>
          <w:rFonts w:asciiTheme="minorHAnsi" w:hAnsiTheme="minorHAnsi"/>
        </w:rPr>
        <w:t xml:space="preserve"> </w:t>
      </w:r>
      <w:r w:rsidR="00C925EA" w:rsidRPr="002A3F98">
        <w:rPr>
          <w:rFonts w:asciiTheme="minorHAnsi" w:hAnsiTheme="minorHAnsi"/>
        </w:rPr>
        <w:t xml:space="preserve">in </w:t>
      </w:r>
      <w:r w:rsidR="004908F5" w:rsidRPr="002A3F98">
        <w:rPr>
          <w:rFonts w:asciiTheme="minorHAnsi" w:hAnsiTheme="minorHAnsi"/>
        </w:rPr>
        <w:t>the</w:t>
      </w:r>
      <w:r>
        <w:rPr>
          <w:rFonts w:asciiTheme="minorHAnsi" w:hAnsiTheme="minorHAnsi"/>
        </w:rPr>
        <w:t xml:space="preserve"> NCC</w:t>
      </w:r>
      <w:r w:rsidR="004908F5" w:rsidRPr="002A3F98">
        <w:rPr>
          <w:rFonts w:asciiTheme="minorHAnsi" w:hAnsiTheme="minorHAnsi"/>
        </w:rPr>
        <w:t xml:space="preserve"> Performance Requirements and recognises the application of a particular requirement can differ depending on the specifics of a building</w:t>
      </w:r>
      <w:r w:rsidR="004908F5" w:rsidRPr="002A3F98">
        <w:rPr>
          <w:rStyle w:val="FootnoteReference"/>
          <w:rFonts w:asciiTheme="minorHAnsi" w:hAnsiTheme="minorHAnsi"/>
        </w:rPr>
        <w:footnoteReference w:id="6"/>
      </w:r>
      <w:r w:rsidR="004908F5" w:rsidRPr="002A3F98">
        <w:rPr>
          <w:rFonts w:asciiTheme="minorHAnsi" w:hAnsiTheme="minorHAnsi"/>
        </w:rPr>
        <w:t xml:space="preserve">. This extends to not requiring an item to be installed, where this is appropriate. Guidance clarifies that its use in EP1.4 recognises that not all buildings require automatic fire suppression systems. When </w:t>
      </w:r>
      <w:r w:rsidR="004908F5" w:rsidRPr="002A3F98">
        <w:rPr>
          <w:rFonts w:asciiTheme="minorHAnsi" w:hAnsiTheme="minorHAnsi"/>
        </w:rPr>
        <w:lastRenderedPageBreak/>
        <w:t xml:space="preserve">implementing a required sprinkler system, judgements relative to a number of criteria </w:t>
      </w:r>
      <w:r w:rsidR="004F78AB" w:rsidRPr="002A3F98">
        <w:rPr>
          <w:rFonts w:asciiTheme="minorHAnsi" w:hAnsiTheme="minorHAnsi"/>
        </w:rPr>
        <w:t xml:space="preserve">may be </w:t>
      </w:r>
      <w:r w:rsidR="004908F5" w:rsidRPr="002A3F98">
        <w:rPr>
          <w:rFonts w:asciiTheme="minorHAnsi" w:hAnsiTheme="minorHAnsi"/>
        </w:rPr>
        <w:t>required.</w:t>
      </w:r>
      <w:r w:rsidR="004F78AB" w:rsidRPr="002A3F98">
        <w:rPr>
          <w:rFonts w:asciiTheme="minorHAnsi" w:hAnsiTheme="minorHAnsi"/>
        </w:rPr>
        <w:t xml:space="preserve"> These would include the </w:t>
      </w:r>
      <w:r w:rsidR="00C925EA" w:rsidRPr="002A3F98">
        <w:rPr>
          <w:rFonts w:asciiTheme="minorHAnsi" w:hAnsiTheme="minorHAnsi"/>
        </w:rPr>
        <w:t xml:space="preserve">level of </w:t>
      </w:r>
      <w:r w:rsidR="004F78AB" w:rsidRPr="002A3F98">
        <w:rPr>
          <w:rFonts w:asciiTheme="minorHAnsi" w:hAnsiTheme="minorHAnsi"/>
        </w:rPr>
        <w:t>occupan</w:t>
      </w:r>
      <w:r w:rsidR="00C925EA" w:rsidRPr="002A3F98">
        <w:rPr>
          <w:rFonts w:asciiTheme="minorHAnsi" w:hAnsiTheme="minorHAnsi"/>
        </w:rPr>
        <w:t>cy</w:t>
      </w:r>
      <w:r w:rsidR="004F78AB" w:rsidRPr="002A3F98">
        <w:rPr>
          <w:rFonts w:asciiTheme="minorHAnsi" w:hAnsiTheme="minorHAnsi"/>
        </w:rPr>
        <w:t>, the degree of passive protection available,</w:t>
      </w:r>
      <w:r w:rsidR="004908F5" w:rsidRPr="002A3F98">
        <w:rPr>
          <w:rFonts w:asciiTheme="minorHAnsi" w:hAnsiTheme="minorHAnsi"/>
        </w:rPr>
        <w:t xml:space="preserve"> </w:t>
      </w:r>
      <w:r w:rsidR="00C925EA" w:rsidRPr="002A3F98">
        <w:rPr>
          <w:rFonts w:asciiTheme="minorHAnsi" w:hAnsiTheme="minorHAnsi"/>
        </w:rPr>
        <w:t xml:space="preserve">the availability of a reliable water </w:t>
      </w:r>
      <w:r w:rsidR="00550B72">
        <w:rPr>
          <w:rFonts w:asciiTheme="minorHAnsi" w:hAnsiTheme="minorHAnsi"/>
        </w:rPr>
        <w:t>supply</w:t>
      </w:r>
      <w:r w:rsidR="00550B72" w:rsidRPr="002A3F98">
        <w:rPr>
          <w:rFonts w:asciiTheme="minorHAnsi" w:hAnsiTheme="minorHAnsi"/>
        </w:rPr>
        <w:t xml:space="preserve"> </w:t>
      </w:r>
      <w:r w:rsidR="00C925EA" w:rsidRPr="002A3F98">
        <w:rPr>
          <w:rFonts w:asciiTheme="minorHAnsi" w:hAnsiTheme="minorHAnsi"/>
        </w:rPr>
        <w:t>and the location.</w:t>
      </w:r>
      <w:r w:rsidR="008A61DE">
        <w:rPr>
          <w:rFonts w:asciiTheme="minorHAnsi" w:hAnsiTheme="minorHAnsi"/>
        </w:rPr>
        <w:t xml:space="preserve"> Similarly, DP1.3 uses </w:t>
      </w:r>
      <w:r>
        <w:rPr>
          <w:rFonts w:asciiTheme="minorHAnsi" w:hAnsiTheme="minorHAnsi"/>
        </w:rPr>
        <w:t xml:space="preserve">‘to </w:t>
      </w:r>
      <w:r w:rsidR="008A61DE">
        <w:rPr>
          <w:rFonts w:asciiTheme="minorHAnsi" w:hAnsiTheme="minorHAnsi"/>
        </w:rPr>
        <w:t>the degree necessary</w:t>
      </w:r>
      <w:r>
        <w:rPr>
          <w:rFonts w:asciiTheme="minorHAnsi" w:hAnsiTheme="minorHAnsi"/>
        </w:rPr>
        <w:t>’</w:t>
      </w:r>
      <w:r w:rsidR="008A61DE">
        <w:rPr>
          <w:rFonts w:asciiTheme="minorHAnsi" w:hAnsiTheme="minorHAnsi"/>
        </w:rPr>
        <w:t xml:space="preserve"> to describe the extent fire isolation of exits required</w:t>
      </w:r>
      <w:r>
        <w:rPr>
          <w:rFonts w:asciiTheme="minorHAnsi" w:hAnsiTheme="minorHAnsi"/>
        </w:rPr>
        <w:t>,</w:t>
      </w:r>
      <w:r w:rsidR="008A61DE">
        <w:rPr>
          <w:rFonts w:asciiTheme="minorHAnsi" w:hAnsiTheme="minorHAnsi"/>
        </w:rPr>
        <w:t xml:space="preserve"> in recognition that travel time increases with building height.</w:t>
      </w:r>
    </w:p>
    <w:p w:rsidR="00955DA7" w:rsidRDefault="00AB3CE8" w:rsidP="004908F5">
      <w:pPr>
        <w:rPr>
          <w:rFonts w:asciiTheme="minorHAnsi" w:hAnsiTheme="minorHAnsi"/>
        </w:rPr>
      </w:pPr>
      <w:r>
        <w:rPr>
          <w:rFonts w:asciiTheme="minorHAnsi" w:hAnsiTheme="minorHAnsi"/>
        </w:rPr>
        <w:t xml:space="preserve">The </w:t>
      </w:r>
      <w:r w:rsidR="00253969">
        <w:rPr>
          <w:rFonts w:asciiTheme="minorHAnsi" w:hAnsiTheme="minorHAnsi"/>
        </w:rPr>
        <w:t>key consideration</w:t>
      </w:r>
      <w:r>
        <w:rPr>
          <w:rFonts w:asciiTheme="minorHAnsi" w:hAnsiTheme="minorHAnsi"/>
        </w:rPr>
        <w:t xml:space="preserve"> </w:t>
      </w:r>
      <w:r w:rsidR="008A61DE">
        <w:rPr>
          <w:rFonts w:asciiTheme="minorHAnsi" w:hAnsiTheme="minorHAnsi"/>
        </w:rPr>
        <w:t xml:space="preserve">of this analysis is </w:t>
      </w:r>
      <w:r w:rsidR="00665AA5">
        <w:rPr>
          <w:rFonts w:asciiTheme="minorHAnsi" w:hAnsiTheme="minorHAnsi"/>
        </w:rPr>
        <w:t xml:space="preserve">the appropriate threshold </w:t>
      </w:r>
      <w:r w:rsidR="00253969">
        <w:rPr>
          <w:rFonts w:asciiTheme="minorHAnsi" w:hAnsiTheme="minorHAnsi"/>
        </w:rPr>
        <w:t xml:space="preserve">required by the DtS </w:t>
      </w:r>
      <w:r w:rsidR="00D5005E">
        <w:rPr>
          <w:rFonts w:asciiTheme="minorHAnsi" w:hAnsiTheme="minorHAnsi"/>
        </w:rPr>
        <w:t xml:space="preserve">Provisions </w:t>
      </w:r>
      <w:r w:rsidR="00665AA5">
        <w:rPr>
          <w:rFonts w:asciiTheme="minorHAnsi" w:hAnsiTheme="minorHAnsi"/>
        </w:rPr>
        <w:t xml:space="preserve">for fire safety systems. </w:t>
      </w:r>
      <w:r w:rsidR="00253969">
        <w:rPr>
          <w:rFonts w:asciiTheme="minorHAnsi" w:hAnsiTheme="minorHAnsi"/>
        </w:rPr>
        <w:t>Currently, t</w:t>
      </w:r>
      <w:r w:rsidR="00665AA5">
        <w:rPr>
          <w:rFonts w:asciiTheme="minorHAnsi" w:hAnsiTheme="minorHAnsi"/>
        </w:rPr>
        <w:t xml:space="preserve">he </w:t>
      </w:r>
      <w:r w:rsidR="00AA38F2">
        <w:rPr>
          <w:rFonts w:asciiTheme="minorHAnsi" w:hAnsiTheme="minorHAnsi"/>
        </w:rPr>
        <w:t xml:space="preserve">trigger for </w:t>
      </w:r>
      <w:r>
        <w:rPr>
          <w:rFonts w:asciiTheme="minorHAnsi" w:hAnsiTheme="minorHAnsi"/>
        </w:rPr>
        <w:t xml:space="preserve">requirement </w:t>
      </w:r>
      <w:r w:rsidR="00665AA5">
        <w:rPr>
          <w:rFonts w:asciiTheme="minorHAnsi" w:hAnsiTheme="minorHAnsi"/>
        </w:rPr>
        <w:t xml:space="preserve">for </w:t>
      </w:r>
      <w:r w:rsidR="00A52E8D">
        <w:rPr>
          <w:rFonts w:asciiTheme="minorHAnsi" w:hAnsiTheme="minorHAnsi"/>
        </w:rPr>
        <w:t xml:space="preserve">installation of </w:t>
      </w:r>
      <w:r w:rsidR="00665AA5">
        <w:rPr>
          <w:rFonts w:asciiTheme="minorHAnsi" w:hAnsiTheme="minorHAnsi"/>
        </w:rPr>
        <w:t>fire sprinklers in</w:t>
      </w:r>
      <w:r>
        <w:rPr>
          <w:rFonts w:asciiTheme="minorHAnsi" w:hAnsiTheme="minorHAnsi"/>
        </w:rPr>
        <w:t xml:space="preserve"> residential buildings </w:t>
      </w:r>
      <w:r w:rsidRPr="00837B6B">
        <w:rPr>
          <w:rFonts w:asciiTheme="minorHAnsi" w:hAnsiTheme="minorHAnsi"/>
        </w:rPr>
        <w:t>(other than accommodation for the aged, children or people with disabilities)</w:t>
      </w:r>
      <w:r>
        <w:rPr>
          <w:rFonts w:asciiTheme="minorHAnsi" w:hAnsiTheme="minorHAnsi"/>
        </w:rPr>
        <w:t xml:space="preserve"> above 25</w:t>
      </w:r>
      <w:r w:rsidR="00A52E8D">
        <w:rPr>
          <w:rFonts w:asciiTheme="minorHAnsi" w:hAnsiTheme="minorHAnsi"/>
        </w:rPr>
        <w:t xml:space="preserve"> </w:t>
      </w:r>
      <w:r>
        <w:rPr>
          <w:rFonts w:asciiTheme="minorHAnsi" w:hAnsiTheme="minorHAnsi"/>
        </w:rPr>
        <w:t>m</w:t>
      </w:r>
      <w:r w:rsidR="000D5784">
        <w:rPr>
          <w:rFonts w:asciiTheme="minorHAnsi" w:hAnsiTheme="minorHAnsi"/>
        </w:rPr>
        <w:t>etres</w:t>
      </w:r>
      <w:r>
        <w:rPr>
          <w:rFonts w:asciiTheme="minorHAnsi" w:hAnsiTheme="minorHAnsi"/>
        </w:rPr>
        <w:t xml:space="preserve"> </w:t>
      </w:r>
      <w:r w:rsidRPr="002A3F98">
        <w:rPr>
          <w:rFonts w:asciiTheme="minorHAnsi" w:hAnsiTheme="minorHAnsi"/>
        </w:rPr>
        <w:t xml:space="preserve">(assumed to be a building greater than </w:t>
      </w:r>
      <w:r w:rsidR="00C40810">
        <w:rPr>
          <w:rFonts w:asciiTheme="minorHAnsi" w:hAnsiTheme="minorHAnsi"/>
        </w:rPr>
        <w:t>eight</w:t>
      </w:r>
      <w:r w:rsidRPr="002A3F98">
        <w:rPr>
          <w:rFonts w:asciiTheme="minorHAnsi" w:hAnsiTheme="minorHAnsi"/>
        </w:rPr>
        <w:t xml:space="preserve"> storeys for the purpose of this analysis)</w:t>
      </w:r>
      <w:r>
        <w:rPr>
          <w:rFonts w:asciiTheme="minorHAnsi" w:hAnsiTheme="minorHAnsi"/>
        </w:rPr>
        <w:t>. T</w:t>
      </w:r>
      <w:r w:rsidRPr="002A3F98">
        <w:rPr>
          <w:rFonts w:asciiTheme="minorHAnsi" w:hAnsiTheme="minorHAnsi"/>
        </w:rPr>
        <w:t>he 25</w:t>
      </w:r>
      <w:r w:rsidR="00A52E8D">
        <w:rPr>
          <w:rFonts w:asciiTheme="minorHAnsi" w:hAnsiTheme="minorHAnsi"/>
        </w:rPr>
        <w:t xml:space="preserve"> </w:t>
      </w:r>
      <w:r w:rsidRPr="002A3F98">
        <w:rPr>
          <w:rFonts w:asciiTheme="minorHAnsi" w:hAnsiTheme="minorHAnsi"/>
        </w:rPr>
        <w:t>m</w:t>
      </w:r>
      <w:r w:rsidR="000D5784">
        <w:rPr>
          <w:rFonts w:asciiTheme="minorHAnsi" w:hAnsiTheme="minorHAnsi"/>
        </w:rPr>
        <w:t>etre</w:t>
      </w:r>
      <w:r w:rsidRPr="002A3F98">
        <w:rPr>
          <w:rFonts w:asciiTheme="minorHAnsi" w:hAnsiTheme="minorHAnsi"/>
        </w:rPr>
        <w:t xml:space="preserve"> trigger for</w:t>
      </w:r>
      <w:r w:rsidR="000D5784">
        <w:rPr>
          <w:rFonts w:asciiTheme="minorHAnsi" w:hAnsiTheme="minorHAnsi"/>
        </w:rPr>
        <w:t xml:space="preserve"> fire</w:t>
      </w:r>
      <w:r w:rsidRPr="002A3F98">
        <w:rPr>
          <w:rFonts w:asciiTheme="minorHAnsi" w:hAnsiTheme="minorHAnsi"/>
        </w:rPr>
        <w:t xml:space="preserve"> sprinkler systems has existed since August 1980, when the previous A</w:t>
      </w:r>
      <w:r>
        <w:rPr>
          <w:rFonts w:asciiTheme="minorHAnsi" w:hAnsiTheme="minorHAnsi"/>
        </w:rPr>
        <w:t xml:space="preserve">ustralian </w:t>
      </w:r>
      <w:r w:rsidRPr="002A3F98">
        <w:rPr>
          <w:rFonts w:asciiTheme="minorHAnsi" w:hAnsiTheme="minorHAnsi"/>
        </w:rPr>
        <w:t>M</w:t>
      </w:r>
      <w:r>
        <w:rPr>
          <w:rFonts w:asciiTheme="minorHAnsi" w:hAnsiTheme="minorHAnsi"/>
        </w:rPr>
        <w:t xml:space="preserve">odel </w:t>
      </w:r>
      <w:r w:rsidRPr="002A3F98">
        <w:rPr>
          <w:rFonts w:asciiTheme="minorHAnsi" w:hAnsiTheme="minorHAnsi"/>
        </w:rPr>
        <w:t>U</w:t>
      </w:r>
      <w:r>
        <w:rPr>
          <w:rFonts w:asciiTheme="minorHAnsi" w:hAnsiTheme="minorHAnsi"/>
        </w:rPr>
        <w:t xml:space="preserve">niform </w:t>
      </w:r>
      <w:r w:rsidRPr="002A3F98">
        <w:rPr>
          <w:rFonts w:asciiTheme="minorHAnsi" w:hAnsiTheme="minorHAnsi"/>
        </w:rPr>
        <w:t>B</w:t>
      </w:r>
      <w:r>
        <w:rPr>
          <w:rFonts w:asciiTheme="minorHAnsi" w:hAnsiTheme="minorHAnsi"/>
        </w:rPr>
        <w:t xml:space="preserve">uilding </w:t>
      </w:r>
      <w:r w:rsidRPr="002A3F98">
        <w:rPr>
          <w:rFonts w:asciiTheme="minorHAnsi" w:hAnsiTheme="minorHAnsi"/>
        </w:rPr>
        <w:t>C</w:t>
      </w:r>
      <w:r>
        <w:rPr>
          <w:rFonts w:asciiTheme="minorHAnsi" w:hAnsiTheme="minorHAnsi"/>
        </w:rPr>
        <w:t>ode (AMUBC)</w:t>
      </w:r>
      <w:r w:rsidRPr="002A3F98">
        <w:rPr>
          <w:rFonts w:asciiTheme="minorHAnsi" w:hAnsiTheme="minorHAnsi"/>
        </w:rPr>
        <w:t>, was amended to reduce the trigger height from 42</w:t>
      </w:r>
      <w:r w:rsidR="00A52E8D">
        <w:rPr>
          <w:rFonts w:asciiTheme="minorHAnsi" w:hAnsiTheme="minorHAnsi"/>
        </w:rPr>
        <w:t xml:space="preserve"> </w:t>
      </w:r>
      <w:r w:rsidRPr="002A3F98">
        <w:rPr>
          <w:rFonts w:asciiTheme="minorHAnsi" w:hAnsiTheme="minorHAnsi"/>
        </w:rPr>
        <w:t>m</w:t>
      </w:r>
      <w:r w:rsidR="001D5C93">
        <w:rPr>
          <w:rFonts w:asciiTheme="minorHAnsi" w:hAnsiTheme="minorHAnsi"/>
        </w:rPr>
        <w:t>etres</w:t>
      </w:r>
      <w:r w:rsidRPr="002A3F98">
        <w:rPr>
          <w:rFonts w:asciiTheme="minorHAnsi" w:hAnsiTheme="minorHAnsi"/>
        </w:rPr>
        <w:t>.</w:t>
      </w:r>
      <w:r>
        <w:rPr>
          <w:rStyle w:val="FootnoteReference"/>
          <w:rFonts w:asciiTheme="minorHAnsi" w:hAnsiTheme="minorHAnsi"/>
        </w:rPr>
        <w:footnoteReference w:id="7"/>
      </w:r>
      <w:r w:rsidR="00665AA5">
        <w:rPr>
          <w:rFonts w:asciiTheme="minorHAnsi" w:hAnsiTheme="minorHAnsi"/>
        </w:rPr>
        <w:t xml:space="preserve"> </w:t>
      </w:r>
    </w:p>
    <w:p w:rsidR="00665AA5" w:rsidRPr="002A3F98" w:rsidRDefault="00955DA7" w:rsidP="004908F5">
      <w:pPr>
        <w:rPr>
          <w:rFonts w:asciiTheme="minorHAnsi" w:hAnsiTheme="minorHAnsi"/>
        </w:rPr>
      </w:pPr>
      <w:r>
        <w:rPr>
          <w:rFonts w:asciiTheme="minorHAnsi" w:hAnsiTheme="minorHAnsi"/>
        </w:rPr>
        <w:t xml:space="preserve">In November 2017, the ABCB’s Building Codes Committee considered a proposal </w:t>
      </w:r>
      <w:r w:rsidR="001D35C5">
        <w:rPr>
          <w:rFonts w:asciiTheme="minorHAnsi" w:hAnsiTheme="minorHAnsi"/>
        </w:rPr>
        <w:t xml:space="preserve">suggesting </w:t>
      </w:r>
      <w:r w:rsidR="00665AA5">
        <w:rPr>
          <w:rFonts w:asciiTheme="minorHAnsi" w:hAnsiTheme="minorHAnsi"/>
        </w:rPr>
        <w:t>cost effective sprinkler protection c</w:t>
      </w:r>
      <w:r>
        <w:rPr>
          <w:rFonts w:asciiTheme="minorHAnsi" w:hAnsiTheme="minorHAnsi"/>
        </w:rPr>
        <w:t>ould</w:t>
      </w:r>
      <w:r w:rsidR="00665AA5">
        <w:rPr>
          <w:rFonts w:asciiTheme="minorHAnsi" w:hAnsiTheme="minorHAnsi"/>
        </w:rPr>
        <w:t xml:space="preserve"> be achieved </w:t>
      </w:r>
      <w:r w:rsidR="001D35C5">
        <w:rPr>
          <w:rFonts w:asciiTheme="minorHAnsi" w:hAnsiTheme="minorHAnsi"/>
        </w:rPr>
        <w:t xml:space="preserve">through </w:t>
      </w:r>
      <w:r w:rsidR="00665AA5">
        <w:rPr>
          <w:rFonts w:asciiTheme="minorHAnsi" w:hAnsiTheme="minorHAnsi"/>
        </w:rPr>
        <w:t xml:space="preserve">associated offsets to other fire safety </w:t>
      </w:r>
      <w:r>
        <w:rPr>
          <w:rFonts w:asciiTheme="minorHAnsi" w:hAnsiTheme="minorHAnsi"/>
        </w:rPr>
        <w:t>requirements</w:t>
      </w:r>
      <w:r w:rsidR="00665AA5">
        <w:rPr>
          <w:rFonts w:asciiTheme="minorHAnsi" w:hAnsiTheme="minorHAnsi"/>
        </w:rPr>
        <w:t xml:space="preserve">. At its meeting in </w:t>
      </w:r>
      <w:r>
        <w:rPr>
          <w:rFonts w:asciiTheme="minorHAnsi" w:hAnsiTheme="minorHAnsi"/>
        </w:rPr>
        <w:t>December 2017</w:t>
      </w:r>
      <w:r w:rsidR="00D5005E">
        <w:rPr>
          <w:rFonts w:asciiTheme="minorHAnsi" w:hAnsiTheme="minorHAnsi"/>
        </w:rPr>
        <w:t>,</w:t>
      </w:r>
      <w:r>
        <w:rPr>
          <w:rFonts w:asciiTheme="minorHAnsi" w:hAnsiTheme="minorHAnsi"/>
        </w:rPr>
        <w:t xml:space="preserve"> t</w:t>
      </w:r>
      <w:r w:rsidR="00665AA5">
        <w:rPr>
          <w:rFonts w:asciiTheme="minorHAnsi" w:hAnsiTheme="minorHAnsi"/>
        </w:rPr>
        <w:t xml:space="preserve">he Board </w:t>
      </w:r>
      <w:r>
        <w:rPr>
          <w:rFonts w:asciiTheme="minorHAnsi" w:hAnsiTheme="minorHAnsi"/>
        </w:rPr>
        <w:t>agreed to further analysis</w:t>
      </w:r>
      <w:r w:rsidR="00A52E8D">
        <w:rPr>
          <w:rFonts w:asciiTheme="minorHAnsi" w:hAnsiTheme="minorHAnsi"/>
        </w:rPr>
        <w:t xml:space="preserve">, including through this </w:t>
      </w:r>
      <w:r w:rsidR="008401C5">
        <w:rPr>
          <w:rFonts w:asciiTheme="minorHAnsi" w:hAnsiTheme="minorHAnsi"/>
        </w:rPr>
        <w:t xml:space="preserve">Final </w:t>
      </w:r>
      <w:r w:rsidR="00A52E8D">
        <w:rPr>
          <w:rFonts w:asciiTheme="minorHAnsi" w:hAnsiTheme="minorHAnsi"/>
        </w:rPr>
        <w:t>RIS,</w:t>
      </w:r>
      <w:r>
        <w:rPr>
          <w:rFonts w:asciiTheme="minorHAnsi" w:hAnsiTheme="minorHAnsi"/>
        </w:rPr>
        <w:t xml:space="preserve"> of mandatory sprinkler protection </w:t>
      </w:r>
      <w:r w:rsidR="00A52E8D">
        <w:rPr>
          <w:rFonts w:asciiTheme="minorHAnsi" w:hAnsiTheme="minorHAnsi"/>
        </w:rPr>
        <w:t xml:space="preserve">for </w:t>
      </w:r>
      <w:r w:rsidR="00F52139">
        <w:rPr>
          <w:rFonts w:asciiTheme="minorHAnsi" w:hAnsiTheme="minorHAnsi"/>
        </w:rPr>
        <w:t xml:space="preserve">mid-rise </w:t>
      </w:r>
      <w:r w:rsidR="00A52E8D">
        <w:rPr>
          <w:rFonts w:asciiTheme="minorHAnsi" w:hAnsiTheme="minorHAnsi"/>
        </w:rPr>
        <w:t xml:space="preserve">Class 2 and 3 buildings </w:t>
      </w:r>
      <w:r w:rsidRPr="00955DA7">
        <w:rPr>
          <w:rFonts w:asciiTheme="minorHAnsi" w:hAnsiTheme="minorHAnsi"/>
        </w:rPr>
        <w:t>above three storeys and</w:t>
      </w:r>
      <w:r w:rsidRPr="00955DA7" w:rsidDel="001D35C5">
        <w:rPr>
          <w:rFonts w:asciiTheme="minorHAnsi" w:hAnsiTheme="minorHAnsi"/>
        </w:rPr>
        <w:t xml:space="preserve"> </w:t>
      </w:r>
      <w:r w:rsidRPr="00955DA7">
        <w:rPr>
          <w:rFonts w:asciiTheme="minorHAnsi" w:hAnsiTheme="minorHAnsi"/>
        </w:rPr>
        <w:t>with associated offsets.</w:t>
      </w:r>
      <w:r w:rsidR="00665AA5">
        <w:rPr>
          <w:rFonts w:asciiTheme="minorHAnsi" w:hAnsiTheme="minorHAnsi"/>
        </w:rPr>
        <w:t xml:space="preserve"> </w:t>
      </w:r>
    </w:p>
    <w:p w:rsidR="00C56F76" w:rsidRDefault="00C56F76" w:rsidP="00C56F76">
      <w:pPr>
        <w:pStyle w:val="Heading2"/>
      </w:pPr>
      <w:bookmarkStart w:id="16" w:name="_Toc505333473"/>
      <w:r>
        <w:t>Extent of the Problem</w:t>
      </w:r>
      <w:bookmarkEnd w:id="16"/>
      <w:r>
        <w:t xml:space="preserve"> </w:t>
      </w:r>
    </w:p>
    <w:p w:rsidR="00200A78" w:rsidRPr="00664BD0" w:rsidRDefault="00CB3A4C" w:rsidP="0003376D">
      <w:pPr>
        <w:rPr>
          <w:rFonts w:asciiTheme="minorHAnsi" w:hAnsiTheme="minorHAnsi"/>
        </w:rPr>
      </w:pPr>
      <w:r w:rsidRPr="00034CC4">
        <w:rPr>
          <w:rFonts w:asciiTheme="minorHAnsi" w:hAnsiTheme="minorHAnsi"/>
          <w:bCs/>
        </w:rPr>
        <w:t>T</w:t>
      </w:r>
      <w:r w:rsidR="00200A78" w:rsidRPr="00664BD0">
        <w:rPr>
          <w:rFonts w:asciiTheme="minorHAnsi" w:hAnsiTheme="minorHAnsi"/>
        </w:rPr>
        <w:t xml:space="preserve">he extent of the problem is influenced by </w:t>
      </w:r>
      <w:r w:rsidR="00200A78" w:rsidRPr="00034CC4">
        <w:rPr>
          <w:rFonts w:asciiTheme="minorHAnsi" w:hAnsiTheme="minorHAnsi"/>
          <w:bCs/>
        </w:rPr>
        <w:t>the rate of fire</w:t>
      </w:r>
      <w:r w:rsidR="00FF7B13">
        <w:rPr>
          <w:rFonts w:asciiTheme="minorHAnsi" w:hAnsiTheme="minorHAnsi"/>
          <w:bCs/>
        </w:rPr>
        <w:t xml:space="preserve"> incidents</w:t>
      </w:r>
      <w:r w:rsidR="00200A78" w:rsidRPr="00034CC4">
        <w:rPr>
          <w:rFonts w:asciiTheme="minorHAnsi" w:hAnsiTheme="minorHAnsi"/>
          <w:bCs/>
        </w:rPr>
        <w:t xml:space="preserve">, </w:t>
      </w:r>
      <w:r w:rsidR="00FF7B13">
        <w:rPr>
          <w:rFonts w:asciiTheme="minorHAnsi" w:hAnsiTheme="minorHAnsi"/>
          <w:bCs/>
        </w:rPr>
        <w:t>their</w:t>
      </w:r>
      <w:r w:rsidR="00200A78" w:rsidRPr="00034CC4">
        <w:rPr>
          <w:rFonts w:asciiTheme="minorHAnsi" w:hAnsiTheme="minorHAnsi"/>
          <w:bCs/>
        </w:rPr>
        <w:t xml:space="preserve"> location and the rate of injury and fatality in non-sprin</w:t>
      </w:r>
      <w:r w:rsidR="00200A78" w:rsidRPr="00F25003">
        <w:rPr>
          <w:rFonts w:asciiTheme="minorHAnsi" w:hAnsiTheme="minorHAnsi"/>
          <w:bCs/>
        </w:rPr>
        <w:t xml:space="preserve">kler protected Class 2 and 3 buildings constructed between </w:t>
      </w:r>
      <w:r w:rsidR="00BC6293">
        <w:rPr>
          <w:rFonts w:asciiTheme="minorHAnsi" w:hAnsiTheme="minorHAnsi"/>
          <w:bCs/>
        </w:rPr>
        <w:t>four</w:t>
      </w:r>
      <w:r w:rsidR="00200A78" w:rsidRPr="00F25003">
        <w:rPr>
          <w:rFonts w:asciiTheme="minorHAnsi" w:hAnsiTheme="minorHAnsi"/>
          <w:bCs/>
        </w:rPr>
        <w:t xml:space="preserve"> and </w:t>
      </w:r>
      <w:r w:rsidR="00BC6293">
        <w:rPr>
          <w:rFonts w:asciiTheme="minorHAnsi" w:hAnsiTheme="minorHAnsi"/>
          <w:bCs/>
        </w:rPr>
        <w:t>eight</w:t>
      </w:r>
      <w:r w:rsidR="00200A78" w:rsidRPr="00F25003">
        <w:rPr>
          <w:rFonts w:asciiTheme="minorHAnsi" w:hAnsiTheme="minorHAnsi"/>
          <w:bCs/>
        </w:rPr>
        <w:t xml:space="preserve"> storeys in height. </w:t>
      </w:r>
    </w:p>
    <w:p w:rsidR="009D5F44" w:rsidRPr="00E30CC1" w:rsidRDefault="00EF2DAB" w:rsidP="00E30CC1">
      <w:pPr>
        <w:pStyle w:val="Heading3"/>
        <w:spacing w:before="240"/>
        <w:rPr>
          <w:rFonts w:eastAsia="Times New Roman"/>
          <w:lang w:eastAsia="en-AU"/>
        </w:rPr>
      </w:pPr>
      <w:r w:rsidRPr="00E30CC1">
        <w:rPr>
          <w:rFonts w:eastAsia="Times New Roman"/>
          <w:lang w:eastAsia="en-AU"/>
        </w:rPr>
        <w:t>Risk</w:t>
      </w:r>
      <w:r w:rsidR="00CF5F77">
        <w:rPr>
          <w:rFonts w:eastAsia="Times New Roman"/>
          <w:lang w:eastAsia="en-AU"/>
        </w:rPr>
        <w:t xml:space="preserve"> to Life Safety</w:t>
      </w:r>
    </w:p>
    <w:p w:rsidR="00DC2468" w:rsidRDefault="00F512F9" w:rsidP="0003376D">
      <w:pPr>
        <w:rPr>
          <w:rFonts w:asciiTheme="minorHAnsi" w:hAnsiTheme="minorHAnsi"/>
        </w:rPr>
      </w:pPr>
      <w:r>
        <w:rPr>
          <w:rFonts w:asciiTheme="minorHAnsi" w:hAnsiTheme="minorHAnsi"/>
        </w:rPr>
        <w:t>The fire safety provisions in the NCC have been developed over time to address two types of risk</w:t>
      </w:r>
      <w:r w:rsidR="00FF7B13">
        <w:rPr>
          <w:rFonts w:asciiTheme="minorHAnsi" w:hAnsiTheme="minorHAnsi"/>
        </w:rPr>
        <w:t>;</w:t>
      </w:r>
      <w:r>
        <w:rPr>
          <w:rFonts w:asciiTheme="minorHAnsi" w:hAnsiTheme="minorHAnsi"/>
        </w:rPr>
        <w:t xml:space="preserve"> individual risk, that is the risk of fatality or injury to a person or persons within the room of fire origin</w:t>
      </w:r>
      <w:r w:rsidR="00013678">
        <w:rPr>
          <w:rFonts w:asciiTheme="minorHAnsi" w:hAnsiTheme="minorHAnsi"/>
        </w:rPr>
        <w:t>,</w:t>
      </w:r>
      <w:r>
        <w:rPr>
          <w:rFonts w:asciiTheme="minorHAnsi" w:hAnsiTheme="minorHAnsi"/>
        </w:rPr>
        <w:t xml:space="preserve"> and societal risk, that is the risk of fatality or injury </w:t>
      </w:r>
      <w:r w:rsidR="002362D7">
        <w:rPr>
          <w:rFonts w:asciiTheme="minorHAnsi" w:hAnsiTheme="minorHAnsi"/>
        </w:rPr>
        <w:t xml:space="preserve">to other occupants who may have little or no control over the activities or circumstances that lead to fire, but are exposed to its effects. </w:t>
      </w:r>
      <w:r w:rsidR="00DC2468">
        <w:rPr>
          <w:rFonts w:asciiTheme="minorHAnsi" w:hAnsiTheme="minorHAnsi"/>
        </w:rPr>
        <w:t xml:space="preserve">When considering changes to the fire safety </w:t>
      </w:r>
      <w:r w:rsidR="00F129CB">
        <w:rPr>
          <w:rFonts w:asciiTheme="minorHAnsi" w:hAnsiTheme="minorHAnsi"/>
        </w:rPr>
        <w:t xml:space="preserve">provisions </w:t>
      </w:r>
      <w:r w:rsidR="00DC2468">
        <w:rPr>
          <w:rFonts w:asciiTheme="minorHAnsi" w:hAnsiTheme="minorHAnsi"/>
        </w:rPr>
        <w:t>i</w:t>
      </w:r>
      <w:r w:rsidR="00281324">
        <w:rPr>
          <w:rFonts w:asciiTheme="minorHAnsi" w:hAnsiTheme="minorHAnsi"/>
        </w:rPr>
        <w:t>t is necessary to consider how both types of risk will</w:t>
      </w:r>
      <w:r w:rsidR="00DC2468">
        <w:rPr>
          <w:rFonts w:asciiTheme="minorHAnsi" w:hAnsiTheme="minorHAnsi"/>
        </w:rPr>
        <w:t xml:space="preserve"> be impacted. </w:t>
      </w:r>
    </w:p>
    <w:p w:rsidR="001D5C93" w:rsidRDefault="002362D7" w:rsidP="002362D7">
      <w:pPr>
        <w:rPr>
          <w:rFonts w:asciiTheme="minorHAnsi" w:hAnsiTheme="minorHAnsi"/>
        </w:rPr>
      </w:pPr>
      <w:r w:rsidRPr="004639DE">
        <w:rPr>
          <w:rFonts w:asciiTheme="minorHAnsi" w:hAnsiTheme="minorHAnsi"/>
        </w:rPr>
        <w:t xml:space="preserve">A fire safety engineering analysis was undertaken </w:t>
      </w:r>
      <w:r>
        <w:rPr>
          <w:rFonts w:asciiTheme="minorHAnsi" w:hAnsiTheme="minorHAnsi"/>
        </w:rPr>
        <w:t xml:space="preserve">by EFT </w:t>
      </w:r>
      <w:r w:rsidR="002E60D9">
        <w:rPr>
          <w:rFonts w:asciiTheme="minorHAnsi" w:hAnsiTheme="minorHAnsi"/>
        </w:rPr>
        <w:t>C</w:t>
      </w:r>
      <w:r>
        <w:rPr>
          <w:rFonts w:asciiTheme="minorHAnsi" w:hAnsiTheme="minorHAnsi"/>
        </w:rPr>
        <w:t xml:space="preserve">onsulting </w:t>
      </w:r>
      <w:r w:rsidRPr="004639DE">
        <w:rPr>
          <w:rFonts w:asciiTheme="minorHAnsi" w:hAnsiTheme="minorHAnsi"/>
        </w:rPr>
        <w:t>to compare the</w:t>
      </w:r>
      <w:r w:rsidR="00CB3A4C">
        <w:rPr>
          <w:rFonts w:asciiTheme="minorHAnsi" w:hAnsiTheme="minorHAnsi"/>
        </w:rPr>
        <w:t xml:space="preserve"> difference in individual </w:t>
      </w:r>
      <w:r w:rsidRPr="004639DE">
        <w:rPr>
          <w:rFonts w:asciiTheme="minorHAnsi" w:hAnsiTheme="minorHAnsi"/>
        </w:rPr>
        <w:t xml:space="preserve">risk associated with each </w:t>
      </w:r>
      <w:r w:rsidR="00FF7B13">
        <w:rPr>
          <w:rFonts w:asciiTheme="minorHAnsi" w:hAnsiTheme="minorHAnsi"/>
        </w:rPr>
        <w:t xml:space="preserve">proposed </w:t>
      </w:r>
      <w:r w:rsidRPr="004639DE">
        <w:rPr>
          <w:rFonts w:asciiTheme="minorHAnsi" w:hAnsiTheme="minorHAnsi"/>
        </w:rPr>
        <w:t>solution when compared to a</w:t>
      </w:r>
      <w:r>
        <w:rPr>
          <w:rFonts w:asciiTheme="minorHAnsi" w:hAnsiTheme="minorHAnsi"/>
        </w:rPr>
        <w:t xml:space="preserve"> building</w:t>
      </w:r>
      <w:r w:rsidR="00FF7B13">
        <w:rPr>
          <w:rFonts w:asciiTheme="minorHAnsi" w:hAnsiTheme="minorHAnsi"/>
        </w:rPr>
        <w:t xml:space="preserve"> complying with the current DtS Provisions</w:t>
      </w:r>
      <w:r w:rsidR="00C252DE">
        <w:rPr>
          <w:rFonts w:asciiTheme="minorHAnsi" w:hAnsiTheme="minorHAnsi"/>
        </w:rPr>
        <w:t>.</w:t>
      </w:r>
      <w:r>
        <w:rPr>
          <w:rFonts w:asciiTheme="minorHAnsi" w:hAnsiTheme="minorHAnsi"/>
        </w:rPr>
        <w:t xml:space="preserve"> </w:t>
      </w:r>
      <w:r w:rsidR="00C252DE">
        <w:rPr>
          <w:rFonts w:asciiTheme="minorHAnsi" w:hAnsiTheme="minorHAnsi"/>
        </w:rPr>
        <w:t>Th</w:t>
      </w:r>
      <w:r>
        <w:rPr>
          <w:rFonts w:asciiTheme="minorHAnsi" w:hAnsiTheme="minorHAnsi"/>
        </w:rPr>
        <w:t>e results</w:t>
      </w:r>
      <w:r w:rsidR="00FF7B13">
        <w:rPr>
          <w:rFonts w:asciiTheme="minorHAnsi" w:hAnsiTheme="minorHAnsi"/>
        </w:rPr>
        <w:t xml:space="preserve"> of this analysis</w:t>
      </w:r>
      <w:r>
        <w:rPr>
          <w:rFonts w:asciiTheme="minorHAnsi" w:hAnsiTheme="minorHAnsi"/>
        </w:rPr>
        <w:t xml:space="preserve"> are</w:t>
      </w:r>
      <w:r w:rsidRPr="004639DE">
        <w:rPr>
          <w:rFonts w:asciiTheme="minorHAnsi" w:hAnsiTheme="minorHAnsi"/>
        </w:rPr>
        <w:t xml:space="preserve"> shown in </w:t>
      </w:r>
      <w:r w:rsidR="00FF7B13">
        <w:rPr>
          <w:rFonts w:asciiTheme="minorHAnsi" w:hAnsiTheme="minorHAnsi"/>
        </w:rPr>
        <w:t>T</w:t>
      </w:r>
      <w:r w:rsidRPr="004639DE">
        <w:rPr>
          <w:rFonts w:asciiTheme="minorHAnsi" w:hAnsiTheme="minorHAnsi"/>
        </w:rPr>
        <w:t>able</w:t>
      </w:r>
      <w:r w:rsidR="00FF7B13">
        <w:rPr>
          <w:rFonts w:asciiTheme="minorHAnsi" w:hAnsiTheme="minorHAnsi"/>
        </w:rPr>
        <w:t xml:space="preserve"> 1</w:t>
      </w:r>
      <w:r>
        <w:rPr>
          <w:rFonts w:asciiTheme="minorHAnsi" w:hAnsiTheme="minorHAnsi"/>
        </w:rPr>
        <w:t>.</w:t>
      </w:r>
    </w:p>
    <w:p w:rsidR="001D5C93" w:rsidRDefault="001D5C93" w:rsidP="002362D7">
      <w:pPr>
        <w:rPr>
          <w:rFonts w:asciiTheme="minorHAnsi" w:hAnsiTheme="minorHAnsi"/>
        </w:rPr>
      </w:pPr>
      <w:r>
        <w:rPr>
          <w:rFonts w:asciiTheme="minorHAnsi" w:hAnsiTheme="minorHAnsi"/>
        </w:rPr>
        <w:br w:type="page"/>
      </w:r>
    </w:p>
    <w:p w:rsidR="002362D7" w:rsidRDefault="002362D7" w:rsidP="002362D7">
      <w:pPr>
        <w:rPr>
          <w:rFonts w:asciiTheme="minorHAnsi" w:hAnsiTheme="minorHAnsi"/>
        </w:rPr>
      </w:pPr>
      <w:r>
        <w:rPr>
          <w:rFonts w:asciiTheme="minorHAnsi" w:hAnsiTheme="minorHAnsi"/>
        </w:rPr>
        <w:lastRenderedPageBreak/>
        <w:t xml:space="preserve"> </w:t>
      </w:r>
    </w:p>
    <w:p w:rsidR="002362D7" w:rsidRPr="00E71A5B" w:rsidRDefault="002362D7" w:rsidP="001D5C93">
      <w:pPr>
        <w:pStyle w:val="Caption"/>
        <w:keepNext/>
        <w:spacing w:after="0"/>
        <w:jc w:val="center"/>
        <w:rPr>
          <w:rFonts w:asciiTheme="minorHAnsi" w:hAnsiTheme="minorHAnsi"/>
          <w:b w:val="0"/>
          <w:bCs w:val="0"/>
          <w:iCs/>
          <w:color w:val="002060"/>
          <w:sz w:val="24"/>
          <w:szCs w:val="24"/>
        </w:rPr>
      </w:pPr>
      <w:r w:rsidRPr="00E71A5B">
        <w:rPr>
          <w:rFonts w:asciiTheme="minorHAnsi" w:hAnsiTheme="minorHAnsi"/>
          <w:b w:val="0"/>
          <w:bCs w:val="0"/>
          <w:iCs/>
          <w:color w:val="002060"/>
          <w:sz w:val="24"/>
          <w:szCs w:val="24"/>
        </w:rPr>
        <w:t xml:space="preserve">Table </w:t>
      </w:r>
      <w:r w:rsidR="00B44B23">
        <w:rPr>
          <w:rFonts w:asciiTheme="minorHAnsi" w:hAnsiTheme="minorHAnsi"/>
          <w:b w:val="0"/>
          <w:bCs w:val="0"/>
          <w:iCs/>
          <w:color w:val="002060"/>
          <w:sz w:val="24"/>
          <w:szCs w:val="24"/>
        </w:rPr>
        <w:t>1</w:t>
      </w:r>
      <w:r w:rsidRPr="00E71A5B">
        <w:rPr>
          <w:rFonts w:asciiTheme="minorHAnsi" w:hAnsiTheme="minorHAnsi"/>
          <w:b w:val="0"/>
          <w:bCs w:val="0"/>
          <w:iCs/>
          <w:color w:val="002060"/>
          <w:sz w:val="24"/>
          <w:szCs w:val="24"/>
        </w:rPr>
        <w:t>: Comparative</w:t>
      </w:r>
      <w:r>
        <w:rPr>
          <w:rFonts w:asciiTheme="minorHAnsi" w:hAnsiTheme="minorHAnsi"/>
          <w:b w:val="0"/>
          <w:bCs w:val="0"/>
          <w:iCs/>
          <w:color w:val="002060"/>
          <w:sz w:val="24"/>
          <w:szCs w:val="24"/>
        </w:rPr>
        <w:t xml:space="preserve"> individual</w:t>
      </w:r>
      <w:r w:rsidRPr="00E71A5B">
        <w:rPr>
          <w:rFonts w:asciiTheme="minorHAnsi" w:hAnsiTheme="minorHAnsi"/>
          <w:b w:val="0"/>
          <w:bCs w:val="0"/>
          <w:iCs/>
          <w:color w:val="002060"/>
          <w:sz w:val="24"/>
          <w:szCs w:val="24"/>
        </w:rPr>
        <w:t xml:space="preserve"> risk levels per solution</w:t>
      </w:r>
    </w:p>
    <w:tbl>
      <w:tblPr>
        <w:tblStyle w:val="TableGrid"/>
        <w:tblW w:w="9351" w:type="dxa"/>
        <w:jc w:val="center"/>
        <w:tblLook w:val="04A0" w:firstRow="1" w:lastRow="0" w:firstColumn="1" w:lastColumn="0" w:noHBand="0" w:noVBand="1"/>
        <w:tblCaption w:val="Table of Comparative individual risk levels per solution"/>
      </w:tblPr>
      <w:tblGrid>
        <w:gridCol w:w="2716"/>
        <w:gridCol w:w="2099"/>
        <w:gridCol w:w="2268"/>
        <w:gridCol w:w="2268"/>
      </w:tblGrid>
      <w:tr w:rsidR="002362D7" w:rsidRPr="004639DE" w:rsidTr="00C321BA">
        <w:trPr>
          <w:tblHeader/>
          <w:jc w:val="center"/>
        </w:trPr>
        <w:tc>
          <w:tcPr>
            <w:tcW w:w="2716" w:type="dxa"/>
            <w:shd w:val="clear" w:color="auto" w:fill="002060"/>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Solution</w:t>
            </w:r>
          </w:p>
        </w:tc>
        <w:tc>
          <w:tcPr>
            <w:tcW w:w="2099" w:type="dxa"/>
            <w:shd w:val="clear" w:color="auto" w:fill="002060"/>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Risk Level</w:t>
            </w:r>
          </w:p>
        </w:tc>
        <w:tc>
          <w:tcPr>
            <w:tcW w:w="2268" w:type="dxa"/>
            <w:shd w:val="clear" w:color="auto" w:fill="002060"/>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Fatalities per 1</w:t>
            </w:r>
            <w:r w:rsidR="001D5C93">
              <w:rPr>
                <w:rFonts w:asciiTheme="minorHAnsi" w:hAnsiTheme="minorHAnsi"/>
              </w:rPr>
              <w:t>,</w:t>
            </w:r>
            <w:r w:rsidRPr="004639DE">
              <w:rPr>
                <w:rFonts w:asciiTheme="minorHAnsi" w:hAnsiTheme="minorHAnsi"/>
              </w:rPr>
              <w:t>000 Fire Starts</w:t>
            </w:r>
          </w:p>
        </w:tc>
        <w:tc>
          <w:tcPr>
            <w:tcW w:w="2268" w:type="dxa"/>
            <w:shd w:val="clear" w:color="auto" w:fill="002060"/>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Reduction in Risk Level (Percentage)</w:t>
            </w:r>
          </w:p>
        </w:tc>
      </w:tr>
      <w:tr w:rsidR="002362D7" w:rsidRPr="004639DE" w:rsidTr="00C321BA">
        <w:trPr>
          <w:jc w:val="center"/>
        </w:trPr>
        <w:tc>
          <w:tcPr>
            <w:tcW w:w="2716" w:type="dxa"/>
          </w:tcPr>
          <w:p w:rsidR="002362D7" w:rsidRPr="004639DE" w:rsidRDefault="002362D7" w:rsidP="001D5C93">
            <w:pPr>
              <w:spacing w:before="120" w:after="120"/>
              <w:jc w:val="center"/>
              <w:rPr>
                <w:rFonts w:asciiTheme="minorHAnsi" w:hAnsiTheme="minorHAnsi"/>
              </w:rPr>
            </w:pPr>
            <w:r w:rsidRPr="004639DE">
              <w:rPr>
                <w:rFonts w:asciiTheme="minorHAnsi" w:hAnsiTheme="minorHAnsi"/>
              </w:rPr>
              <w:t xml:space="preserve">Current DtS </w:t>
            </w:r>
            <w:r w:rsidR="00D5005E">
              <w:rPr>
                <w:rFonts w:asciiTheme="minorHAnsi" w:hAnsiTheme="minorHAnsi"/>
              </w:rPr>
              <w:t>Provisions</w:t>
            </w:r>
          </w:p>
        </w:tc>
        <w:tc>
          <w:tcPr>
            <w:tcW w:w="2099"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3.9 x 10</w:t>
            </w:r>
            <w:r w:rsidRPr="004639DE">
              <w:rPr>
                <w:rFonts w:asciiTheme="minorHAnsi" w:hAnsiTheme="minorHAnsi"/>
                <w:vertAlign w:val="superscript"/>
              </w:rPr>
              <w:t>-6</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3.9</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w:t>
            </w:r>
          </w:p>
        </w:tc>
      </w:tr>
      <w:tr w:rsidR="002362D7" w:rsidRPr="004639DE" w:rsidTr="00C321BA">
        <w:trPr>
          <w:jc w:val="center"/>
        </w:trPr>
        <w:tc>
          <w:tcPr>
            <w:tcW w:w="2716"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FPAA 101D Sprinkler System Design and Installation – Domestic Water Supply</w:t>
            </w:r>
          </w:p>
        </w:tc>
        <w:tc>
          <w:tcPr>
            <w:tcW w:w="2099"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1.3 x 10</w:t>
            </w:r>
            <w:r w:rsidRPr="004639DE">
              <w:rPr>
                <w:rFonts w:asciiTheme="minorHAnsi" w:hAnsiTheme="minorHAnsi"/>
                <w:vertAlign w:val="superscript"/>
              </w:rPr>
              <w:t xml:space="preserve">-6 </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1.3</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67%</w:t>
            </w:r>
          </w:p>
        </w:tc>
      </w:tr>
      <w:tr w:rsidR="002362D7" w:rsidRPr="004639DE" w:rsidTr="00C321BA">
        <w:trPr>
          <w:jc w:val="center"/>
        </w:trPr>
        <w:tc>
          <w:tcPr>
            <w:tcW w:w="2716"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FPAA 101H Sprinkler System Design and Installation – Hydrant Water Supply</w:t>
            </w:r>
          </w:p>
        </w:tc>
        <w:tc>
          <w:tcPr>
            <w:tcW w:w="2099"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1.1 x 10</w:t>
            </w:r>
            <w:r w:rsidRPr="004639DE">
              <w:rPr>
                <w:rFonts w:asciiTheme="minorHAnsi" w:hAnsiTheme="minorHAnsi"/>
                <w:vertAlign w:val="superscript"/>
              </w:rPr>
              <w:t>-6</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1.1</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72%</w:t>
            </w:r>
          </w:p>
        </w:tc>
      </w:tr>
      <w:tr w:rsidR="002362D7" w:rsidRPr="004639DE" w:rsidTr="00C321BA">
        <w:trPr>
          <w:jc w:val="center"/>
        </w:trPr>
        <w:tc>
          <w:tcPr>
            <w:tcW w:w="2716" w:type="dxa"/>
          </w:tcPr>
          <w:p w:rsidR="002362D7" w:rsidRPr="004639DE" w:rsidRDefault="002362D7" w:rsidP="00664BD0">
            <w:pPr>
              <w:spacing w:before="120" w:after="120"/>
              <w:jc w:val="center"/>
              <w:rPr>
                <w:rFonts w:asciiTheme="minorHAnsi" w:hAnsiTheme="minorHAnsi"/>
              </w:rPr>
            </w:pPr>
            <w:r>
              <w:rPr>
                <w:rFonts w:asciiTheme="minorHAnsi" w:hAnsiTheme="minorHAnsi"/>
              </w:rPr>
              <w:t xml:space="preserve">AS 2118.1 </w:t>
            </w:r>
            <w:r w:rsidRPr="004639DE">
              <w:rPr>
                <w:rFonts w:asciiTheme="minorHAnsi" w:hAnsiTheme="minorHAnsi"/>
              </w:rPr>
              <w:t>Sprinkler System Design and Installation</w:t>
            </w:r>
          </w:p>
        </w:tc>
        <w:tc>
          <w:tcPr>
            <w:tcW w:w="2099"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1.1 x 10</w:t>
            </w:r>
            <w:r w:rsidR="002E1A12" w:rsidRPr="004639DE">
              <w:rPr>
                <w:rFonts w:asciiTheme="minorHAnsi" w:hAnsiTheme="minorHAnsi"/>
                <w:vertAlign w:val="superscript"/>
              </w:rPr>
              <w:t>-6</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1.1</w:t>
            </w:r>
          </w:p>
        </w:tc>
        <w:tc>
          <w:tcPr>
            <w:tcW w:w="2268" w:type="dxa"/>
          </w:tcPr>
          <w:p w:rsidR="002362D7" w:rsidRPr="004639DE" w:rsidRDefault="002362D7" w:rsidP="00664BD0">
            <w:pPr>
              <w:spacing w:before="120" w:after="120"/>
              <w:jc w:val="center"/>
              <w:rPr>
                <w:rFonts w:asciiTheme="minorHAnsi" w:hAnsiTheme="minorHAnsi"/>
              </w:rPr>
            </w:pPr>
            <w:r w:rsidRPr="004639DE">
              <w:rPr>
                <w:rFonts w:asciiTheme="minorHAnsi" w:hAnsiTheme="minorHAnsi"/>
              </w:rPr>
              <w:t>72%</w:t>
            </w:r>
          </w:p>
        </w:tc>
      </w:tr>
    </w:tbl>
    <w:p w:rsidR="00391590" w:rsidRDefault="00391590" w:rsidP="00C321BA">
      <w:pPr>
        <w:jc w:val="center"/>
        <w:rPr>
          <w:rFonts w:asciiTheme="minorHAnsi" w:hAnsiTheme="minorHAnsi"/>
        </w:rPr>
      </w:pPr>
      <w:r>
        <w:rPr>
          <w:rFonts w:asciiTheme="minorHAnsi" w:hAnsiTheme="minorHAnsi"/>
        </w:rPr>
        <w:t>Source: EFT Consulting</w:t>
      </w:r>
      <w:r w:rsidR="00972421">
        <w:rPr>
          <w:rFonts w:asciiTheme="minorHAnsi" w:hAnsiTheme="minorHAnsi"/>
        </w:rPr>
        <w:t xml:space="preserve"> (2016).</w:t>
      </w:r>
    </w:p>
    <w:p w:rsidR="00CB3A4C" w:rsidRDefault="001F5B48" w:rsidP="00391590">
      <w:pPr>
        <w:rPr>
          <w:rFonts w:asciiTheme="minorHAnsi" w:hAnsiTheme="minorHAnsi"/>
        </w:rPr>
      </w:pPr>
      <w:r>
        <w:rPr>
          <w:rFonts w:asciiTheme="minorHAnsi" w:hAnsiTheme="minorHAnsi"/>
        </w:rPr>
        <w:t>The current risk to life is estimated to be 3.9 fatalities per 1</w:t>
      </w:r>
      <w:r w:rsidR="001D5C93">
        <w:rPr>
          <w:rFonts w:asciiTheme="minorHAnsi" w:hAnsiTheme="minorHAnsi"/>
        </w:rPr>
        <w:t>,</w:t>
      </w:r>
      <w:r>
        <w:rPr>
          <w:rFonts w:asciiTheme="minorHAnsi" w:hAnsiTheme="minorHAnsi"/>
        </w:rPr>
        <w:t xml:space="preserve">000 fire starts. </w:t>
      </w:r>
      <w:r w:rsidR="002362D7" w:rsidRPr="00C94057">
        <w:rPr>
          <w:rFonts w:asciiTheme="minorHAnsi" w:hAnsiTheme="minorHAnsi"/>
        </w:rPr>
        <w:t xml:space="preserve">As demonstrated by </w:t>
      </w:r>
      <w:r w:rsidR="00FF7B13">
        <w:rPr>
          <w:rFonts w:asciiTheme="minorHAnsi" w:hAnsiTheme="minorHAnsi"/>
        </w:rPr>
        <w:t>the fire safety engineering analysis</w:t>
      </w:r>
      <w:r w:rsidR="002362D7" w:rsidRPr="00C94057">
        <w:rPr>
          <w:rFonts w:asciiTheme="minorHAnsi" w:hAnsiTheme="minorHAnsi"/>
        </w:rPr>
        <w:t>, the effectiveness of fire sprinklers</w:t>
      </w:r>
      <w:r w:rsidR="00D5005E">
        <w:rPr>
          <w:rFonts w:asciiTheme="minorHAnsi" w:hAnsiTheme="minorHAnsi"/>
        </w:rPr>
        <w:t xml:space="preserve"> in</w:t>
      </w:r>
      <w:r w:rsidR="002362D7" w:rsidRPr="00C94057">
        <w:rPr>
          <w:rFonts w:asciiTheme="minorHAnsi" w:hAnsiTheme="minorHAnsi"/>
        </w:rPr>
        <w:t xml:space="preserve"> reducing </w:t>
      </w:r>
      <w:r w:rsidR="002362D7">
        <w:rPr>
          <w:rFonts w:asciiTheme="minorHAnsi" w:hAnsiTheme="minorHAnsi"/>
        </w:rPr>
        <w:t xml:space="preserve">individual risk </w:t>
      </w:r>
      <w:r w:rsidR="002362D7" w:rsidRPr="00C94057">
        <w:rPr>
          <w:rFonts w:asciiTheme="minorHAnsi" w:hAnsiTheme="minorHAnsi"/>
        </w:rPr>
        <w:t xml:space="preserve">is estimated to range from 67% and 72% depending on the adopted system. </w:t>
      </w:r>
      <w:r w:rsidR="002362D7">
        <w:rPr>
          <w:rFonts w:asciiTheme="minorHAnsi" w:hAnsiTheme="minorHAnsi"/>
        </w:rPr>
        <w:t xml:space="preserve">In this regard, </w:t>
      </w:r>
      <w:r w:rsidR="00B73A5F">
        <w:rPr>
          <w:rFonts w:asciiTheme="minorHAnsi" w:hAnsiTheme="minorHAnsi"/>
        </w:rPr>
        <w:t xml:space="preserve">fire sprinklers </w:t>
      </w:r>
      <w:r w:rsidR="002362D7">
        <w:rPr>
          <w:rFonts w:asciiTheme="minorHAnsi" w:hAnsiTheme="minorHAnsi"/>
        </w:rPr>
        <w:t xml:space="preserve">demonstrate a high degree of effectiveness in reducing individual risk when compared with the current DtS </w:t>
      </w:r>
      <w:r w:rsidR="00D5005E">
        <w:rPr>
          <w:rFonts w:asciiTheme="minorHAnsi" w:hAnsiTheme="minorHAnsi"/>
        </w:rPr>
        <w:t>P</w:t>
      </w:r>
      <w:r w:rsidR="002362D7">
        <w:rPr>
          <w:rFonts w:asciiTheme="minorHAnsi" w:hAnsiTheme="minorHAnsi"/>
        </w:rPr>
        <w:t xml:space="preserve">rovisions. </w:t>
      </w:r>
    </w:p>
    <w:p w:rsidR="00BB75E5" w:rsidRDefault="00BB75E5" w:rsidP="00035417">
      <w:pPr>
        <w:rPr>
          <w:rFonts w:asciiTheme="minorHAnsi" w:hAnsiTheme="minorHAnsi"/>
        </w:rPr>
      </w:pPr>
      <w:r>
        <w:rPr>
          <w:rFonts w:asciiTheme="minorHAnsi" w:hAnsiTheme="minorHAnsi"/>
        </w:rPr>
        <w:t xml:space="preserve">Societal risk is less examinable, due to the </w:t>
      </w:r>
      <w:r w:rsidR="000E62D9">
        <w:rPr>
          <w:rFonts w:asciiTheme="minorHAnsi" w:hAnsiTheme="minorHAnsi"/>
        </w:rPr>
        <w:t xml:space="preserve">rarity of multi-fatality events, however </w:t>
      </w:r>
      <w:r w:rsidR="004C7BCE">
        <w:rPr>
          <w:rFonts w:asciiTheme="minorHAnsi" w:hAnsiTheme="minorHAnsi"/>
        </w:rPr>
        <w:t>it has</w:t>
      </w:r>
      <w:r w:rsidR="000E62D9">
        <w:rPr>
          <w:rFonts w:asciiTheme="minorHAnsi" w:hAnsiTheme="minorHAnsi"/>
        </w:rPr>
        <w:t xml:space="preserve"> been established </w:t>
      </w:r>
      <w:r w:rsidR="00391590">
        <w:rPr>
          <w:rFonts w:asciiTheme="minorHAnsi" w:hAnsiTheme="minorHAnsi"/>
        </w:rPr>
        <w:t xml:space="preserve">through engineering analysis </w:t>
      </w:r>
      <w:r w:rsidR="003F149D">
        <w:rPr>
          <w:rFonts w:asciiTheme="minorHAnsi" w:hAnsiTheme="minorHAnsi"/>
        </w:rPr>
        <w:t>using</w:t>
      </w:r>
      <w:r w:rsidR="00391590">
        <w:rPr>
          <w:rFonts w:asciiTheme="minorHAnsi" w:hAnsiTheme="minorHAnsi"/>
        </w:rPr>
        <w:t xml:space="preserve"> </w:t>
      </w:r>
      <w:r w:rsidR="00627071">
        <w:rPr>
          <w:rFonts w:asciiTheme="minorHAnsi" w:hAnsiTheme="minorHAnsi"/>
        </w:rPr>
        <w:t>boundaries defined in</w:t>
      </w:r>
      <w:r w:rsidR="00391590">
        <w:rPr>
          <w:rFonts w:asciiTheme="minorHAnsi" w:hAnsiTheme="minorHAnsi"/>
        </w:rPr>
        <w:t xml:space="preserve"> land use planning criteria</w:t>
      </w:r>
      <w:r w:rsidR="00CC1A9D">
        <w:rPr>
          <w:rFonts w:asciiTheme="minorHAnsi" w:hAnsiTheme="minorHAnsi"/>
        </w:rPr>
        <w:t xml:space="preserve"> as within tolerable bounds</w:t>
      </w:r>
      <w:r w:rsidR="00710F4D">
        <w:rPr>
          <w:rStyle w:val="FootnoteReference"/>
          <w:rFonts w:asciiTheme="minorHAnsi" w:hAnsiTheme="minorHAnsi"/>
        </w:rPr>
        <w:footnoteReference w:id="8"/>
      </w:r>
      <w:r w:rsidR="00391590">
        <w:rPr>
          <w:rFonts w:asciiTheme="minorHAnsi" w:hAnsiTheme="minorHAnsi"/>
        </w:rPr>
        <w:t xml:space="preserve">. </w:t>
      </w:r>
      <w:r w:rsidR="004C7BCE">
        <w:rPr>
          <w:rFonts w:asciiTheme="minorHAnsi" w:hAnsiTheme="minorHAnsi"/>
        </w:rPr>
        <w:t>The unintended consequences section of th</w:t>
      </w:r>
      <w:r w:rsidR="00FF7B13">
        <w:rPr>
          <w:rFonts w:asciiTheme="minorHAnsi" w:hAnsiTheme="minorHAnsi"/>
        </w:rPr>
        <w:t xml:space="preserve">is </w:t>
      </w:r>
      <w:r w:rsidR="008401C5">
        <w:rPr>
          <w:rFonts w:asciiTheme="minorHAnsi" w:hAnsiTheme="minorHAnsi"/>
        </w:rPr>
        <w:t xml:space="preserve">Final </w:t>
      </w:r>
      <w:r w:rsidR="00FF7B13">
        <w:rPr>
          <w:rFonts w:asciiTheme="minorHAnsi" w:hAnsiTheme="minorHAnsi"/>
        </w:rPr>
        <w:t>RIS</w:t>
      </w:r>
      <w:r w:rsidR="00B07CF5">
        <w:rPr>
          <w:rFonts w:asciiTheme="minorHAnsi" w:hAnsiTheme="minorHAnsi"/>
        </w:rPr>
        <w:t xml:space="preserve"> further</w:t>
      </w:r>
      <w:r w:rsidR="004C7BCE">
        <w:rPr>
          <w:rFonts w:asciiTheme="minorHAnsi" w:hAnsiTheme="minorHAnsi"/>
        </w:rPr>
        <w:t xml:space="preserve"> discusses the impacts </w:t>
      </w:r>
      <w:r w:rsidR="00FF7B13">
        <w:rPr>
          <w:rFonts w:asciiTheme="minorHAnsi" w:hAnsiTheme="minorHAnsi"/>
        </w:rPr>
        <w:t xml:space="preserve">of the proposed solutions </w:t>
      </w:r>
      <w:r w:rsidR="004C7BCE">
        <w:rPr>
          <w:rFonts w:asciiTheme="minorHAnsi" w:hAnsiTheme="minorHAnsi"/>
        </w:rPr>
        <w:t xml:space="preserve">on societal risk. </w:t>
      </w:r>
    </w:p>
    <w:p w:rsidR="000E6ED6" w:rsidRPr="00785EF6" w:rsidRDefault="000E6ED6" w:rsidP="00785EF6">
      <w:pPr>
        <w:pStyle w:val="Heading3"/>
        <w:spacing w:before="240"/>
        <w:rPr>
          <w:rFonts w:eastAsia="Times New Roman"/>
          <w:lang w:eastAsia="en-AU"/>
        </w:rPr>
      </w:pPr>
      <w:r w:rsidRPr="00785EF6">
        <w:rPr>
          <w:rFonts w:eastAsia="Times New Roman"/>
          <w:lang w:eastAsia="en-AU"/>
        </w:rPr>
        <w:t>Rate of Fire in Residential Apartment Buildings</w:t>
      </w:r>
    </w:p>
    <w:p w:rsidR="000E6ED6" w:rsidRDefault="00213011" w:rsidP="0003376D">
      <w:pPr>
        <w:rPr>
          <w:rFonts w:asciiTheme="minorHAnsi" w:hAnsiTheme="minorHAnsi"/>
        </w:rPr>
      </w:pPr>
      <w:r w:rsidRPr="002A3F98">
        <w:rPr>
          <w:rFonts w:asciiTheme="minorHAnsi" w:hAnsiTheme="minorHAnsi"/>
        </w:rPr>
        <w:t>The rate of fire</w:t>
      </w:r>
      <w:r w:rsidR="00FF7B13">
        <w:rPr>
          <w:rFonts w:asciiTheme="minorHAnsi" w:hAnsiTheme="minorHAnsi"/>
        </w:rPr>
        <w:t xml:space="preserve"> </w:t>
      </w:r>
      <w:r w:rsidRPr="002A3F98">
        <w:rPr>
          <w:rFonts w:asciiTheme="minorHAnsi" w:hAnsiTheme="minorHAnsi"/>
        </w:rPr>
        <w:t>in residential buildings is known with some certainty</w:t>
      </w:r>
      <w:r w:rsidR="00B46210" w:rsidRPr="002A3F98">
        <w:rPr>
          <w:rFonts w:asciiTheme="minorHAnsi" w:hAnsiTheme="minorHAnsi"/>
        </w:rPr>
        <w:t>. The R</w:t>
      </w:r>
      <w:r w:rsidRPr="002A3F98">
        <w:rPr>
          <w:rFonts w:asciiTheme="minorHAnsi" w:hAnsiTheme="minorHAnsi"/>
        </w:rPr>
        <w:t xml:space="preserve">eport on </w:t>
      </w:r>
      <w:r w:rsidR="00AF3A78">
        <w:rPr>
          <w:rFonts w:asciiTheme="minorHAnsi" w:hAnsiTheme="minorHAnsi"/>
        </w:rPr>
        <w:t>G</w:t>
      </w:r>
      <w:r w:rsidRPr="002A3F98">
        <w:rPr>
          <w:rFonts w:asciiTheme="minorHAnsi" w:hAnsiTheme="minorHAnsi"/>
        </w:rPr>
        <w:t xml:space="preserve">overnment </w:t>
      </w:r>
      <w:r w:rsidR="00AF3A78">
        <w:rPr>
          <w:rFonts w:asciiTheme="minorHAnsi" w:hAnsiTheme="minorHAnsi"/>
        </w:rPr>
        <w:t>S</w:t>
      </w:r>
      <w:r w:rsidRPr="002A3F98">
        <w:rPr>
          <w:rFonts w:asciiTheme="minorHAnsi" w:hAnsiTheme="minorHAnsi"/>
        </w:rPr>
        <w:t>ervices</w:t>
      </w:r>
      <w:r w:rsidR="00B46210" w:rsidRPr="002A3F98">
        <w:rPr>
          <w:rFonts w:asciiTheme="minorHAnsi" w:hAnsiTheme="minorHAnsi"/>
        </w:rPr>
        <w:t xml:space="preserve"> shows approximately </w:t>
      </w:r>
      <w:r w:rsidR="00391590">
        <w:rPr>
          <w:rFonts w:asciiTheme="minorHAnsi" w:hAnsiTheme="minorHAnsi"/>
        </w:rPr>
        <w:t>0.9 fires per 1</w:t>
      </w:r>
      <w:r w:rsidR="001D5C93">
        <w:rPr>
          <w:rFonts w:asciiTheme="minorHAnsi" w:hAnsiTheme="minorHAnsi"/>
        </w:rPr>
        <w:t>,</w:t>
      </w:r>
      <w:r w:rsidR="00391590">
        <w:rPr>
          <w:rFonts w:asciiTheme="minorHAnsi" w:hAnsiTheme="minorHAnsi"/>
        </w:rPr>
        <w:t>000 households</w:t>
      </w:r>
      <w:r w:rsidR="00B46210" w:rsidRPr="00664BD0">
        <w:rPr>
          <w:rFonts w:asciiTheme="minorHAnsi" w:hAnsiTheme="minorHAnsi"/>
          <w:vertAlign w:val="superscript"/>
        </w:rPr>
        <w:footnoteReference w:id="9"/>
      </w:r>
      <w:r w:rsidRPr="002A3F98">
        <w:rPr>
          <w:rFonts w:asciiTheme="minorHAnsi" w:hAnsiTheme="minorHAnsi"/>
        </w:rPr>
        <w:t>.</w:t>
      </w:r>
      <w:r w:rsidR="00B46210" w:rsidRPr="002A3F98">
        <w:rPr>
          <w:rFonts w:asciiTheme="minorHAnsi" w:hAnsiTheme="minorHAnsi"/>
        </w:rPr>
        <w:t xml:space="preserve"> </w:t>
      </w:r>
      <w:r w:rsidR="001E18B0">
        <w:rPr>
          <w:rFonts w:asciiTheme="minorHAnsi" w:hAnsiTheme="minorHAnsi"/>
        </w:rPr>
        <w:t xml:space="preserve">A </w:t>
      </w:r>
      <w:r w:rsidR="00B46210" w:rsidRPr="002A3F98">
        <w:rPr>
          <w:rFonts w:asciiTheme="minorHAnsi" w:hAnsiTheme="minorHAnsi"/>
        </w:rPr>
        <w:t xml:space="preserve">more detailed analysis </w:t>
      </w:r>
      <w:r w:rsidR="001E18B0">
        <w:rPr>
          <w:rFonts w:asciiTheme="minorHAnsi" w:hAnsiTheme="minorHAnsi"/>
        </w:rPr>
        <w:t xml:space="preserve">undertaken by EFT </w:t>
      </w:r>
      <w:r w:rsidR="002E60D9">
        <w:rPr>
          <w:rFonts w:asciiTheme="minorHAnsi" w:hAnsiTheme="minorHAnsi"/>
        </w:rPr>
        <w:t>C</w:t>
      </w:r>
      <w:r w:rsidR="001E18B0">
        <w:rPr>
          <w:rFonts w:asciiTheme="minorHAnsi" w:hAnsiTheme="minorHAnsi"/>
        </w:rPr>
        <w:t xml:space="preserve">onsulting </w:t>
      </w:r>
      <w:r w:rsidR="00B46210" w:rsidRPr="002A3F98">
        <w:rPr>
          <w:rFonts w:asciiTheme="minorHAnsi" w:hAnsiTheme="minorHAnsi"/>
        </w:rPr>
        <w:t xml:space="preserve">suggests apartment fires represent </w:t>
      </w:r>
      <w:r w:rsidR="004F2DC7">
        <w:rPr>
          <w:rFonts w:asciiTheme="minorHAnsi" w:hAnsiTheme="minorHAnsi"/>
        </w:rPr>
        <w:t>2.6 fires per 1</w:t>
      </w:r>
      <w:r w:rsidR="001D5C93">
        <w:rPr>
          <w:rFonts w:asciiTheme="minorHAnsi" w:hAnsiTheme="minorHAnsi"/>
        </w:rPr>
        <w:t>,</w:t>
      </w:r>
      <w:r w:rsidR="004F2DC7">
        <w:rPr>
          <w:rFonts w:asciiTheme="minorHAnsi" w:hAnsiTheme="minorHAnsi"/>
        </w:rPr>
        <w:t>000 households</w:t>
      </w:r>
      <w:r w:rsidR="007308B3" w:rsidRPr="008B7F8B">
        <w:rPr>
          <w:rFonts w:asciiTheme="minorHAnsi" w:hAnsiTheme="minorHAnsi"/>
          <w:vertAlign w:val="superscript"/>
        </w:rPr>
        <w:footnoteReference w:id="10"/>
      </w:r>
      <w:r w:rsidR="00B46210" w:rsidRPr="002A3F98">
        <w:rPr>
          <w:rFonts w:asciiTheme="minorHAnsi" w:hAnsiTheme="minorHAnsi"/>
        </w:rPr>
        <w:t>.</w:t>
      </w:r>
      <w:r w:rsidR="007308B3" w:rsidRPr="002A3F98">
        <w:rPr>
          <w:rFonts w:asciiTheme="minorHAnsi" w:hAnsiTheme="minorHAnsi"/>
        </w:rPr>
        <w:t xml:space="preserve"> Noting there has been a downward trend in fire starts in recent years, a mid-point of 1.</w:t>
      </w:r>
      <w:r w:rsidR="004F2DC7">
        <w:rPr>
          <w:rFonts w:asciiTheme="minorHAnsi" w:hAnsiTheme="minorHAnsi"/>
        </w:rPr>
        <w:t>75</w:t>
      </w:r>
      <w:r w:rsidR="004F2DC7" w:rsidRPr="002A3F98">
        <w:rPr>
          <w:rFonts w:asciiTheme="minorHAnsi" w:hAnsiTheme="minorHAnsi"/>
        </w:rPr>
        <w:t xml:space="preserve"> </w:t>
      </w:r>
      <w:r w:rsidR="007308B3">
        <w:rPr>
          <w:rFonts w:asciiTheme="minorHAnsi" w:hAnsiTheme="minorHAnsi"/>
        </w:rPr>
        <w:t xml:space="preserve">apartment </w:t>
      </w:r>
      <w:r w:rsidR="007308B3" w:rsidRPr="002A3F98">
        <w:rPr>
          <w:rFonts w:asciiTheme="minorHAnsi" w:hAnsiTheme="minorHAnsi"/>
        </w:rPr>
        <w:t>fires</w:t>
      </w:r>
      <w:r w:rsidR="0078659F">
        <w:rPr>
          <w:rFonts w:asciiTheme="minorHAnsi" w:hAnsiTheme="minorHAnsi"/>
        </w:rPr>
        <w:t xml:space="preserve"> per 1</w:t>
      </w:r>
      <w:r w:rsidR="001D5C93">
        <w:rPr>
          <w:rFonts w:asciiTheme="minorHAnsi" w:hAnsiTheme="minorHAnsi"/>
        </w:rPr>
        <w:t>,</w:t>
      </w:r>
      <w:r w:rsidR="0078659F">
        <w:rPr>
          <w:rFonts w:asciiTheme="minorHAnsi" w:hAnsiTheme="minorHAnsi"/>
        </w:rPr>
        <w:t xml:space="preserve">000 </w:t>
      </w:r>
      <w:r w:rsidR="00570004">
        <w:rPr>
          <w:rFonts w:asciiTheme="minorHAnsi" w:hAnsiTheme="minorHAnsi"/>
        </w:rPr>
        <w:t>sole occupancy units</w:t>
      </w:r>
      <w:r w:rsidR="00A85536">
        <w:rPr>
          <w:rFonts w:asciiTheme="minorHAnsi" w:hAnsiTheme="minorHAnsi"/>
        </w:rPr>
        <w:t xml:space="preserve"> </w:t>
      </w:r>
      <w:r w:rsidR="008B7F8B">
        <w:rPr>
          <w:rFonts w:asciiTheme="minorHAnsi" w:hAnsiTheme="minorHAnsi"/>
        </w:rPr>
        <w:t>per</w:t>
      </w:r>
      <w:r w:rsidR="007308B3" w:rsidRPr="002A3F98">
        <w:rPr>
          <w:rFonts w:asciiTheme="minorHAnsi" w:hAnsiTheme="minorHAnsi"/>
        </w:rPr>
        <w:t xml:space="preserve"> annum </w:t>
      </w:r>
      <w:r w:rsidR="001D35C5">
        <w:rPr>
          <w:rFonts w:asciiTheme="minorHAnsi" w:hAnsiTheme="minorHAnsi"/>
        </w:rPr>
        <w:t xml:space="preserve">is </w:t>
      </w:r>
      <w:r w:rsidR="004F2DC7">
        <w:rPr>
          <w:rFonts w:asciiTheme="minorHAnsi" w:hAnsiTheme="minorHAnsi"/>
        </w:rPr>
        <w:t>assumed</w:t>
      </w:r>
      <w:r w:rsidR="007308B3" w:rsidRPr="002A3F98">
        <w:rPr>
          <w:rFonts w:asciiTheme="minorHAnsi" w:hAnsiTheme="minorHAnsi"/>
        </w:rPr>
        <w:t>.</w:t>
      </w:r>
    </w:p>
    <w:p w:rsidR="00DD08D1" w:rsidRDefault="0078659F" w:rsidP="009D1647">
      <w:pPr>
        <w:spacing w:before="120"/>
        <w:rPr>
          <w:rFonts w:asciiTheme="minorHAnsi" w:hAnsiTheme="minorHAnsi"/>
        </w:rPr>
      </w:pPr>
      <w:r>
        <w:rPr>
          <w:rFonts w:asciiTheme="minorHAnsi" w:hAnsiTheme="minorHAnsi"/>
        </w:rPr>
        <w:lastRenderedPageBreak/>
        <w:t>The rate of fire</w:t>
      </w:r>
      <w:r w:rsidR="00D04E2E">
        <w:rPr>
          <w:rFonts w:asciiTheme="minorHAnsi" w:hAnsiTheme="minorHAnsi"/>
        </w:rPr>
        <w:t xml:space="preserve"> </w:t>
      </w:r>
      <w:r>
        <w:rPr>
          <w:rFonts w:asciiTheme="minorHAnsi" w:hAnsiTheme="minorHAnsi"/>
        </w:rPr>
        <w:t>in other multi-storey residential buildings (Class 3 buildings) is slightly less</w:t>
      </w:r>
      <w:r w:rsidR="00570004">
        <w:rPr>
          <w:rFonts w:asciiTheme="minorHAnsi" w:hAnsiTheme="minorHAnsi"/>
        </w:rPr>
        <w:t xml:space="preserve"> at a frequency of 0.9 fire starts per 1</w:t>
      </w:r>
      <w:r w:rsidR="001D5C93">
        <w:rPr>
          <w:rFonts w:asciiTheme="minorHAnsi" w:hAnsiTheme="minorHAnsi"/>
        </w:rPr>
        <w:t>,</w:t>
      </w:r>
      <w:r w:rsidR="00570004">
        <w:rPr>
          <w:rFonts w:asciiTheme="minorHAnsi" w:hAnsiTheme="minorHAnsi"/>
        </w:rPr>
        <w:t>000 sole-occupancy units</w:t>
      </w:r>
      <w:r w:rsidR="00D04E2E">
        <w:rPr>
          <w:rFonts w:asciiTheme="minorHAnsi" w:hAnsiTheme="minorHAnsi"/>
        </w:rPr>
        <w:t>, b</w:t>
      </w:r>
      <w:r w:rsidR="00305C1A">
        <w:rPr>
          <w:rFonts w:asciiTheme="minorHAnsi" w:hAnsiTheme="minorHAnsi"/>
        </w:rPr>
        <w:t xml:space="preserve">ased on an examination of statistics </w:t>
      </w:r>
      <w:r w:rsidR="00005855">
        <w:rPr>
          <w:rFonts w:asciiTheme="minorHAnsi" w:hAnsiTheme="minorHAnsi"/>
        </w:rPr>
        <w:t xml:space="preserve">from the United States </w:t>
      </w:r>
      <w:r w:rsidR="00305C1A">
        <w:rPr>
          <w:rFonts w:asciiTheme="minorHAnsi" w:hAnsiTheme="minorHAnsi"/>
        </w:rPr>
        <w:t>of 39,874 fires</w:t>
      </w:r>
      <w:r w:rsidR="00D722AF">
        <w:rPr>
          <w:rFonts w:asciiTheme="minorHAnsi" w:hAnsiTheme="minorHAnsi"/>
        </w:rPr>
        <w:t xml:space="preserve"> for the Fire Code Reform Centre</w:t>
      </w:r>
      <w:r w:rsidR="00305C1A">
        <w:rPr>
          <w:rFonts w:asciiTheme="minorHAnsi" w:hAnsiTheme="minorHAnsi"/>
        </w:rPr>
        <w:t>.</w:t>
      </w:r>
      <w:r w:rsidR="00DD08D1">
        <w:rPr>
          <w:rStyle w:val="FootnoteReference"/>
          <w:rFonts w:asciiTheme="minorHAnsi" w:hAnsiTheme="minorHAnsi"/>
        </w:rPr>
        <w:footnoteReference w:id="11"/>
      </w:r>
    </w:p>
    <w:p w:rsidR="004E29E2" w:rsidRDefault="00686FFD" w:rsidP="00930AB2">
      <w:pPr>
        <w:pStyle w:val="Heading4"/>
      </w:pPr>
      <w:r>
        <w:t xml:space="preserve">Current </w:t>
      </w:r>
      <w:r w:rsidR="00915CA4">
        <w:t>F</w:t>
      </w:r>
      <w:r w:rsidR="00E92740">
        <w:t xml:space="preserve">atality Rate </w:t>
      </w:r>
      <w:r w:rsidR="008D1131">
        <w:t>from</w:t>
      </w:r>
      <w:r w:rsidR="00E92740">
        <w:t xml:space="preserve"> F</w:t>
      </w:r>
      <w:r w:rsidR="00915CA4">
        <w:t xml:space="preserve">ire </w:t>
      </w:r>
    </w:p>
    <w:p w:rsidR="00F324B6" w:rsidRDefault="00F324B6" w:rsidP="0003376D">
      <w:pPr>
        <w:spacing w:after="240"/>
        <w:rPr>
          <w:rFonts w:asciiTheme="minorHAnsi" w:hAnsiTheme="minorHAnsi"/>
        </w:rPr>
      </w:pPr>
      <w:r>
        <w:rPr>
          <w:rFonts w:asciiTheme="minorHAnsi" w:hAnsiTheme="minorHAnsi"/>
        </w:rPr>
        <w:t xml:space="preserve">The extent of the problem </w:t>
      </w:r>
      <w:r w:rsidR="005A2DA2">
        <w:rPr>
          <w:rFonts w:asciiTheme="minorHAnsi" w:hAnsiTheme="minorHAnsi"/>
        </w:rPr>
        <w:t xml:space="preserve">is </w:t>
      </w:r>
      <w:r>
        <w:rPr>
          <w:rFonts w:asciiTheme="minorHAnsi" w:hAnsiTheme="minorHAnsi"/>
        </w:rPr>
        <w:t xml:space="preserve">also </w:t>
      </w:r>
      <w:r w:rsidR="005A2DA2">
        <w:rPr>
          <w:rFonts w:asciiTheme="minorHAnsi" w:hAnsiTheme="minorHAnsi"/>
        </w:rPr>
        <w:t>influenced by</w:t>
      </w:r>
      <w:r>
        <w:rPr>
          <w:rFonts w:asciiTheme="minorHAnsi" w:hAnsiTheme="minorHAnsi"/>
        </w:rPr>
        <w:t xml:space="preserve"> the current rate of fatality in new Class 2 and 3 buildings</w:t>
      </w:r>
      <w:r w:rsidR="008F7EB5">
        <w:rPr>
          <w:rFonts w:asciiTheme="minorHAnsi" w:hAnsiTheme="minorHAnsi"/>
        </w:rPr>
        <w:t>.</w:t>
      </w:r>
      <w:r w:rsidR="00614940">
        <w:rPr>
          <w:rFonts w:asciiTheme="minorHAnsi" w:hAnsiTheme="minorHAnsi"/>
        </w:rPr>
        <w:t xml:space="preserve"> </w:t>
      </w:r>
      <w:r>
        <w:rPr>
          <w:rFonts w:asciiTheme="minorHAnsi" w:hAnsiTheme="minorHAnsi"/>
        </w:rPr>
        <w:t>This analysis uses the best available information on the incidence of fatality from a report prepared by the National Coronial Information System (NCIS)</w:t>
      </w:r>
      <w:r w:rsidR="00AD122C">
        <w:rPr>
          <w:rFonts w:asciiTheme="minorHAnsi" w:hAnsiTheme="minorHAnsi"/>
        </w:rPr>
        <w:t>. A copy of this report ca</w:t>
      </w:r>
      <w:r w:rsidR="00533207">
        <w:rPr>
          <w:rFonts w:asciiTheme="minorHAnsi" w:hAnsiTheme="minorHAnsi"/>
        </w:rPr>
        <w:t>n be found on the ABCB website.</w:t>
      </w:r>
    </w:p>
    <w:p w:rsidR="00614940" w:rsidRDefault="00F324B6" w:rsidP="00614940">
      <w:pPr>
        <w:spacing w:before="120" w:after="0"/>
        <w:rPr>
          <w:rFonts w:asciiTheme="minorHAnsi" w:hAnsiTheme="minorHAnsi"/>
        </w:rPr>
      </w:pPr>
      <w:r>
        <w:rPr>
          <w:rFonts w:asciiTheme="minorHAnsi" w:hAnsiTheme="minorHAnsi"/>
        </w:rPr>
        <w:t>Between 2000 and 2015, 46 fatalities were recorded in all multi-storey residential buildings</w:t>
      </w:r>
      <w:r w:rsidR="00C8251D">
        <w:rPr>
          <w:rFonts w:asciiTheme="minorHAnsi" w:hAnsiTheme="minorHAnsi"/>
        </w:rPr>
        <w:t xml:space="preserve"> as a result of fire. This </w:t>
      </w:r>
      <w:r w:rsidR="005A2DA2">
        <w:rPr>
          <w:rFonts w:asciiTheme="minorHAnsi" w:hAnsiTheme="minorHAnsi"/>
        </w:rPr>
        <w:t>equates to an average of 3 (2.9) deaths per year. Of these fatalities, it is known that 2</w:t>
      </w:r>
      <w:r w:rsidR="008F7EB5">
        <w:rPr>
          <w:rFonts w:asciiTheme="minorHAnsi" w:hAnsiTheme="minorHAnsi"/>
        </w:rPr>
        <w:t xml:space="preserve">6 deaths (57%) </w:t>
      </w:r>
      <w:r w:rsidR="005A2DA2">
        <w:rPr>
          <w:rFonts w:asciiTheme="minorHAnsi" w:hAnsiTheme="minorHAnsi"/>
        </w:rPr>
        <w:t>occurred in buildings of t</w:t>
      </w:r>
      <w:r w:rsidR="008F7EB5">
        <w:rPr>
          <w:rFonts w:asciiTheme="minorHAnsi" w:hAnsiTheme="minorHAnsi"/>
        </w:rPr>
        <w:t>hree</w:t>
      </w:r>
      <w:r w:rsidR="005A2DA2">
        <w:rPr>
          <w:rFonts w:asciiTheme="minorHAnsi" w:hAnsiTheme="minorHAnsi"/>
        </w:rPr>
        <w:t xml:space="preserve"> storeys</w:t>
      </w:r>
      <w:r w:rsidR="008F7EB5">
        <w:rPr>
          <w:rFonts w:asciiTheme="minorHAnsi" w:hAnsiTheme="minorHAnsi"/>
        </w:rPr>
        <w:t xml:space="preserve"> or less with 2 </w:t>
      </w:r>
      <w:r w:rsidR="00614940">
        <w:rPr>
          <w:rFonts w:asciiTheme="minorHAnsi" w:hAnsiTheme="minorHAnsi"/>
        </w:rPr>
        <w:t xml:space="preserve">deaths </w:t>
      </w:r>
      <w:r w:rsidR="008F7EB5">
        <w:rPr>
          <w:rFonts w:asciiTheme="minorHAnsi" w:hAnsiTheme="minorHAnsi"/>
        </w:rPr>
        <w:t xml:space="preserve">(4.3%) </w:t>
      </w:r>
      <w:r w:rsidR="006A5556">
        <w:rPr>
          <w:rFonts w:asciiTheme="minorHAnsi" w:hAnsiTheme="minorHAnsi"/>
        </w:rPr>
        <w:t>reported</w:t>
      </w:r>
      <w:r w:rsidR="008F7EB5">
        <w:rPr>
          <w:rFonts w:asciiTheme="minorHAnsi" w:hAnsiTheme="minorHAnsi"/>
        </w:rPr>
        <w:t xml:space="preserve"> to have occurred within the four to eight storey height range. Of the remaining </w:t>
      </w:r>
      <w:r w:rsidR="00614940">
        <w:rPr>
          <w:rFonts w:asciiTheme="minorHAnsi" w:hAnsiTheme="minorHAnsi"/>
        </w:rPr>
        <w:t xml:space="preserve">unknown </w:t>
      </w:r>
      <w:r w:rsidR="008F7EB5">
        <w:rPr>
          <w:rFonts w:asciiTheme="minorHAnsi" w:hAnsiTheme="minorHAnsi"/>
        </w:rPr>
        <w:t xml:space="preserve">fatalities, the estimated number to have occurred within the four to eight storey height range is </w:t>
      </w:r>
      <w:r w:rsidR="00614940">
        <w:rPr>
          <w:rFonts w:asciiTheme="minorHAnsi" w:hAnsiTheme="minorHAnsi"/>
        </w:rPr>
        <w:t xml:space="preserve">calculated to be </w:t>
      </w:r>
      <w:r w:rsidR="008F7EB5">
        <w:rPr>
          <w:rFonts w:asciiTheme="minorHAnsi" w:hAnsiTheme="minorHAnsi"/>
        </w:rPr>
        <w:t>1.3</w:t>
      </w:r>
      <w:r w:rsidR="00614940">
        <w:rPr>
          <w:rFonts w:asciiTheme="minorHAnsi" w:hAnsiTheme="minorHAnsi"/>
        </w:rPr>
        <w:t xml:space="preserve"> assuming the same rate of occurrence as the known fatalities</w:t>
      </w:r>
      <w:r w:rsidR="008F7EB5">
        <w:rPr>
          <w:rFonts w:asciiTheme="minorHAnsi" w:hAnsiTheme="minorHAnsi"/>
        </w:rPr>
        <w:t>. Hence the total number of fatalities in all multi-storey residential buildings in the four to eight storey height range between 2000 and 2015 is 3.3 or an average fatality rate of 0.21</w:t>
      </w:r>
      <w:r w:rsidR="005A2DA2">
        <w:rPr>
          <w:rFonts w:asciiTheme="minorHAnsi" w:hAnsiTheme="minorHAnsi"/>
        </w:rPr>
        <w:t>.</w:t>
      </w:r>
      <w:r w:rsidR="005A2DA2">
        <w:rPr>
          <w:rStyle w:val="FootnoteReference"/>
          <w:rFonts w:asciiTheme="minorHAnsi" w:hAnsiTheme="minorHAnsi"/>
        </w:rPr>
        <w:footnoteReference w:id="12"/>
      </w:r>
    </w:p>
    <w:p w:rsidR="00686FFD" w:rsidRPr="00686FFD" w:rsidRDefault="00686FFD" w:rsidP="00686FFD">
      <w:pPr>
        <w:spacing w:before="120" w:after="0"/>
        <w:rPr>
          <w:rFonts w:asciiTheme="majorHAnsi" w:eastAsiaTheme="majorEastAsia" w:hAnsiTheme="majorHAnsi" w:cstheme="majorBidi"/>
          <w:b/>
          <w:bCs/>
          <w:iCs/>
          <w:color w:val="002060"/>
        </w:rPr>
      </w:pPr>
      <w:r w:rsidRPr="00686FFD">
        <w:rPr>
          <w:rFonts w:asciiTheme="majorHAnsi" w:eastAsiaTheme="majorEastAsia" w:hAnsiTheme="majorHAnsi" w:cstheme="majorBidi"/>
          <w:b/>
          <w:bCs/>
          <w:iCs/>
          <w:color w:val="002060"/>
        </w:rPr>
        <w:t>Contributing Factors of Fire Fatalities</w:t>
      </w:r>
    </w:p>
    <w:p w:rsidR="00AB4406" w:rsidRDefault="00A85536" w:rsidP="0003376D">
      <w:pPr>
        <w:spacing w:after="240"/>
        <w:rPr>
          <w:rFonts w:asciiTheme="minorHAnsi" w:hAnsiTheme="minorHAnsi"/>
        </w:rPr>
      </w:pPr>
      <w:r>
        <w:rPr>
          <w:rFonts w:asciiTheme="minorHAnsi" w:hAnsiTheme="minorHAnsi"/>
        </w:rPr>
        <w:t xml:space="preserve">The rate of fatality from fire is known to be influenced by a building’s fire safety features. </w:t>
      </w:r>
      <w:r w:rsidR="00E10DFB">
        <w:rPr>
          <w:rFonts w:asciiTheme="minorHAnsi" w:hAnsiTheme="minorHAnsi"/>
        </w:rPr>
        <w:t xml:space="preserve">Chart </w:t>
      </w:r>
      <w:r w:rsidR="00AB4406">
        <w:rPr>
          <w:rFonts w:asciiTheme="minorHAnsi" w:hAnsiTheme="minorHAnsi"/>
        </w:rPr>
        <w:t xml:space="preserve">1 reflects the difference in fatality within </w:t>
      </w:r>
      <w:r w:rsidR="00D04E2E">
        <w:rPr>
          <w:rFonts w:asciiTheme="minorHAnsi" w:hAnsiTheme="minorHAnsi"/>
        </w:rPr>
        <w:t>sole-occupancy units in</w:t>
      </w:r>
      <w:r w:rsidR="00AB4406">
        <w:rPr>
          <w:rFonts w:asciiTheme="minorHAnsi" w:hAnsiTheme="minorHAnsi"/>
        </w:rPr>
        <w:t xml:space="preserve"> the presence of different fire safety systems. Hardwired alarms reflect the current requirement for Class 2 and 3 buildings less than 25 m</w:t>
      </w:r>
      <w:r w:rsidR="00005855">
        <w:rPr>
          <w:rFonts w:asciiTheme="minorHAnsi" w:hAnsiTheme="minorHAnsi"/>
        </w:rPr>
        <w:t>etres</w:t>
      </w:r>
      <w:r w:rsidR="00AB4406">
        <w:rPr>
          <w:rFonts w:asciiTheme="minorHAnsi" w:hAnsiTheme="minorHAnsi"/>
        </w:rPr>
        <w:t xml:space="preserve"> in height.</w:t>
      </w:r>
    </w:p>
    <w:p w:rsidR="00AB4406" w:rsidRPr="00BD2C3C" w:rsidRDefault="00E10DFB" w:rsidP="00005855">
      <w:pPr>
        <w:pStyle w:val="Caption"/>
        <w:keepNext/>
        <w:spacing w:after="0"/>
        <w:jc w:val="center"/>
        <w:rPr>
          <w:rFonts w:asciiTheme="minorHAnsi" w:hAnsiTheme="minorHAnsi"/>
          <w:b w:val="0"/>
          <w:bCs w:val="0"/>
          <w:iCs/>
          <w:color w:val="002060"/>
          <w:sz w:val="24"/>
          <w:szCs w:val="24"/>
        </w:rPr>
      </w:pPr>
      <w:r>
        <w:rPr>
          <w:rFonts w:asciiTheme="minorHAnsi" w:hAnsiTheme="minorHAnsi"/>
          <w:b w:val="0"/>
          <w:bCs w:val="0"/>
          <w:iCs/>
          <w:color w:val="002060"/>
          <w:sz w:val="24"/>
          <w:szCs w:val="24"/>
        </w:rPr>
        <w:t>Chart</w:t>
      </w:r>
      <w:r w:rsidRPr="00BD2C3C">
        <w:rPr>
          <w:rFonts w:asciiTheme="minorHAnsi" w:hAnsiTheme="minorHAnsi"/>
          <w:b w:val="0"/>
          <w:bCs w:val="0"/>
          <w:iCs/>
          <w:color w:val="002060"/>
          <w:sz w:val="24"/>
          <w:szCs w:val="24"/>
        </w:rPr>
        <w:t xml:space="preserve"> </w:t>
      </w:r>
      <w:r w:rsidR="00AB4406" w:rsidRPr="00BD2C3C">
        <w:rPr>
          <w:rFonts w:asciiTheme="minorHAnsi" w:hAnsiTheme="minorHAnsi"/>
          <w:b w:val="0"/>
          <w:bCs w:val="0"/>
          <w:iCs/>
          <w:color w:val="002060"/>
          <w:sz w:val="24"/>
          <w:szCs w:val="24"/>
        </w:rPr>
        <w:fldChar w:fldCharType="begin"/>
      </w:r>
      <w:r w:rsidR="00AB4406" w:rsidRPr="00BD2C3C">
        <w:rPr>
          <w:rFonts w:asciiTheme="minorHAnsi" w:hAnsiTheme="minorHAnsi"/>
          <w:b w:val="0"/>
          <w:bCs w:val="0"/>
          <w:iCs/>
          <w:color w:val="002060"/>
          <w:sz w:val="24"/>
          <w:szCs w:val="24"/>
        </w:rPr>
        <w:instrText xml:space="preserve"> SEQ Figure \* ARABIC </w:instrText>
      </w:r>
      <w:r w:rsidR="00AB4406" w:rsidRPr="00BD2C3C">
        <w:rPr>
          <w:rFonts w:asciiTheme="minorHAnsi" w:hAnsiTheme="minorHAnsi"/>
          <w:b w:val="0"/>
          <w:bCs w:val="0"/>
          <w:iCs/>
          <w:color w:val="002060"/>
          <w:sz w:val="24"/>
          <w:szCs w:val="24"/>
        </w:rPr>
        <w:fldChar w:fldCharType="separate"/>
      </w:r>
      <w:r w:rsidR="00156401">
        <w:rPr>
          <w:rFonts w:asciiTheme="minorHAnsi" w:hAnsiTheme="minorHAnsi"/>
          <w:b w:val="0"/>
          <w:bCs w:val="0"/>
          <w:iCs/>
          <w:noProof/>
          <w:color w:val="002060"/>
          <w:sz w:val="24"/>
          <w:szCs w:val="24"/>
        </w:rPr>
        <w:t>1</w:t>
      </w:r>
      <w:r w:rsidR="00AB4406" w:rsidRPr="00BD2C3C">
        <w:rPr>
          <w:rFonts w:asciiTheme="minorHAnsi" w:hAnsiTheme="minorHAnsi"/>
          <w:b w:val="0"/>
          <w:bCs w:val="0"/>
          <w:iCs/>
          <w:color w:val="002060"/>
          <w:sz w:val="24"/>
          <w:szCs w:val="24"/>
        </w:rPr>
        <w:fldChar w:fldCharType="end"/>
      </w:r>
      <w:r w:rsidR="00005855">
        <w:rPr>
          <w:rFonts w:asciiTheme="minorHAnsi" w:hAnsiTheme="minorHAnsi"/>
          <w:b w:val="0"/>
          <w:bCs w:val="0"/>
          <w:iCs/>
          <w:color w:val="002060"/>
          <w:sz w:val="24"/>
          <w:szCs w:val="24"/>
        </w:rPr>
        <w:t xml:space="preserve">: Fatalities per </w:t>
      </w:r>
      <w:r w:rsidR="00AB4406" w:rsidRPr="00BD2C3C">
        <w:rPr>
          <w:rFonts w:asciiTheme="minorHAnsi" w:hAnsiTheme="minorHAnsi"/>
          <w:b w:val="0"/>
          <w:bCs w:val="0"/>
          <w:iCs/>
          <w:color w:val="002060"/>
          <w:sz w:val="24"/>
          <w:szCs w:val="24"/>
        </w:rPr>
        <w:t>1</w:t>
      </w:r>
      <w:r w:rsidR="00005855">
        <w:rPr>
          <w:rFonts w:asciiTheme="minorHAnsi" w:hAnsiTheme="minorHAnsi"/>
          <w:b w:val="0"/>
          <w:bCs w:val="0"/>
          <w:iCs/>
          <w:color w:val="002060"/>
          <w:sz w:val="24"/>
          <w:szCs w:val="24"/>
        </w:rPr>
        <w:t>,</w:t>
      </w:r>
      <w:r w:rsidR="00AB4406" w:rsidRPr="00BD2C3C">
        <w:rPr>
          <w:rFonts w:asciiTheme="minorHAnsi" w:hAnsiTheme="minorHAnsi"/>
          <w:b w:val="0"/>
          <w:bCs w:val="0"/>
          <w:iCs/>
          <w:color w:val="002060"/>
          <w:sz w:val="24"/>
          <w:szCs w:val="24"/>
        </w:rPr>
        <w:t xml:space="preserve">000 fires under alternative fire safety systems expressed as a ratio </w:t>
      </w:r>
    </w:p>
    <w:p w:rsidR="00AB4406" w:rsidRDefault="008179F0" w:rsidP="00C321BA">
      <w:pPr>
        <w:pStyle w:val="Heading3"/>
        <w:jc w:val="center"/>
      </w:pPr>
      <w:r>
        <w:rPr>
          <w:noProof/>
          <w:lang w:eastAsia="en-AU"/>
        </w:rPr>
        <w:drawing>
          <wp:inline distT="0" distB="0" distL="0" distR="0" wp14:anchorId="60C37938" wp14:editId="64082351">
            <wp:extent cx="5836920" cy="2077720"/>
            <wp:effectExtent l="0" t="0" r="11430" b="17780"/>
            <wp:docPr id="3" name="Chart 3" descr="This chart shows the proportion of fire fataities per 1,000 persons. " title="Chart 1 - Fatalities per 1,000 fires under alternative fire safety systems expressed as a ratio"/>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eastAsia="en-AU"/>
        </w:rPr>
        <w:t xml:space="preserve"> </w:t>
      </w:r>
    </w:p>
    <w:p w:rsidR="0003376D" w:rsidRPr="003F5764" w:rsidRDefault="00AB4406" w:rsidP="003F5764">
      <w:pPr>
        <w:jc w:val="center"/>
        <w:rPr>
          <w:rFonts w:asciiTheme="minorHAnsi" w:hAnsiTheme="minorHAnsi" w:cstheme="minorHAnsi"/>
          <w:sz w:val="20"/>
          <w:szCs w:val="20"/>
        </w:rPr>
      </w:pPr>
      <w:r w:rsidRPr="003F5764">
        <w:rPr>
          <w:rFonts w:asciiTheme="minorHAnsi" w:hAnsiTheme="minorHAnsi" w:cstheme="minorHAnsi"/>
          <w:sz w:val="20"/>
          <w:szCs w:val="20"/>
        </w:rPr>
        <w:t>Source: Adapted from Ahr</w:t>
      </w:r>
      <w:r w:rsidR="00A730AD" w:rsidRPr="003F5764">
        <w:rPr>
          <w:rFonts w:asciiTheme="minorHAnsi" w:hAnsiTheme="minorHAnsi" w:cstheme="minorHAnsi"/>
          <w:sz w:val="20"/>
          <w:szCs w:val="20"/>
        </w:rPr>
        <w:t xml:space="preserve">ens analysis of fatality rates per </w:t>
      </w:r>
      <w:r w:rsidRPr="003F5764">
        <w:rPr>
          <w:rFonts w:asciiTheme="minorHAnsi" w:hAnsiTheme="minorHAnsi" w:cstheme="minorHAnsi"/>
          <w:sz w:val="20"/>
          <w:szCs w:val="20"/>
        </w:rPr>
        <w:t>1000 fires (2003-2006)</w:t>
      </w:r>
    </w:p>
    <w:p w:rsidR="00AB3CE8" w:rsidRPr="0003376D" w:rsidRDefault="0003376D" w:rsidP="0003376D">
      <w:r>
        <w:br w:type="page"/>
      </w:r>
    </w:p>
    <w:p w:rsidR="00D65322" w:rsidRPr="0020272F" w:rsidRDefault="00915CA4">
      <w:pPr>
        <w:spacing w:before="120" w:after="240"/>
        <w:rPr>
          <w:i/>
        </w:rPr>
      </w:pPr>
      <w:r w:rsidRPr="00737BA8">
        <w:rPr>
          <w:rFonts w:asciiTheme="minorHAnsi" w:hAnsiTheme="minorHAnsi"/>
        </w:rPr>
        <w:lastRenderedPageBreak/>
        <w:t xml:space="preserve">Hall </w:t>
      </w:r>
      <w:r w:rsidR="00532D43">
        <w:rPr>
          <w:rFonts w:asciiTheme="minorHAnsi" w:hAnsiTheme="minorHAnsi"/>
        </w:rPr>
        <w:t xml:space="preserve">(2013) </w:t>
      </w:r>
      <w:r w:rsidRPr="00737BA8">
        <w:rPr>
          <w:rFonts w:asciiTheme="minorHAnsi" w:hAnsiTheme="minorHAnsi"/>
        </w:rPr>
        <w:t xml:space="preserve">established fatality rates in the US </w:t>
      </w:r>
      <w:r w:rsidR="00576BA5" w:rsidRPr="00737BA8">
        <w:rPr>
          <w:rFonts w:asciiTheme="minorHAnsi" w:hAnsiTheme="minorHAnsi"/>
        </w:rPr>
        <w:t>of 7.4 fatalities per 1</w:t>
      </w:r>
      <w:r w:rsidR="00005855">
        <w:rPr>
          <w:rFonts w:asciiTheme="minorHAnsi" w:hAnsiTheme="minorHAnsi"/>
        </w:rPr>
        <w:t>,</w:t>
      </w:r>
      <w:r w:rsidR="00576BA5" w:rsidRPr="00737BA8">
        <w:rPr>
          <w:rFonts w:asciiTheme="minorHAnsi" w:hAnsiTheme="minorHAnsi"/>
        </w:rPr>
        <w:t>000 fires in apartment buildings (Class 2</w:t>
      </w:r>
      <w:r w:rsidR="00A730AD">
        <w:rPr>
          <w:rFonts w:asciiTheme="minorHAnsi" w:hAnsiTheme="minorHAnsi"/>
        </w:rPr>
        <w:t xml:space="preserve"> buildings</w:t>
      </w:r>
      <w:r w:rsidR="00576BA5" w:rsidRPr="00737BA8">
        <w:rPr>
          <w:rFonts w:asciiTheme="minorHAnsi" w:hAnsiTheme="minorHAnsi"/>
        </w:rPr>
        <w:t>)</w:t>
      </w:r>
      <w:r w:rsidR="00A730AD">
        <w:rPr>
          <w:rFonts w:asciiTheme="minorHAnsi" w:hAnsiTheme="minorHAnsi"/>
        </w:rPr>
        <w:t xml:space="preserve"> and 7.3 </w:t>
      </w:r>
      <w:r w:rsidR="00D40F0D">
        <w:rPr>
          <w:rFonts w:asciiTheme="minorHAnsi" w:hAnsiTheme="minorHAnsi"/>
        </w:rPr>
        <w:t>per 1</w:t>
      </w:r>
      <w:r w:rsidR="00005855">
        <w:rPr>
          <w:rFonts w:asciiTheme="minorHAnsi" w:hAnsiTheme="minorHAnsi"/>
        </w:rPr>
        <w:t>,</w:t>
      </w:r>
      <w:r w:rsidR="00D40F0D">
        <w:rPr>
          <w:rFonts w:asciiTheme="minorHAnsi" w:hAnsiTheme="minorHAnsi"/>
        </w:rPr>
        <w:t xml:space="preserve">000 fires </w:t>
      </w:r>
      <w:r w:rsidR="00A730AD">
        <w:rPr>
          <w:rFonts w:asciiTheme="minorHAnsi" w:hAnsiTheme="minorHAnsi"/>
        </w:rPr>
        <w:t xml:space="preserve">in </w:t>
      </w:r>
      <w:r w:rsidR="002E60D9">
        <w:rPr>
          <w:rFonts w:asciiTheme="minorHAnsi" w:hAnsiTheme="minorHAnsi"/>
        </w:rPr>
        <w:t>h</w:t>
      </w:r>
      <w:r w:rsidR="00A730AD">
        <w:rPr>
          <w:rFonts w:asciiTheme="minorHAnsi" w:hAnsiTheme="minorHAnsi"/>
        </w:rPr>
        <w:t>otel/</w:t>
      </w:r>
      <w:r w:rsidR="002E60D9">
        <w:rPr>
          <w:rFonts w:asciiTheme="minorHAnsi" w:hAnsiTheme="minorHAnsi"/>
        </w:rPr>
        <w:t>m</w:t>
      </w:r>
      <w:r w:rsidR="00576BA5" w:rsidRPr="00737BA8">
        <w:rPr>
          <w:rFonts w:asciiTheme="minorHAnsi" w:hAnsiTheme="minorHAnsi"/>
        </w:rPr>
        <w:t>otel</w:t>
      </w:r>
      <w:r w:rsidR="00A730AD">
        <w:rPr>
          <w:rFonts w:asciiTheme="minorHAnsi" w:hAnsiTheme="minorHAnsi"/>
        </w:rPr>
        <w:t xml:space="preserve"> buildings</w:t>
      </w:r>
      <w:r w:rsidR="00576BA5" w:rsidRPr="00737BA8">
        <w:rPr>
          <w:rFonts w:asciiTheme="minorHAnsi" w:hAnsiTheme="minorHAnsi"/>
        </w:rPr>
        <w:t xml:space="preserve"> (Class 3</w:t>
      </w:r>
      <w:r w:rsidR="00A730AD">
        <w:rPr>
          <w:rFonts w:asciiTheme="minorHAnsi" w:hAnsiTheme="minorHAnsi"/>
        </w:rPr>
        <w:t xml:space="preserve"> buildings</w:t>
      </w:r>
      <w:r w:rsidR="00576BA5" w:rsidRPr="00737BA8">
        <w:rPr>
          <w:rFonts w:asciiTheme="minorHAnsi" w:hAnsiTheme="minorHAnsi"/>
        </w:rPr>
        <w:t>) without automatic extinguishing equipment</w:t>
      </w:r>
      <w:r w:rsidR="00DB61EC">
        <w:rPr>
          <w:rStyle w:val="FootnoteReference"/>
          <w:rFonts w:asciiTheme="minorHAnsi" w:hAnsiTheme="minorHAnsi"/>
        </w:rPr>
        <w:footnoteReference w:id="13"/>
      </w:r>
      <w:r w:rsidRPr="00737BA8">
        <w:rPr>
          <w:rFonts w:asciiTheme="minorHAnsi" w:hAnsiTheme="minorHAnsi"/>
        </w:rPr>
        <w:t xml:space="preserve">. </w:t>
      </w:r>
      <w:r w:rsidR="00576BA5" w:rsidRPr="00737BA8">
        <w:rPr>
          <w:rFonts w:asciiTheme="minorHAnsi" w:hAnsiTheme="minorHAnsi"/>
        </w:rPr>
        <w:t xml:space="preserve">An examination of a variety of fire safety systems by </w:t>
      </w:r>
      <w:r w:rsidRPr="00737BA8">
        <w:rPr>
          <w:rFonts w:asciiTheme="minorHAnsi" w:hAnsiTheme="minorHAnsi"/>
        </w:rPr>
        <w:t xml:space="preserve">Ahrens </w:t>
      </w:r>
      <w:r w:rsidR="00576BA5" w:rsidRPr="00737BA8">
        <w:rPr>
          <w:rFonts w:asciiTheme="minorHAnsi" w:hAnsiTheme="minorHAnsi"/>
        </w:rPr>
        <w:t xml:space="preserve">derived estimates </w:t>
      </w:r>
      <w:r w:rsidR="00737BA8">
        <w:rPr>
          <w:rFonts w:asciiTheme="minorHAnsi" w:hAnsiTheme="minorHAnsi"/>
        </w:rPr>
        <w:t>for buildings with</w:t>
      </w:r>
      <w:r w:rsidR="00737BA8" w:rsidRPr="00737BA8">
        <w:rPr>
          <w:rFonts w:asciiTheme="minorHAnsi" w:hAnsiTheme="minorHAnsi"/>
        </w:rPr>
        <w:t xml:space="preserve"> hardwired alarms</w:t>
      </w:r>
      <w:r w:rsidR="00737BA8">
        <w:rPr>
          <w:rFonts w:asciiTheme="minorHAnsi" w:hAnsiTheme="minorHAnsi"/>
        </w:rPr>
        <w:t xml:space="preserve"> (e</w:t>
      </w:r>
      <w:r w:rsidR="00737BA8" w:rsidRPr="00737BA8">
        <w:rPr>
          <w:rFonts w:asciiTheme="minorHAnsi" w:hAnsiTheme="minorHAnsi"/>
        </w:rPr>
        <w:t>quivalent to the current NCC requirement</w:t>
      </w:r>
      <w:r w:rsidR="00737BA8">
        <w:rPr>
          <w:rFonts w:asciiTheme="minorHAnsi" w:hAnsiTheme="minorHAnsi"/>
        </w:rPr>
        <w:t>)</w:t>
      </w:r>
      <w:r w:rsidR="00737BA8" w:rsidRPr="00737BA8">
        <w:rPr>
          <w:rFonts w:asciiTheme="minorHAnsi" w:hAnsiTheme="minorHAnsi"/>
        </w:rPr>
        <w:t xml:space="preserve"> </w:t>
      </w:r>
      <w:r w:rsidR="00A730AD">
        <w:rPr>
          <w:rFonts w:asciiTheme="minorHAnsi" w:hAnsiTheme="minorHAnsi"/>
        </w:rPr>
        <w:t xml:space="preserve">of 3.9 fatalities per </w:t>
      </w:r>
      <w:r w:rsidR="00576BA5" w:rsidRPr="00737BA8">
        <w:rPr>
          <w:rFonts w:asciiTheme="minorHAnsi" w:hAnsiTheme="minorHAnsi"/>
        </w:rPr>
        <w:t>1</w:t>
      </w:r>
      <w:r w:rsidR="00005855">
        <w:rPr>
          <w:rFonts w:asciiTheme="minorHAnsi" w:hAnsiTheme="minorHAnsi"/>
        </w:rPr>
        <w:t>,</w:t>
      </w:r>
      <w:r w:rsidR="00576BA5" w:rsidRPr="00737BA8">
        <w:rPr>
          <w:rFonts w:asciiTheme="minorHAnsi" w:hAnsiTheme="minorHAnsi"/>
        </w:rPr>
        <w:t>000 fires</w:t>
      </w:r>
      <w:r w:rsidR="00737BA8">
        <w:rPr>
          <w:rFonts w:asciiTheme="minorHAnsi" w:hAnsiTheme="minorHAnsi"/>
        </w:rPr>
        <w:t>.</w:t>
      </w:r>
      <w:r w:rsidRPr="00737BA8">
        <w:rPr>
          <w:rFonts w:asciiTheme="minorHAnsi" w:hAnsiTheme="minorHAnsi"/>
        </w:rPr>
        <w:t xml:space="preserve"> </w:t>
      </w:r>
    </w:p>
    <w:p w:rsidR="00737BA8" w:rsidRDefault="00305C1A" w:rsidP="00305C1A">
      <w:pPr>
        <w:spacing w:before="120"/>
        <w:rPr>
          <w:rFonts w:asciiTheme="minorHAnsi" w:hAnsiTheme="minorHAnsi"/>
        </w:rPr>
      </w:pPr>
      <w:r w:rsidRPr="00737BA8">
        <w:rPr>
          <w:rFonts w:asciiTheme="minorHAnsi" w:hAnsiTheme="minorHAnsi"/>
        </w:rPr>
        <w:t>The influence of the proximity of an occupant to</w:t>
      </w:r>
      <w:r w:rsidR="00D40F0D">
        <w:rPr>
          <w:rFonts w:asciiTheme="minorHAnsi" w:hAnsiTheme="minorHAnsi"/>
        </w:rPr>
        <w:t xml:space="preserve"> a</w:t>
      </w:r>
      <w:r w:rsidRPr="00737BA8">
        <w:rPr>
          <w:rFonts w:asciiTheme="minorHAnsi" w:hAnsiTheme="minorHAnsi"/>
        </w:rPr>
        <w:t xml:space="preserve"> fire is relevant to the issue of individual and societal risk. Fire statistics reflect the rate of fire</w:t>
      </w:r>
      <w:r w:rsidR="00D40F0D">
        <w:rPr>
          <w:rFonts w:asciiTheme="minorHAnsi" w:hAnsiTheme="minorHAnsi"/>
        </w:rPr>
        <w:t>s</w:t>
      </w:r>
      <w:r w:rsidRPr="00737BA8">
        <w:rPr>
          <w:rFonts w:asciiTheme="minorHAnsi" w:hAnsiTheme="minorHAnsi"/>
        </w:rPr>
        <w:t xml:space="preserve">, </w:t>
      </w:r>
      <w:r w:rsidR="00D40F0D">
        <w:rPr>
          <w:rFonts w:asciiTheme="minorHAnsi" w:hAnsiTheme="minorHAnsi"/>
        </w:rPr>
        <w:t>their</w:t>
      </w:r>
      <w:r w:rsidRPr="00737BA8">
        <w:rPr>
          <w:rFonts w:asciiTheme="minorHAnsi" w:hAnsiTheme="minorHAnsi"/>
        </w:rPr>
        <w:t xml:space="preserve"> origin and spread. </w:t>
      </w:r>
      <w:r w:rsidR="00005855">
        <w:rPr>
          <w:rFonts w:asciiTheme="minorHAnsi" w:hAnsiTheme="minorHAnsi"/>
        </w:rPr>
        <w:t xml:space="preserve">NSW fire brigade data from 2003 to </w:t>
      </w:r>
      <w:r w:rsidR="00AC0B3D">
        <w:rPr>
          <w:rFonts w:asciiTheme="minorHAnsi" w:hAnsiTheme="minorHAnsi"/>
        </w:rPr>
        <w:t>2007 suggest</w:t>
      </w:r>
      <w:r w:rsidR="00D40F0D">
        <w:rPr>
          <w:rFonts w:asciiTheme="minorHAnsi" w:hAnsiTheme="minorHAnsi"/>
        </w:rPr>
        <w:t>s</w:t>
      </w:r>
      <w:r w:rsidR="00AC0B3D">
        <w:rPr>
          <w:rFonts w:asciiTheme="minorHAnsi" w:hAnsiTheme="minorHAnsi"/>
        </w:rPr>
        <w:t xml:space="preserve"> up to 80</w:t>
      </w:r>
      <w:r w:rsidR="00D40F0D">
        <w:rPr>
          <w:rFonts w:asciiTheme="minorHAnsi" w:hAnsiTheme="minorHAnsi"/>
        </w:rPr>
        <w:t>%</w:t>
      </w:r>
      <w:r w:rsidR="00AC0B3D">
        <w:rPr>
          <w:rFonts w:asciiTheme="minorHAnsi" w:hAnsiTheme="minorHAnsi"/>
        </w:rPr>
        <w:t xml:space="preserve"> of fires</w:t>
      </w:r>
      <w:r w:rsidR="0019268A">
        <w:rPr>
          <w:rFonts w:asciiTheme="minorHAnsi" w:hAnsiTheme="minorHAnsi"/>
        </w:rPr>
        <w:t xml:space="preserve"> in</w:t>
      </w:r>
      <w:r w:rsidR="0019268A" w:rsidRPr="0019268A">
        <w:rPr>
          <w:rFonts w:asciiTheme="minorHAnsi" w:hAnsiTheme="minorHAnsi"/>
        </w:rPr>
        <w:t xml:space="preserve"> </w:t>
      </w:r>
      <w:r w:rsidR="0019268A">
        <w:rPr>
          <w:rFonts w:asciiTheme="minorHAnsi" w:hAnsiTheme="minorHAnsi"/>
        </w:rPr>
        <w:t>Class 2 buildings</w:t>
      </w:r>
      <w:r w:rsidR="00AC0B3D">
        <w:rPr>
          <w:rFonts w:asciiTheme="minorHAnsi" w:hAnsiTheme="minorHAnsi"/>
        </w:rPr>
        <w:t xml:space="preserve"> begin within </w:t>
      </w:r>
      <w:r w:rsidR="00005855">
        <w:rPr>
          <w:rFonts w:asciiTheme="minorHAnsi" w:hAnsiTheme="minorHAnsi"/>
        </w:rPr>
        <w:t>the</w:t>
      </w:r>
      <w:r w:rsidR="00AC0B3D">
        <w:rPr>
          <w:rFonts w:asciiTheme="minorHAnsi" w:hAnsiTheme="minorHAnsi"/>
        </w:rPr>
        <w:t xml:space="preserve"> </w:t>
      </w:r>
      <w:r w:rsidR="00D40F0D">
        <w:rPr>
          <w:rFonts w:asciiTheme="minorHAnsi" w:hAnsiTheme="minorHAnsi"/>
        </w:rPr>
        <w:t>sole-occupancy unit</w:t>
      </w:r>
      <w:r w:rsidR="00AC0B3D">
        <w:rPr>
          <w:rFonts w:asciiTheme="minorHAnsi" w:hAnsiTheme="minorHAnsi"/>
        </w:rPr>
        <w:t xml:space="preserve">. </w:t>
      </w:r>
      <w:r w:rsidR="00737BA8">
        <w:rPr>
          <w:rFonts w:asciiTheme="minorHAnsi" w:hAnsiTheme="minorHAnsi"/>
        </w:rPr>
        <w:t xml:space="preserve">Victorian and US statistics indicate the rate </w:t>
      </w:r>
      <w:r w:rsidR="00005855">
        <w:rPr>
          <w:rFonts w:asciiTheme="minorHAnsi" w:hAnsiTheme="minorHAnsi"/>
        </w:rPr>
        <w:t>could be</w:t>
      </w:r>
      <w:r w:rsidR="00737BA8">
        <w:rPr>
          <w:rFonts w:asciiTheme="minorHAnsi" w:hAnsiTheme="minorHAnsi"/>
        </w:rPr>
        <w:t xml:space="preserve"> closer to 63</w:t>
      </w:r>
      <w:r w:rsidR="00D40F0D">
        <w:rPr>
          <w:rFonts w:asciiTheme="minorHAnsi" w:hAnsiTheme="minorHAnsi"/>
        </w:rPr>
        <w:t>%</w:t>
      </w:r>
      <w:r w:rsidR="00737BA8">
        <w:rPr>
          <w:rFonts w:asciiTheme="minorHAnsi" w:hAnsiTheme="minorHAnsi"/>
        </w:rPr>
        <w:t xml:space="preserve">. </w:t>
      </w:r>
    </w:p>
    <w:p w:rsidR="0029475C" w:rsidRPr="002A3F98" w:rsidRDefault="0029475C" w:rsidP="007827B1">
      <w:pPr>
        <w:rPr>
          <w:rFonts w:asciiTheme="minorHAnsi" w:hAnsiTheme="minorHAnsi"/>
        </w:rPr>
      </w:pPr>
      <w:r w:rsidRPr="002A3F98">
        <w:rPr>
          <w:rFonts w:asciiTheme="minorHAnsi" w:hAnsiTheme="minorHAnsi"/>
        </w:rPr>
        <w:t xml:space="preserve">The </w:t>
      </w:r>
      <w:r w:rsidR="00C621F8">
        <w:rPr>
          <w:rFonts w:asciiTheme="minorHAnsi" w:hAnsiTheme="minorHAnsi"/>
        </w:rPr>
        <w:t xml:space="preserve">individual </w:t>
      </w:r>
      <w:r w:rsidRPr="002A3F98">
        <w:rPr>
          <w:rFonts w:asciiTheme="minorHAnsi" w:hAnsiTheme="minorHAnsi"/>
        </w:rPr>
        <w:t xml:space="preserve">risk to life for occupants </w:t>
      </w:r>
      <w:r w:rsidR="000E6ED6" w:rsidRPr="002A3F98">
        <w:rPr>
          <w:rFonts w:asciiTheme="minorHAnsi" w:hAnsiTheme="minorHAnsi"/>
        </w:rPr>
        <w:t>in</w:t>
      </w:r>
      <w:r w:rsidRPr="002A3F98">
        <w:rPr>
          <w:rFonts w:asciiTheme="minorHAnsi" w:hAnsiTheme="minorHAnsi"/>
        </w:rPr>
        <w:t xml:space="preserve"> </w:t>
      </w:r>
      <w:r w:rsidR="000E6ED6" w:rsidRPr="002A3F98">
        <w:rPr>
          <w:rFonts w:asciiTheme="minorHAnsi" w:hAnsiTheme="minorHAnsi"/>
        </w:rPr>
        <w:t>a</w:t>
      </w:r>
      <w:r w:rsidR="00036386">
        <w:rPr>
          <w:rFonts w:asciiTheme="minorHAnsi" w:hAnsiTheme="minorHAnsi"/>
        </w:rPr>
        <w:t xml:space="preserve"> sole-occupancy unit</w:t>
      </w:r>
      <w:r w:rsidRPr="002A3F98">
        <w:rPr>
          <w:rFonts w:asciiTheme="minorHAnsi" w:hAnsiTheme="minorHAnsi"/>
        </w:rPr>
        <w:t xml:space="preserve"> of fire origin </w:t>
      </w:r>
      <w:r w:rsidR="00CE40E1">
        <w:rPr>
          <w:rFonts w:asciiTheme="minorHAnsi" w:hAnsiTheme="minorHAnsi"/>
        </w:rPr>
        <w:t xml:space="preserve">(in a non-sprinkler protected building) </w:t>
      </w:r>
      <w:r w:rsidRPr="002A3F98">
        <w:rPr>
          <w:rFonts w:asciiTheme="minorHAnsi" w:hAnsiTheme="minorHAnsi"/>
        </w:rPr>
        <w:t xml:space="preserve">can be estimated </w:t>
      </w:r>
      <w:r w:rsidR="0078659F">
        <w:rPr>
          <w:rFonts w:asciiTheme="minorHAnsi" w:hAnsiTheme="minorHAnsi"/>
        </w:rPr>
        <w:t>as</w:t>
      </w:r>
      <w:r w:rsidRPr="002A3F98">
        <w:rPr>
          <w:rFonts w:asciiTheme="minorHAnsi" w:hAnsiTheme="minorHAnsi"/>
        </w:rPr>
        <w:t xml:space="preserve"> the product of</w:t>
      </w:r>
      <w:r w:rsidR="00A92188">
        <w:rPr>
          <w:rFonts w:asciiTheme="minorHAnsi" w:hAnsiTheme="minorHAnsi"/>
        </w:rPr>
        <w:t xml:space="preserve"> the</w:t>
      </w:r>
      <w:r w:rsidRPr="002A3F98">
        <w:rPr>
          <w:rFonts w:asciiTheme="minorHAnsi" w:hAnsiTheme="minorHAnsi"/>
        </w:rPr>
        <w:t xml:space="preserve">: </w:t>
      </w:r>
    </w:p>
    <w:p w:rsidR="0029475C" w:rsidRPr="002A3F98" w:rsidRDefault="0029475C" w:rsidP="00F17556">
      <w:pPr>
        <w:pStyle w:val="ListParagraph"/>
        <w:numPr>
          <w:ilvl w:val="0"/>
          <w:numId w:val="82"/>
        </w:numPr>
        <w:spacing w:after="0"/>
        <w:rPr>
          <w:rFonts w:asciiTheme="minorHAnsi" w:hAnsiTheme="minorHAnsi"/>
        </w:rPr>
      </w:pPr>
      <w:r w:rsidRPr="002A3F98">
        <w:rPr>
          <w:rFonts w:asciiTheme="minorHAnsi" w:hAnsiTheme="minorHAnsi"/>
        </w:rPr>
        <w:t>frequency of reported fire</w:t>
      </w:r>
      <w:r w:rsidR="00915CA4">
        <w:rPr>
          <w:rFonts w:asciiTheme="minorHAnsi" w:hAnsiTheme="minorHAnsi"/>
        </w:rPr>
        <w:t xml:space="preserve"> (1.6 for Class 2 buildings and 0.9 for Class 3 buildings)</w:t>
      </w:r>
      <w:r w:rsidRPr="002A3F98">
        <w:rPr>
          <w:rFonts w:asciiTheme="minorHAnsi" w:hAnsiTheme="minorHAnsi"/>
        </w:rPr>
        <w:t xml:space="preserve">; </w:t>
      </w:r>
    </w:p>
    <w:p w:rsidR="0029475C" w:rsidRPr="002A3F98" w:rsidRDefault="0029475C" w:rsidP="00F17556">
      <w:pPr>
        <w:pStyle w:val="ListParagraph"/>
        <w:numPr>
          <w:ilvl w:val="0"/>
          <w:numId w:val="82"/>
        </w:numPr>
        <w:spacing w:after="0"/>
        <w:rPr>
          <w:rFonts w:asciiTheme="minorHAnsi" w:hAnsiTheme="minorHAnsi"/>
        </w:rPr>
      </w:pPr>
      <w:r w:rsidRPr="002A3F98">
        <w:rPr>
          <w:rFonts w:asciiTheme="minorHAnsi" w:hAnsiTheme="minorHAnsi"/>
        </w:rPr>
        <w:t xml:space="preserve">fatality rate / fire for </w:t>
      </w:r>
      <w:r w:rsidR="00CE7BED" w:rsidRPr="002A3F98">
        <w:rPr>
          <w:rFonts w:asciiTheme="minorHAnsi" w:hAnsiTheme="minorHAnsi"/>
        </w:rPr>
        <w:t>non-</w:t>
      </w:r>
      <w:r w:rsidRPr="002A3F98">
        <w:rPr>
          <w:rFonts w:asciiTheme="minorHAnsi" w:hAnsiTheme="minorHAnsi"/>
        </w:rPr>
        <w:t>sprinkler</w:t>
      </w:r>
      <w:r w:rsidR="00CE7BED" w:rsidRPr="002A3F98">
        <w:rPr>
          <w:rFonts w:asciiTheme="minorHAnsi" w:hAnsiTheme="minorHAnsi"/>
        </w:rPr>
        <w:t xml:space="preserve"> protected</w:t>
      </w:r>
      <w:r w:rsidRPr="002A3F98">
        <w:rPr>
          <w:rFonts w:asciiTheme="minorHAnsi" w:hAnsiTheme="minorHAnsi"/>
        </w:rPr>
        <w:t xml:space="preserve"> buildings; </w:t>
      </w:r>
    </w:p>
    <w:p w:rsidR="0029475C" w:rsidRPr="002A3F98" w:rsidRDefault="0029475C" w:rsidP="00F17556">
      <w:pPr>
        <w:pStyle w:val="ListParagraph"/>
        <w:numPr>
          <w:ilvl w:val="0"/>
          <w:numId w:val="82"/>
        </w:numPr>
        <w:spacing w:after="0"/>
        <w:rPr>
          <w:rFonts w:asciiTheme="minorHAnsi" w:hAnsiTheme="minorHAnsi"/>
        </w:rPr>
      </w:pPr>
      <w:r w:rsidRPr="002A3F98">
        <w:rPr>
          <w:rFonts w:asciiTheme="minorHAnsi" w:hAnsiTheme="minorHAnsi"/>
        </w:rPr>
        <w:t xml:space="preserve">proportion of fatalities from fires commencing within the </w:t>
      </w:r>
      <w:r w:rsidR="00036386">
        <w:rPr>
          <w:rFonts w:asciiTheme="minorHAnsi" w:hAnsiTheme="minorHAnsi"/>
        </w:rPr>
        <w:t>sole-occupancy unit</w:t>
      </w:r>
      <w:r w:rsidRPr="002A3F98">
        <w:rPr>
          <w:rFonts w:asciiTheme="minorHAnsi" w:hAnsiTheme="minorHAnsi"/>
        </w:rPr>
        <w:t xml:space="preserve">; and </w:t>
      </w:r>
    </w:p>
    <w:p w:rsidR="0029475C" w:rsidRPr="002A3F98" w:rsidRDefault="0029475C" w:rsidP="00F17556">
      <w:pPr>
        <w:pStyle w:val="ListParagraph"/>
        <w:numPr>
          <w:ilvl w:val="0"/>
          <w:numId w:val="82"/>
        </w:numPr>
        <w:spacing w:after="120"/>
        <w:rPr>
          <w:rFonts w:asciiTheme="minorHAnsi" w:hAnsiTheme="minorHAnsi"/>
        </w:rPr>
      </w:pPr>
      <w:r w:rsidRPr="002A3F98">
        <w:rPr>
          <w:rFonts w:asciiTheme="minorHAnsi" w:hAnsiTheme="minorHAnsi"/>
        </w:rPr>
        <w:t xml:space="preserve">reduction ratio from the provision of </w:t>
      </w:r>
      <w:r w:rsidR="00B6645B">
        <w:rPr>
          <w:rFonts w:asciiTheme="minorHAnsi" w:hAnsiTheme="minorHAnsi"/>
        </w:rPr>
        <w:t xml:space="preserve">fire </w:t>
      </w:r>
      <w:r w:rsidRPr="002A3F98" w:rsidDel="00D722AF">
        <w:rPr>
          <w:rFonts w:asciiTheme="minorHAnsi" w:hAnsiTheme="minorHAnsi"/>
        </w:rPr>
        <w:t xml:space="preserve">sprinklers and / or </w:t>
      </w:r>
      <w:r w:rsidRPr="002A3F98">
        <w:rPr>
          <w:rFonts w:asciiTheme="minorHAnsi" w:hAnsiTheme="minorHAnsi"/>
        </w:rPr>
        <w:t xml:space="preserve">smoke detection/alarm systems. </w:t>
      </w:r>
    </w:p>
    <w:p w:rsidR="006D4101" w:rsidRDefault="00B952DD" w:rsidP="00AA38F2">
      <w:pPr>
        <w:spacing w:after="120"/>
        <w:rPr>
          <w:rFonts w:asciiTheme="minorHAnsi" w:hAnsiTheme="minorHAnsi"/>
        </w:rPr>
      </w:pPr>
      <w:r w:rsidRPr="00AA38F2">
        <w:rPr>
          <w:rFonts w:asciiTheme="minorHAnsi" w:hAnsiTheme="minorHAnsi"/>
        </w:rPr>
        <w:t xml:space="preserve">Based on US fire statistics, </w:t>
      </w:r>
      <w:r w:rsidR="00036386">
        <w:rPr>
          <w:rFonts w:asciiTheme="minorHAnsi" w:hAnsiTheme="minorHAnsi"/>
        </w:rPr>
        <w:t>Table 2</w:t>
      </w:r>
      <w:r w:rsidRPr="00AA38F2">
        <w:rPr>
          <w:rFonts w:asciiTheme="minorHAnsi" w:hAnsiTheme="minorHAnsi"/>
        </w:rPr>
        <w:t xml:space="preserve"> shows the risk of fatality per annum from fire in Class 2 and 3 buildings. </w:t>
      </w:r>
    </w:p>
    <w:p w:rsidR="00B952DD" w:rsidRPr="00BD2C3C" w:rsidRDefault="00B952DD" w:rsidP="00005855">
      <w:pPr>
        <w:pStyle w:val="Caption"/>
        <w:keepNext/>
        <w:spacing w:after="0"/>
        <w:jc w:val="center"/>
        <w:rPr>
          <w:rFonts w:asciiTheme="minorHAnsi" w:hAnsiTheme="minorHAnsi"/>
          <w:b w:val="0"/>
          <w:bCs w:val="0"/>
          <w:iCs/>
          <w:color w:val="002060"/>
          <w:sz w:val="24"/>
          <w:szCs w:val="24"/>
        </w:rPr>
      </w:pPr>
      <w:r w:rsidRPr="00BD2C3C">
        <w:rPr>
          <w:rFonts w:asciiTheme="minorHAnsi" w:hAnsiTheme="minorHAnsi"/>
          <w:b w:val="0"/>
          <w:bCs w:val="0"/>
          <w:iCs/>
          <w:color w:val="002060"/>
          <w:sz w:val="24"/>
          <w:szCs w:val="24"/>
        </w:rPr>
        <w:t xml:space="preserve">Table </w:t>
      </w:r>
      <w:r w:rsidR="00B44B23">
        <w:rPr>
          <w:rFonts w:asciiTheme="minorHAnsi" w:hAnsiTheme="minorHAnsi"/>
          <w:b w:val="0"/>
          <w:bCs w:val="0"/>
          <w:iCs/>
          <w:color w:val="002060"/>
          <w:sz w:val="24"/>
          <w:szCs w:val="24"/>
        </w:rPr>
        <w:t>2</w:t>
      </w:r>
      <w:r w:rsidR="00005855">
        <w:rPr>
          <w:rFonts w:asciiTheme="minorHAnsi" w:hAnsiTheme="minorHAnsi"/>
          <w:b w:val="0"/>
          <w:bCs w:val="0"/>
          <w:iCs/>
          <w:color w:val="002060"/>
          <w:sz w:val="24"/>
          <w:szCs w:val="24"/>
        </w:rPr>
        <w:t>:</w:t>
      </w:r>
      <w:r w:rsidR="00B44B23" w:rsidRPr="00BD2C3C">
        <w:rPr>
          <w:rFonts w:asciiTheme="minorHAnsi" w:hAnsiTheme="minorHAnsi"/>
          <w:b w:val="0"/>
          <w:bCs w:val="0"/>
          <w:iCs/>
          <w:color w:val="002060"/>
          <w:sz w:val="24"/>
          <w:szCs w:val="24"/>
        </w:rPr>
        <w:t xml:space="preserve"> </w:t>
      </w:r>
      <w:r w:rsidRPr="00BD2C3C">
        <w:rPr>
          <w:rFonts w:asciiTheme="minorHAnsi" w:hAnsiTheme="minorHAnsi"/>
          <w:b w:val="0"/>
          <w:bCs w:val="0"/>
          <w:iCs/>
          <w:color w:val="002060"/>
          <w:sz w:val="24"/>
          <w:szCs w:val="24"/>
        </w:rPr>
        <w:t xml:space="preserve">Annual risk of fatality from fire in </w:t>
      </w:r>
      <w:r w:rsidR="005D2FE8" w:rsidRPr="00BD2C3C">
        <w:rPr>
          <w:rFonts w:asciiTheme="minorHAnsi" w:hAnsiTheme="minorHAnsi"/>
          <w:b w:val="0"/>
          <w:bCs w:val="0"/>
          <w:iCs/>
          <w:color w:val="002060"/>
          <w:sz w:val="24"/>
          <w:szCs w:val="24"/>
        </w:rPr>
        <w:t xml:space="preserve">an SOU of fire origin </w:t>
      </w:r>
      <w:r w:rsidR="00036386">
        <w:rPr>
          <w:rFonts w:asciiTheme="minorHAnsi" w:hAnsiTheme="minorHAnsi"/>
          <w:b w:val="0"/>
          <w:bCs w:val="0"/>
          <w:iCs/>
          <w:color w:val="002060"/>
          <w:sz w:val="24"/>
          <w:szCs w:val="24"/>
        </w:rPr>
        <w:t>in</w:t>
      </w:r>
      <w:r w:rsidR="005D2FE8" w:rsidRPr="00BD2C3C">
        <w:rPr>
          <w:rFonts w:asciiTheme="minorHAnsi" w:hAnsiTheme="minorHAnsi"/>
          <w:b w:val="0"/>
          <w:bCs w:val="0"/>
          <w:iCs/>
          <w:color w:val="002060"/>
          <w:sz w:val="24"/>
          <w:szCs w:val="24"/>
        </w:rPr>
        <w:t xml:space="preserve"> </w:t>
      </w:r>
      <w:r w:rsidRPr="00BD2C3C">
        <w:rPr>
          <w:rFonts w:asciiTheme="minorHAnsi" w:hAnsiTheme="minorHAnsi"/>
          <w:b w:val="0"/>
          <w:bCs w:val="0"/>
          <w:iCs/>
          <w:color w:val="002060"/>
          <w:sz w:val="24"/>
          <w:szCs w:val="24"/>
        </w:rPr>
        <w:t>Class 2 and 3 buildings</w:t>
      </w:r>
    </w:p>
    <w:tbl>
      <w:tblPr>
        <w:tblStyle w:val="GridTable6Colorful-Accent1"/>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of Annual risk of fatality from fire in an SOU of fire origin of Class 2 and 3 buildings"/>
      </w:tblPr>
      <w:tblGrid>
        <w:gridCol w:w="2082"/>
        <w:gridCol w:w="1438"/>
        <w:gridCol w:w="1240"/>
        <w:gridCol w:w="1438"/>
        <w:gridCol w:w="1409"/>
        <w:gridCol w:w="1409"/>
      </w:tblGrid>
      <w:tr w:rsidR="007F2CE4" w:rsidRPr="0029475C" w:rsidTr="00C321BA">
        <w:trPr>
          <w:trHeight w:val="1339"/>
          <w:tblHeader/>
          <w:jc w:val="center"/>
        </w:trPr>
        <w:tc>
          <w:tcPr>
            <w:cnfStyle w:val="000010000000" w:firstRow="0" w:lastRow="0" w:firstColumn="0" w:lastColumn="0" w:oddVBand="1" w:evenVBand="0" w:oddHBand="0" w:evenHBand="0" w:firstRowFirstColumn="0" w:firstRowLastColumn="0" w:lastRowFirstColumn="0" w:lastRowLastColumn="0"/>
            <w:tcW w:w="2082" w:type="dxa"/>
            <w:shd w:val="clear" w:color="auto" w:fill="002060"/>
          </w:tcPr>
          <w:p w:rsidR="007F2CE4" w:rsidRPr="00431D4B" w:rsidRDefault="007F2CE4" w:rsidP="00A743A3">
            <w:pPr>
              <w:autoSpaceDE w:val="0"/>
              <w:autoSpaceDN w:val="0"/>
              <w:adjustRightInd w:val="0"/>
              <w:spacing w:before="120" w:after="120"/>
              <w:jc w:val="center"/>
              <w:rPr>
                <w:rFonts w:asciiTheme="minorHAnsi" w:eastAsia="Times New Roman" w:hAnsiTheme="minorHAnsi" w:cs="Arial"/>
                <w:color w:val="FFFFFF" w:themeColor="background1"/>
                <w:lang w:eastAsia="en-AU"/>
              </w:rPr>
            </w:pPr>
            <w:r w:rsidRPr="00431D4B">
              <w:rPr>
                <w:rFonts w:asciiTheme="minorHAnsi" w:eastAsia="Times New Roman" w:hAnsiTheme="minorHAnsi" w:cs="Arial"/>
                <w:color w:val="FFFFFF" w:themeColor="background1"/>
                <w:lang w:eastAsia="en-AU"/>
              </w:rPr>
              <w:t>Description</w:t>
            </w:r>
          </w:p>
        </w:tc>
        <w:tc>
          <w:tcPr>
            <w:tcW w:w="1438" w:type="dxa"/>
            <w:shd w:val="clear" w:color="auto" w:fill="002060"/>
          </w:tcPr>
          <w:p w:rsidR="007F2CE4" w:rsidRPr="00431D4B" w:rsidRDefault="007F2CE4" w:rsidP="00A743A3">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FFFF" w:themeColor="background1"/>
                <w:lang w:eastAsia="en-AU"/>
              </w:rPr>
            </w:pPr>
            <w:r w:rsidRPr="00431D4B">
              <w:rPr>
                <w:rFonts w:asciiTheme="minorHAnsi" w:eastAsia="Times New Roman" w:hAnsiTheme="minorHAnsi" w:cs="Arial"/>
                <w:color w:val="FFFFFF" w:themeColor="background1"/>
                <w:lang w:eastAsia="en-AU"/>
              </w:rPr>
              <w:t>Frequen</w:t>
            </w:r>
            <w:r w:rsidR="00005855">
              <w:rPr>
                <w:rFonts w:asciiTheme="minorHAnsi" w:eastAsia="Times New Roman" w:hAnsiTheme="minorHAnsi" w:cs="Arial"/>
                <w:color w:val="FFFFFF" w:themeColor="background1"/>
                <w:lang w:eastAsia="en-AU"/>
              </w:rPr>
              <w:t>cy of F</w:t>
            </w:r>
            <w:r w:rsidRPr="00431D4B">
              <w:rPr>
                <w:rFonts w:asciiTheme="minorHAnsi" w:eastAsia="Times New Roman" w:hAnsiTheme="minorHAnsi" w:cs="Arial"/>
                <w:color w:val="FFFFFF" w:themeColor="background1"/>
                <w:lang w:eastAsia="en-AU"/>
              </w:rPr>
              <w:t xml:space="preserve">ire </w:t>
            </w:r>
            <w:r w:rsidR="00005855">
              <w:rPr>
                <w:rFonts w:asciiTheme="minorHAnsi" w:eastAsia="Times New Roman" w:hAnsiTheme="minorHAnsi" w:cs="Arial"/>
                <w:color w:val="FFFFFF" w:themeColor="background1"/>
                <w:lang w:eastAsia="en-AU"/>
              </w:rPr>
              <w:t>S</w:t>
            </w:r>
            <w:r w:rsidRPr="00431D4B">
              <w:rPr>
                <w:rFonts w:asciiTheme="minorHAnsi" w:eastAsia="Times New Roman" w:hAnsiTheme="minorHAnsi" w:cs="Arial"/>
                <w:color w:val="FFFFFF" w:themeColor="background1"/>
                <w:lang w:eastAsia="en-AU"/>
              </w:rPr>
              <w:t xml:space="preserve">tarts </w:t>
            </w:r>
            <w:r w:rsidR="00005855">
              <w:rPr>
                <w:rFonts w:asciiTheme="minorHAnsi" w:eastAsia="Times New Roman" w:hAnsiTheme="minorHAnsi" w:cs="Arial"/>
                <w:color w:val="FFFFFF" w:themeColor="background1"/>
                <w:lang w:eastAsia="en-AU"/>
              </w:rPr>
              <w:t>per</w:t>
            </w:r>
            <w:r w:rsidRPr="00431D4B">
              <w:rPr>
                <w:rFonts w:asciiTheme="minorHAnsi" w:eastAsia="Times New Roman" w:hAnsiTheme="minorHAnsi" w:cs="Arial"/>
                <w:color w:val="FFFFFF" w:themeColor="background1"/>
                <w:lang w:eastAsia="en-AU"/>
              </w:rPr>
              <w:t xml:space="preserve"> 1</w:t>
            </w:r>
            <w:r w:rsidR="00005855">
              <w:rPr>
                <w:rFonts w:asciiTheme="minorHAnsi" w:eastAsia="Times New Roman" w:hAnsiTheme="minorHAnsi" w:cs="Arial"/>
                <w:color w:val="FFFFFF" w:themeColor="background1"/>
                <w:lang w:eastAsia="en-AU"/>
              </w:rPr>
              <w:t>,</w:t>
            </w:r>
            <w:r w:rsidRPr="00431D4B">
              <w:rPr>
                <w:rFonts w:asciiTheme="minorHAnsi" w:eastAsia="Times New Roman" w:hAnsiTheme="minorHAnsi" w:cs="Arial"/>
                <w:color w:val="FFFFFF" w:themeColor="background1"/>
                <w:lang w:eastAsia="en-AU"/>
              </w:rPr>
              <w:t>000 SOUs</w:t>
            </w:r>
          </w:p>
        </w:tc>
        <w:tc>
          <w:tcPr>
            <w:cnfStyle w:val="000010000000" w:firstRow="0" w:lastRow="0" w:firstColumn="0" w:lastColumn="0" w:oddVBand="1" w:evenVBand="0" w:oddHBand="0" w:evenHBand="0" w:firstRowFirstColumn="0" w:firstRowLastColumn="0" w:lastRowFirstColumn="0" w:lastRowLastColumn="0"/>
            <w:tcW w:w="1240" w:type="dxa"/>
            <w:shd w:val="clear" w:color="auto" w:fill="002060"/>
          </w:tcPr>
          <w:p w:rsidR="007F2CE4" w:rsidRPr="00431D4B" w:rsidRDefault="007F2CE4" w:rsidP="00A743A3">
            <w:pPr>
              <w:autoSpaceDE w:val="0"/>
              <w:autoSpaceDN w:val="0"/>
              <w:adjustRightInd w:val="0"/>
              <w:spacing w:before="120" w:after="120"/>
              <w:jc w:val="center"/>
              <w:rPr>
                <w:rFonts w:asciiTheme="minorHAnsi" w:eastAsia="Times New Roman" w:hAnsiTheme="minorHAnsi" w:cs="Arial"/>
                <w:color w:val="FFFFFF" w:themeColor="background1"/>
                <w:lang w:eastAsia="en-AU"/>
              </w:rPr>
            </w:pPr>
            <w:r w:rsidRPr="00431D4B">
              <w:rPr>
                <w:rFonts w:asciiTheme="minorHAnsi" w:eastAsia="Times New Roman" w:hAnsiTheme="minorHAnsi" w:cs="Arial"/>
                <w:color w:val="FFFFFF" w:themeColor="background1"/>
                <w:lang w:eastAsia="en-AU"/>
              </w:rPr>
              <w:t xml:space="preserve">Fatality </w:t>
            </w:r>
            <w:r w:rsidR="00005855">
              <w:rPr>
                <w:rFonts w:asciiTheme="minorHAnsi" w:eastAsia="Times New Roman" w:hAnsiTheme="minorHAnsi" w:cs="Arial"/>
                <w:color w:val="FFFFFF" w:themeColor="background1"/>
                <w:lang w:eastAsia="en-AU"/>
              </w:rPr>
              <w:t>R</w:t>
            </w:r>
            <w:r w:rsidRPr="00431D4B">
              <w:rPr>
                <w:rFonts w:asciiTheme="minorHAnsi" w:eastAsia="Times New Roman" w:hAnsiTheme="minorHAnsi" w:cs="Arial"/>
                <w:color w:val="FFFFFF" w:themeColor="background1"/>
                <w:lang w:eastAsia="en-AU"/>
              </w:rPr>
              <w:t xml:space="preserve">ate </w:t>
            </w:r>
            <w:r w:rsidR="00005855">
              <w:rPr>
                <w:rFonts w:asciiTheme="minorHAnsi" w:eastAsia="Times New Roman" w:hAnsiTheme="minorHAnsi" w:cs="Arial"/>
                <w:color w:val="FFFFFF" w:themeColor="background1"/>
                <w:lang w:eastAsia="en-AU"/>
              </w:rPr>
              <w:t>per</w:t>
            </w:r>
            <w:r w:rsidRPr="00431D4B">
              <w:rPr>
                <w:rFonts w:asciiTheme="minorHAnsi" w:eastAsia="Times New Roman" w:hAnsiTheme="minorHAnsi" w:cs="Arial"/>
                <w:color w:val="FFFFFF" w:themeColor="background1"/>
                <w:lang w:eastAsia="en-AU"/>
              </w:rPr>
              <w:t xml:space="preserve"> 1</w:t>
            </w:r>
            <w:r w:rsidR="00005855">
              <w:rPr>
                <w:rFonts w:asciiTheme="minorHAnsi" w:eastAsia="Times New Roman" w:hAnsiTheme="minorHAnsi" w:cs="Arial"/>
                <w:color w:val="FFFFFF" w:themeColor="background1"/>
                <w:lang w:eastAsia="en-AU"/>
              </w:rPr>
              <w:t>,</w:t>
            </w:r>
            <w:r w:rsidRPr="00431D4B">
              <w:rPr>
                <w:rFonts w:asciiTheme="minorHAnsi" w:eastAsia="Times New Roman" w:hAnsiTheme="minorHAnsi" w:cs="Arial"/>
                <w:color w:val="FFFFFF" w:themeColor="background1"/>
                <w:lang w:eastAsia="en-AU"/>
              </w:rPr>
              <w:t xml:space="preserve">000 </w:t>
            </w:r>
            <w:r w:rsidR="0031266F" w:rsidRPr="00431D4B">
              <w:rPr>
                <w:rFonts w:asciiTheme="minorHAnsi" w:eastAsia="Times New Roman" w:hAnsiTheme="minorHAnsi" w:cs="Arial"/>
                <w:color w:val="FFFFFF" w:themeColor="background1"/>
                <w:lang w:eastAsia="en-AU"/>
              </w:rPr>
              <w:t>SOUs</w:t>
            </w:r>
          </w:p>
        </w:tc>
        <w:tc>
          <w:tcPr>
            <w:tcW w:w="1438" w:type="dxa"/>
            <w:shd w:val="clear" w:color="auto" w:fill="002060"/>
          </w:tcPr>
          <w:p w:rsidR="007F2CE4" w:rsidRPr="00431D4B" w:rsidRDefault="007F2CE4" w:rsidP="00A743A3">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FFFF" w:themeColor="background1"/>
                <w:lang w:eastAsia="en-AU"/>
              </w:rPr>
            </w:pPr>
            <w:r w:rsidRPr="00431D4B">
              <w:rPr>
                <w:rFonts w:asciiTheme="minorHAnsi" w:eastAsia="Times New Roman" w:hAnsiTheme="minorHAnsi" w:cs="Arial"/>
                <w:color w:val="FFFFFF" w:themeColor="background1"/>
                <w:lang w:eastAsia="en-AU"/>
              </w:rPr>
              <w:t xml:space="preserve">Proportion of </w:t>
            </w:r>
            <w:r w:rsidR="00005855">
              <w:rPr>
                <w:rFonts w:asciiTheme="minorHAnsi" w:eastAsia="Times New Roman" w:hAnsiTheme="minorHAnsi" w:cs="Arial"/>
                <w:color w:val="FFFFFF" w:themeColor="background1"/>
                <w:lang w:eastAsia="en-AU"/>
              </w:rPr>
              <w:t>F</w:t>
            </w:r>
            <w:r w:rsidRPr="00431D4B">
              <w:rPr>
                <w:rFonts w:asciiTheme="minorHAnsi" w:eastAsia="Times New Roman" w:hAnsiTheme="minorHAnsi" w:cs="Arial"/>
                <w:color w:val="FFFFFF" w:themeColor="background1"/>
                <w:lang w:eastAsia="en-AU"/>
              </w:rPr>
              <w:t xml:space="preserve">atal </w:t>
            </w:r>
            <w:r w:rsidR="00005855">
              <w:rPr>
                <w:rFonts w:asciiTheme="minorHAnsi" w:eastAsia="Times New Roman" w:hAnsiTheme="minorHAnsi" w:cs="Arial"/>
                <w:color w:val="FFFFFF" w:themeColor="background1"/>
                <w:lang w:eastAsia="en-AU"/>
              </w:rPr>
              <w:t>F</w:t>
            </w:r>
            <w:r w:rsidRPr="00431D4B">
              <w:rPr>
                <w:rFonts w:asciiTheme="minorHAnsi" w:eastAsia="Times New Roman" w:hAnsiTheme="minorHAnsi" w:cs="Arial"/>
                <w:color w:val="FFFFFF" w:themeColor="background1"/>
                <w:lang w:eastAsia="en-AU"/>
              </w:rPr>
              <w:t>ires within SOU</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002060"/>
          </w:tcPr>
          <w:p w:rsidR="007F2CE4" w:rsidRPr="00431D4B" w:rsidRDefault="00795E92" w:rsidP="00A743A3">
            <w:pPr>
              <w:autoSpaceDE w:val="0"/>
              <w:autoSpaceDN w:val="0"/>
              <w:adjustRightInd w:val="0"/>
              <w:spacing w:before="120" w:after="120"/>
              <w:jc w:val="center"/>
              <w:rPr>
                <w:rFonts w:asciiTheme="minorHAnsi" w:eastAsia="Times New Roman" w:hAnsiTheme="minorHAnsi" w:cs="Arial"/>
                <w:color w:val="FFFFFF" w:themeColor="background1"/>
                <w:lang w:eastAsia="en-AU"/>
              </w:rPr>
            </w:pPr>
            <w:r w:rsidRPr="00431D4B">
              <w:rPr>
                <w:rFonts w:asciiTheme="minorHAnsi" w:eastAsia="Times New Roman" w:hAnsiTheme="minorHAnsi" w:cs="Arial"/>
                <w:color w:val="FFFFFF" w:themeColor="background1"/>
                <w:lang w:eastAsia="en-AU"/>
              </w:rPr>
              <w:t>R</w:t>
            </w:r>
            <w:r w:rsidR="00925589" w:rsidRPr="00431D4B">
              <w:rPr>
                <w:rFonts w:asciiTheme="minorHAnsi" w:eastAsia="Times New Roman" w:hAnsiTheme="minorHAnsi" w:cs="Arial"/>
                <w:color w:val="FFFFFF" w:themeColor="background1"/>
                <w:lang w:eastAsia="en-AU"/>
              </w:rPr>
              <w:t xml:space="preserve">eduction </w:t>
            </w:r>
            <w:r w:rsidR="00005855">
              <w:rPr>
                <w:rFonts w:asciiTheme="minorHAnsi" w:eastAsia="Times New Roman" w:hAnsiTheme="minorHAnsi" w:cs="Arial"/>
                <w:color w:val="FFFFFF" w:themeColor="background1"/>
                <w:lang w:eastAsia="en-AU"/>
              </w:rPr>
              <w:t>F</w:t>
            </w:r>
            <w:r w:rsidR="00925589" w:rsidRPr="00431D4B">
              <w:rPr>
                <w:rFonts w:asciiTheme="minorHAnsi" w:eastAsia="Times New Roman" w:hAnsiTheme="minorHAnsi" w:cs="Arial"/>
                <w:color w:val="FFFFFF" w:themeColor="background1"/>
                <w:lang w:eastAsia="en-AU"/>
              </w:rPr>
              <w:t>actor</w:t>
            </w:r>
            <w:r w:rsidRPr="00431D4B">
              <w:rPr>
                <w:rFonts w:asciiTheme="minorHAnsi" w:eastAsia="Times New Roman" w:hAnsiTheme="minorHAnsi" w:cs="Arial"/>
                <w:color w:val="FFFFFF" w:themeColor="background1"/>
                <w:lang w:eastAsia="en-AU"/>
              </w:rPr>
              <w:t xml:space="preserve"> for </w:t>
            </w:r>
            <w:r w:rsidR="00005855">
              <w:rPr>
                <w:rFonts w:asciiTheme="minorHAnsi" w:eastAsia="Times New Roman" w:hAnsiTheme="minorHAnsi" w:cs="Arial"/>
                <w:color w:val="FFFFFF" w:themeColor="background1"/>
                <w:lang w:eastAsia="en-AU"/>
              </w:rPr>
              <w:t>Fire Safety S</w:t>
            </w:r>
            <w:r w:rsidRPr="00431D4B">
              <w:rPr>
                <w:rFonts w:asciiTheme="minorHAnsi" w:eastAsia="Times New Roman" w:hAnsiTheme="minorHAnsi" w:cs="Arial"/>
                <w:color w:val="FFFFFF" w:themeColor="background1"/>
                <w:lang w:eastAsia="en-AU"/>
              </w:rPr>
              <w:t>ystem</w:t>
            </w:r>
          </w:p>
        </w:tc>
        <w:tc>
          <w:tcPr>
            <w:tcW w:w="1409" w:type="dxa"/>
            <w:shd w:val="clear" w:color="auto" w:fill="002060"/>
          </w:tcPr>
          <w:p w:rsidR="007F2CE4" w:rsidRPr="00431D4B" w:rsidRDefault="007F2CE4" w:rsidP="00A743A3">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FFFF" w:themeColor="background1"/>
                <w:lang w:eastAsia="en-AU"/>
              </w:rPr>
            </w:pPr>
            <w:r w:rsidRPr="00431D4B">
              <w:rPr>
                <w:rFonts w:asciiTheme="minorHAnsi" w:eastAsia="Times New Roman" w:hAnsiTheme="minorHAnsi" w:cs="Arial"/>
                <w:color w:val="FFFFFF" w:themeColor="background1"/>
                <w:lang w:eastAsia="en-AU"/>
              </w:rPr>
              <w:t>F</w:t>
            </w:r>
            <w:r w:rsidR="00005855">
              <w:rPr>
                <w:rFonts w:asciiTheme="minorHAnsi" w:eastAsia="Times New Roman" w:hAnsiTheme="minorHAnsi" w:cs="Arial"/>
                <w:color w:val="FFFFFF" w:themeColor="background1"/>
                <w:lang w:eastAsia="en-AU"/>
              </w:rPr>
              <w:t>atalities  per A</w:t>
            </w:r>
            <w:r w:rsidRPr="00431D4B">
              <w:rPr>
                <w:rFonts w:asciiTheme="minorHAnsi" w:eastAsia="Times New Roman" w:hAnsiTheme="minorHAnsi" w:cs="Arial"/>
                <w:color w:val="FFFFFF" w:themeColor="background1"/>
                <w:lang w:eastAsia="en-AU"/>
              </w:rPr>
              <w:t>nnum</w:t>
            </w:r>
            <w:r w:rsidR="00036386">
              <w:rPr>
                <w:rFonts w:asciiTheme="minorHAnsi" w:eastAsia="Times New Roman" w:hAnsiTheme="minorHAnsi" w:cs="Arial"/>
                <w:color w:val="FFFFFF" w:themeColor="background1"/>
                <w:lang w:eastAsia="en-AU"/>
              </w:rPr>
              <w:t xml:space="preserve"> </w:t>
            </w:r>
            <w:r w:rsidR="00005855">
              <w:rPr>
                <w:rFonts w:asciiTheme="minorHAnsi" w:eastAsia="Times New Roman" w:hAnsiTheme="minorHAnsi" w:cs="Arial"/>
                <w:color w:val="FFFFFF" w:themeColor="background1"/>
                <w:lang w:eastAsia="en-AU"/>
              </w:rPr>
              <w:t>per</w:t>
            </w:r>
            <w:r w:rsidRPr="00431D4B">
              <w:rPr>
                <w:rFonts w:asciiTheme="minorHAnsi" w:eastAsia="Times New Roman" w:hAnsiTheme="minorHAnsi" w:cs="Arial"/>
                <w:color w:val="FFFFFF" w:themeColor="background1"/>
                <w:lang w:eastAsia="en-AU"/>
              </w:rPr>
              <w:t xml:space="preserve"> SOU x 10</w:t>
            </w:r>
            <w:r w:rsidRPr="00005855">
              <w:rPr>
                <w:rFonts w:asciiTheme="minorHAnsi" w:eastAsia="Times New Roman" w:hAnsiTheme="minorHAnsi" w:cs="Arial"/>
                <w:color w:val="FFFFFF" w:themeColor="background1"/>
                <w:vertAlign w:val="superscript"/>
                <w:lang w:eastAsia="en-AU"/>
              </w:rPr>
              <w:t>-6</w:t>
            </w:r>
          </w:p>
        </w:tc>
      </w:tr>
      <w:tr w:rsidR="007F2CE4" w:rsidRPr="0029475C" w:rsidTr="00C321BA">
        <w:trPr>
          <w:cnfStyle w:val="000000100000" w:firstRow="0" w:lastRow="0" w:firstColumn="0" w:lastColumn="0" w:oddVBand="0" w:evenVBand="0" w:oddHBand="1" w:evenHBand="0" w:firstRowFirstColumn="0" w:firstRowLastColumn="0" w:lastRowFirstColumn="0" w:lastRowLastColumn="0"/>
          <w:trHeight w:val="157"/>
          <w:jc w:val="center"/>
        </w:trPr>
        <w:tc>
          <w:tcPr>
            <w:cnfStyle w:val="000010000000" w:firstRow="0" w:lastRow="0" w:firstColumn="0" w:lastColumn="0" w:oddVBand="1" w:evenVBand="0" w:oddHBand="0" w:evenHBand="0" w:firstRowFirstColumn="0" w:firstRowLastColumn="0" w:lastRowFirstColumn="0" w:lastRowLastColumn="0"/>
            <w:tcW w:w="2082" w:type="dxa"/>
            <w:shd w:val="clear" w:color="auto" w:fill="auto"/>
          </w:tcPr>
          <w:p w:rsidR="007F2CE4" w:rsidRPr="00FB7581" w:rsidRDefault="007F2CE4" w:rsidP="00664BD0">
            <w:pPr>
              <w:autoSpaceDE w:val="0"/>
              <w:autoSpaceDN w:val="0"/>
              <w:adjustRightInd w:val="0"/>
              <w:spacing w:before="120" w:after="120"/>
              <w:jc w:val="center"/>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Class 2</w:t>
            </w:r>
          </w:p>
        </w:tc>
        <w:tc>
          <w:tcPr>
            <w:tcW w:w="1438" w:type="dxa"/>
            <w:shd w:val="clear" w:color="auto" w:fill="auto"/>
          </w:tcPr>
          <w:p w:rsidR="007F2CE4" w:rsidRPr="00FB7581" w:rsidRDefault="007F2CE4" w:rsidP="00664BD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1.60</w:t>
            </w:r>
          </w:p>
        </w:tc>
        <w:tc>
          <w:tcPr>
            <w:cnfStyle w:val="000010000000" w:firstRow="0" w:lastRow="0" w:firstColumn="0" w:lastColumn="0" w:oddVBand="1" w:evenVBand="0" w:oddHBand="0" w:evenHBand="0" w:firstRowFirstColumn="0" w:firstRowLastColumn="0" w:lastRowFirstColumn="0" w:lastRowLastColumn="0"/>
            <w:tcW w:w="1240" w:type="dxa"/>
            <w:shd w:val="clear" w:color="auto" w:fill="auto"/>
          </w:tcPr>
          <w:p w:rsidR="007F2CE4" w:rsidRPr="00FB7581" w:rsidRDefault="007F2CE4" w:rsidP="00664BD0">
            <w:pPr>
              <w:autoSpaceDE w:val="0"/>
              <w:autoSpaceDN w:val="0"/>
              <w:adjustRightInd w:val="0"/>
              <w:spacing w:before="120" w:after="120"/>
              <w:jc w:val="center"/>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7.40</w:t>
            </w:r>
          </w:p>
        </w:tc>
        <w:tc>
          <w:tcPr>
            <w:tcW w:w="1438" w:type="dxa"/>
            <w:shd w:val="clear" w:color="auto" w:fill="auto"/>
          </w:tcPr>
          <w:p w:rsidR="007F2CE4" w:rsidRPr="00FB7581" w:rsidRDefault="007F2CE4" w:rsidP="00664BD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0.66</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auto"/>
          </w:tcPr>
          <w:p w:rsidR="007F2CE4" w:rsidRPr="00FB7581" w:rsidRDefault="00925589" w:rsidP="00664BD0">
            <w:pPr>
              <w:autoSpaceDE w:val="0"/>
              <w:autoSpaceDN w:val="0"/>
              <w:adjustRightInd w:val="0"/>
              <w:spacing w:before="120" w:after="120"/>
              <w:jc w:val="center"/>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 xml:space="preserve"> 0.44</w:t>
            </w:r>
          </w:p>
        </w:tc>
        <w:tc>
          <w:tcPr>
            <w:tcW w:w="1409" w:type="dxa"/>
            <w:shd w:val="clear" w:color="auto" w:fill="auto"/>
          </w:tcPr>
          <w:p w:rsidR="007F2CE4" w:rsidRPr="00FB7581" w:rsidRDefault="007F2CE4" w:rsidP="00664BD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3.44</w:t>
            </w:r>
          </w:p>
        </w:tc>
      </w:tr>
      <w:tr w:rsidR="007F2CE4" w:rsidRPr="0029475C" w:rsidTr="00C321BA">
        <w:trPr>
          <w:trHeight w:val="157"/>
          <w:jc w:val="center"/>
        </w:trPr>
        <w:tc>
          <w:tcPr>
            <w:cnfStyle w:val="000010000000" w:firstRow="0" w:lastRow="0" w:firstColumn="0" w:lastColumn="0" w:oddVBand="1" w:evenVBand="0" w:oddHBand="0" w:evenHBand="0" w:firstRowFirstColumn="0" w:firstRowLastColumn="0" w:lastRowFirstColumn="0" w:lastRowLastColumn="0"/>
            <w:tcW w:w="2082" w:type="dxa"/>
            <w:shd w:val="clear" w:color="auto" w:fill="auto"/>
          </w:tcPr>
          <w:p w:rsidR="007F2CE4" w:rsidRPr="00FB7581" w:rsidRDefault="007F2CE4" w:rsidP="00664BD0">
            <w:pPr>
              <w:autoSpaceDE w:val="0"/>
              <w:autoSpaceDN w:val="0"/>
              <w:adjustRightInd w:val="0"/>
              <w:spacing w:before="120" w:after="120"/>
              <w:jc w:val="center"/>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 xml:space="preserve">Class 3 </w:t>
            </w:r>
          </w:p>
        </w:tc>
        <w:tc>
          <w:tcPr>
            <w:tcW w:w="1438" w:type="dxa"/>
            <w:shd w:val="clear" w:color="auto" w:fill="auto"/>
          </w:tcPr>
          <w:p w:rsidR="007F2CE4" w:rsidRPr="00FB7581" w:rsidRDefault="007F2CE4" w:rsidP="00664BD0">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0.9</w:t>
            </w:r>
          </w:p>
        </w:tc>
        <w:tc>
          <w:tcPr>
            <w:cnfStyle w:val="000010000000" w:firstRow="0" w:lastRow="0" w:firstColumn="0" w:lastColumn="0" w:oddVBand="1" w:evenVBand="0" w:oddHBand="0" w:evenHBand="0" w:firstRowFirstColumn="0" w:firstRowLastColumn="0" w:lastRowFirstColumn="0" w:lastRowLastColumn="0"/>
            <w:tcW w:w="1240" w:type="dxa"/>
            <w:shd w:val="clear" w:color="auto" w:fill="auto"/>
          </w:tcPr>
          <w:p w:rsidR="007F2CE4" w:rsidRPr="00FB7581" w:rsidRDefault="007F2CE4" w:rsidP="00664BD0">
            <w:pPr>
              <w:autoSpaceDE w:val="0"/>
              <w:autoSpaceDN w:val="0"/>
              <w:adjustRightInd w:val="0"/>
              <w:spacing w:before="120" w:after="120"/>
              <w:jc w:val="center"/>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7.3</w:t>
            </w:r>
          </w:p>
        </w:tc>
        <w:tc>
          <w:tcPr>
            <w:tcW w:w="1438" w:type="dxa"/>
            <w:shd w:val="clear" w:color="auto" w:fill="auto"/>
          </w:tcPr>
          <w:p w:rsidR="007F2CE4" w:rsidRPr="00FB7581" w:rsidRDefault="007F2CE4" w:rsidP="00664BD0">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0.8</w:t>
            </w:r>
            <w:r w:rsidR="0031266F" w:rsidRPr="00FB7581">
              <w:rPr>
                <w:rFonts w:asciiTheme="minorHAnsi" w:eastAsia="Times New Roman" w:hAnsiTheme="minorHAnsi" w:cs="Arial"/>
                <w:color w:val="000000" w:themeColor="text1"/>
                <w:lang w:eastAsia="en-AU"/>
              </w:rPr>
              <w:t>4</w:t>
            </w:r>
          </w:p>
        </w:tc>
        <w:tc>
          <w:tcPr>
            <w:cnfStyle w:val="000010000000" w:firstRow="0" w:lastRow="0" w:firstColumn="0" w:lastColumn="0" w:oddVBand="1" w:evenVBand="0" w:oddHBand="0" w:evenHBand="0" w:firstRowFirstColumn="0" w:firstRowLastColumn="0" w:lastRowFirstColumn="0" w:lastRowLastColumn="0"/>
            <w:tcW w:w="1409" w:type="dxa"/>
            <w:shd w:val="clear" w:color="auto" w:fill="auto"/>
          </w:tcPr>
          <w:p w:rsidR="007F2CE4" w:rsidRPr="00FB7581" w:rsidRDefault="00925589" w:rsidP="00664BD0">
            <w:pPr>
              <w:autoSpaceDE w:val="0"/>
              <w:autoSpaceDN w:val="0"/>
              <w:adjustRightInd w:val="0"/>
              <w:spacing w:before="120" w:after="120"/>
              <w:jc w:val="center"/>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0.44</w:t>
            </w:r>
          </w:p>
        </w:tc>
        <w:tc>
          <w:tcPr>
            <w:tcW w:w="1409" w:type="dxa"/>
            <w:shd w:val="clear" w:color="auto" w:fill="auto"/>
          </w:tcPr>
          <w:p w:rsidR="007F2CE4" w:rsidRPr="00FB7581" w:rsidRDefault="007F2CE4" w:rsidP="00664BD0">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themeColor="text1"/>
                <w:lang w:eastAsia="en-AU"/>
              </w:rPr>
            </w:pPr>
            <w:r w:rsidRPr="00FB7581">
              <w:rPr>
                <w:rFonts w:asciiTheme="minorHAnsi" w:eastAsia="Times New Roman" w:hAnsiTheme="minorHAnsi" w:cs="Arial"/>
                <w:color w:val="000000" w:themeColor="text1"/>
                <w:lang w:eastAsia="en-AU"/>
              </w:rPr>
              <w:t>2.</w:t>
            </w:r>
            <w:r w:rsidR="0031266F" w:rsidRPr="00FB7581">
              <w:rPr>
                <w:rFonts w:asciiTheme="minorHAnsi" w:eastAsia="Times New Roman" w:hAnsiTheme="minorHAnsi" w:cs="Arial"/>
                <w:color w:val="000000" w:themeColor="text1"/>
                <w:lang w:eastAsia="en-AU"/>
              </w:rPr>
              <w:t>43</w:t>
            </w:r>
          </w:p>
        </w:tc>
      </w:tr>
    </w:tbl>
    <w:p w:rsidR="00B952DD" w:rsidRPr="000513CF" w:rsidRDefault="008D1131" w:rsidP="00C321BA">
      <w:pPr>
        <w:jc w:val="center"/>
        <w:rPr>
          <w:rFonts w:asciiTheme="minorHAnsi" w:hAnsiTheme="minorHAnsi"/>
        </w:rPr>
      </w:pPr>
      <w:r w:rsidRPr="000513CF">
        <w:rPr>
          <w:rFonts w:asciiTheme="minorHAnsi" w:hAnsiTheme="minorHAnsi"/>
        </w:rPr>
        <w:t xml:space="preserve">Source: EFT Consulting </w:t>
      </w:r>
      <w:r w:rsidR="00972421">
        <w:rPr>
          <w:rFonts w:asciiTheme="minorHAnsi" w:hAnsiTheme="minorHAnsi"/>
        </w:rPr>
        <w:t>(</w:t>
      </w:r>
      <w:r w:rsidRPr="000513CF">
        <w:rPr>
          <w:rFonts w:asciiTheme="minorHAnsi" w:hAnsiTheme="minorHAnsi"/>
        </w:rPr>
        <w:t>2016</w:t>
      </w:r>
      <w:r w:rsidR="00972421">
        <w:rPr>
          <w:rFonts w:asciiTheme="minorHAnsi" w:hAnsiTheme="minorHAnsi"/>
        </w:rPr>
        <w:t>)</w:t>
      </w:r>
      <w:r w:rsidRPr="000513CF">
        <w:rPr>
          <w:rFonts w:asciiTheme="minorHAnsi" w:hAnsiTheme="minorHAnsi"/>
        </w:rPr>
        <w:t>.</w:t>
      </w:r>
    </w:p>
    <w:p w:rsidR="0029475C" w:rsidRPr="00930AB2" w:rsidRDefault="0029475C" w:rsidP="00930AB2">
      <w:pPr>
        <w:autoSpaceDE w:val="0"/>
        <w:autoSpaceDN w:val="0"/>
        <w:adjustRightInd w:val="0"/>
        <w:spacing w:after="240" w:line="240" w:lineRule="auto"/>
        <w:rPr>
          <w:rFonts w:asciiTheme="minorHAnsi" w:hAnsiTheme="minorHAnsi"/>
        </w:rPr>
      </w:pPr>
      <w:r w:rsidRPr="002A3F98">
        <w:rPr>
          <w:rFonts w:asciiTheme="minorHAnsi" w:hAnsiTheme="minorHAnsi"/>
        </w:rPr>
        <w:t xml:space="preserve">The </w:t>
      </w:r>
      <w:r w:rsidR="007827B1" w:rsidRPr="002A3F98">
        <w:rPr>
          <w:rFonts w:asciiTheme="minorHAnsi" w:hAnsiTheme="minorHAnsi"/>
        </w:rPr>
        <w:t xml:space="preserve">relative </w:t>
      </w:r>
      <w:r w:rsidRPr="002A3F98">
        <w:rPr>
          <w:rFonts w:asciiTheme="minorHAnsi" w:hAnsiTheme="minorHAnsi"/>
        </w:rPr>
        <w:t xml:space="preserve">individual risk is calculated by dividing the number of fatalities </w:t>
      </w:r>
      <w:r w:rsidR="00005855">
        <w:rPr>
          <w:rFonts w:asciiTheme="minorHAnsi" w:hAnsiTheme="minorHAnsi"/>
        </w:rPr>
        <w:t>per annum per</w:t>
      </w:r>
      <w:r w:rsidRPr="002A3F98">
        <w:rPr>
          <w:rFonts w:asciiTheme="minorHAnsi" w:hAnsiTheme="minorHAnsi"/>
        </w:rPr>
        <w:t xml:space="preserve"> </w:t>
      </w:r>
      <w:r w:rsidR="00005855">
        <w:rPr>
          <w:rFonts w:asciiTheme="minorHAnsi" w:hAnsiTheme="minorHAnsi"/>
        </w:rPr>
        <w:t>SOU</w:t>
      </w:r>
      <w:r w:rsidR="00036386" w:rsidRPr="002A3F98">
        <w:rPr>
          <w:rFonts w:asciiTheme="minorHAnsi" w:hAnsiTheme="minorHAnsi"/>
        </w:rPr>
        <w:t xml:space="preserve"> </w:t>
      </w:r>
      <w:r w:rsidRPr="002A3F98">
        <w:rPr>
          <w:rFonts w:asciiTheme="minorHAnsi" w:hAnsiTheme="minorHAnsi"/>
        </w:rPr>
        <w:t>by the number of occupants</w:t>
      </w:r>
      <w:r w:rsidR="00005855">
        <w:rPr>
          <w:rFonts w:asciiTheme="minorHAnsi" w:hAnsiTheme="minorHAnsi"/>
        </w:rPr>
        <w:t xml:space="preserve"> within</w:t>
      </w:r>
      <w:r w:rsidR="008D1131">
        <w:rPr>
          <w:rFonts w:asciiTheme="minorHAnsi" w:hAnsiTheme="minorHAnsi"/>
        </w:rPr>
        <w:t xml:space="preserve"> the </w:t>
      </w:r>
      <w:r w:rsidR="00005855">
        <w:rPr>
          <w:rFonts w:asciiTheme="minorHAnsi" w:hAnsiTheme="minorHAnsi"/>
        </w:rPr>
        <w:t>SOU</w:t>
      </w:r>
      <w:r w:rsidR="00036386">
        <w:rPr>
          <w:rFonts w:asciiTheme="minorHAnsi" w:hAnsiTheme="minorHAnsi"/>
        </w:rPr>
        <w:t xml:space="preserve"> </w:t>
      </w:r>
      <w:r w:rsidR="008D1131">
        <w:rPr>
          <w:rFonts w:asciiTheme="minorHAnsi" w:hAnsiTheme="minorHAnsi"/>
        </w:rPr>
        <w:t xml:space="preserve">(assumed to be 2.5). </w:t>
      </w:r>
    </w:p>
    <w:p w:rsidR="000E6ED6" w:rsidRPr="00BD2C3C" w:rsidRDefault="000E6ED6" w:rsidP="000513CF">
      <w:pPr>
        <w:pStyle w:val="Caption"/>
        <w:keepNext/>
        <w:spacing w:after="0"/>
        <w:jc w:val="center"/>
        <w:rPr>
          <w:rFonts w:asciiTheme="minorHAnsi" w:hAnsiTheme="minorHAnsi"/>
          <w:b w:val="0"/>
          <w:bCs w:val="0"/>
          <w:iCs/>
          <w:color w:val="002060"/>
          <w:sz w:val="24"/>
          <w:szCs w:val="24"/>
        </w:rPr>
      </w:pPr>
      <w:r w:rsidRPr="00BD2C3C">
        <w:rPr>
          <w:rFonts w:asciiTheme="minorHAnsi" w:hAnsiTheme="minorHAnsi"/>
          <w:b w:val="0"/>
          <w:bCs w:val="0"/>
          <w:iCs/>
          <w:color w:val="002060"/>
          <w:sz w:val="24"/>
          <w:szCs w:val="24"/>
        </w:rPr>
        <w:t xml:space="preserve">Table </w:t>
      </w:r>
      <w:r w:rsidR="00B44B23">
        <w:rPr>
          <w:rFonts w:asciiTheme="minorHAnsi" w:hAnsiTheme="minorHAnsi"/>
          <w:b w:val="0"/>
          <w:bCs w:val="0"/>
          <w:iCs/>
          <w:color w:val="002060"/>
          <w:sz w:val="24"/>
          <w:szCs w:val="24"/>
        </w:rPr>
        <w:t>3</w:t>
      </w:r>
      <w:r w:rsidR="00005855">
        <w:rPr>
          <w:rFonts w:asciiTheme="minorHAnsi" w:hAnsiTheme="minorHAnsi"/>
          <w:b w:val="0"/>
          <w:bCs w:val="0"/>
          <w:iCs/>
          <w:color w:val="002060"/>
          <w:sz w:val="24"/>
          <w:szCs w:val="24"/>
        </w:rPr>
        <w:t>:</w:t>
      </w:r>
      <w:r w:rsidR="00B44B23" w:rsidRPr="00BD2C3C">
        <w:rPr>
          <w:rFonts w:asciiTheme="minorHAnsi" w:hAnsiTheme="minorHAnsi"/>
          <w:b w:val="0"/>
          <w:bCs w:val="0"/>
          <w:iCs/>
          <w:color w:val="002060"/>
          <w:sz w:val="24"/>
          <w:szCs w:val="24"/>
        </w:rPr>
        <w:t xml:space="preserve"> </w:t>
      </w:r>
      <w:r w:rsidRPr="00BD2C3C">
        <w:rPr>
          <w:rFonts w:asciiTheme="minorHAnsi" w:hAnsiTheme="minorHAnsi"/>
          <w:b w:val="0"/>
          <w:bCs w:val="0"/>
          <w:iCs/>
          <w:color w:val="002060"/>
          <w:sz w:val="24"/>
          <w:szCs w:val="24"/>
        </w:rPr>
        <w:t>Individual risk to occupants of an SOU</w:t>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showing Individual risk to occupants of an SOU"/>
      </w:tblPr>
      <w:tblGrid>
        <w:gridCol w:w="2690"/>
        <w:gridCol w:w="2690"/>
      </w:tblGrid>
      <w:tr w:rsidR="007827B1" w:rsidRPr="0029475C" w:rsidTr="00C321BA">
        <w:trPr>
          <w:trHeight w:val="410"/>
          <w:tblHeader/>
          <w:jc w:val="center"/>
        </w:trPr>
        <w:tc>
          <w:tcPr>
            <w:cnfStyle w:val="000010000000" w:firstRow="0" w:lastRow="0" w:firstColumn="0" w:lastColumn="0" w:oddVBand="1" w:evenVBand="0" w:oddHBand="0" w:evenHBand="0" w:firstRowFirstColumn="0" w:firstRowLastColumn="0" w:lastRowFirstColumn="0" w:lastRowLastColumn="0"/>
            <w:tcW w:w="2690" w:type="dxa"/>
            <w:shd w:val="clear" w:color="auto" w:fill="002060"/>
          </w:tcPr>
          <w:p w:rsidR="007827B1" w:rsidRPr="002A3F98" w:rsidRDefault="007827B1" w:rsidP="00A743A3">
            <w:pPr>
              <w:autoSpaceDE w:val="0"/>
              <w:autoSpaceDN w:val="0"/>
              <w:adjustRightInd w:val="0"/>
              <w:spacing w:before="120" w:after="120"/>
              <w:jc w:val="center"/>
              <w:rPr>
                <w:rFonts w:asciiTheme="minorHAnsi" w:eastAsia="Times New Roman" w:hAnsiTheme="minorHAnsi" w:cs="Arial"/>
                <w:lang w:eastAsia="en-AU"/>
              </w:rPr>
            </w:pPr>
            <w:r w:rsidRPr="002A3F98">
              <w:rPr>
                <w:rFonts w:asciiTheme="minorHAnsi" w:eastAsia="Times New Roman" w:hAnsiTheme="minorHAnsi" w:cs="Arial"/>
                <w:lang w:eastAsia="en-AU"/>
              </w:rPr>
              <w:t xml:space="preserve">Building </w:t>
            </w:r>
            <w:r w:rsidR="00005855">
              <w:rPr>
                <w:rFonts w:asciiTheme="minorHAnsi" w:eastAsia="Times New Roman" w:hAnsiTheme="minorHAnsi" w:cs="Arial"/>
                <w:lang w:eastAsia="en-AU"/>
              </w:rPr>
              <w:t>D</w:t>
            </w:r>
            <w:r w:rsidRPr="002A3F98">
              <w:rPr>
                <w:rFonts w:asciiTheme="minorHAnsi" w:eastAsia="Times New Roman" w:hAnsiTheme="minorHAnsi" w:cs="Arial"/>
                <w:lang w:eastAsia="en-AU"/>
              </w:rPr>
              <w:t>escription</w:t>
            </w:r>
          </w:p>
        </w:tc>
        <w:tc>
          <w:tcPr>
            <w:tcW w:w="2690" w:type="dxa"/>
            <w:shd w:val="clear" w:color="auto" w:fill="002060"/>
          </w:tcPr>
          <w:p w:rsidR="007827B1" w:rsidRPr="007C6803" w:rsidRDefault="007827B1" w:rsidP="00A743A3">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AU"/>
              </w:rPr>
            </w:pPr>
            <w:r w:rsidRPr="002A3F98">
              <w:rPr>
                <w:rFonts w:asciiTheme="minorHAnsi" w:eastAsia="Times New Roman" w:hAnsiTheme="minorHAnsi" w:cs="Arial"/>
                <w:lang w:eastAsia="en-AU"/>
              </w:rPr>
              <w:t xml:space="preserve">Individual </w:t>
            </w:r>
            <w:r w:rsidR="00005855">
              <w:rPr>
                <w:rFonts w:asciiTheme="minorHAnsi" w:eastAsia="Times New Roman" w:hAnsiTheme="minorHAnsi" w:cs="Arial"/>
                <w:lang w:eastAsia="en-AU"/>
              </w:rPr>
              <w:t>R</w:t>
            </w:r>
            <w:r w:rsidRPr="002A3F98">
              <w:rPr>
                <w:rFonts w:asciiTheme="minorHAnsi" w:eastAsia="Times New Roman" w:hAnsiTheme="minorHAnsi" w:cs="Arial"/>
                <w:lang w:eastAsia="en-AU"/>
              </w:rPr>
              <w:t xml:space="preserve">isk of </w:t>
            </w:r>
            <w:r w:rsidR="00005855">
              <w:rPr>
                <w:rFonts w:asciiTheme="minorHAnsi" w:eastAsia="Times New Roman" w:hAnsiTheme="minorHAnsi" w:cs="Arial"/>
                <w:lang w:eastAsia="en-AU"/>
              </w:rPr>
              <w:t>F</w:t>
            </w:r>
            <w:r w:rsidRPr="002A3F98">
              <w:rPr>
                <w:rFonts w:asciiTheme="minorHAnsi" w:eastAsia="Times New Roman" w:hAnsiTheme="minorHAnsi" w:cs="Arial"/>
                <w:lang w:eastAsia="en-AU"/>
              </w:rPr>
              <w:t xml:space="preserve">atality within the SOU of </w:t>
            </w:r>
            <w:r w:rsidR="00005855">
              <w:rPr>
                <w:rFonts w:asciiTheme="minorHAnsi" w:eastAsia="Times New Roman" w:hAnsiTheme="minorHAnsi" w:cs="Arial"/>
                <w:lang w:eastAsia="en-AU"/>
              </w:rPr>
              <w:t>F</w:t>
            </w:r>
            <w:r w:rsidRPr="002A3F98">
              <w:rPr>
                <w:rFonts w:asciiTheme="minorHAnsi" w:eastAsia="Times New Roman" w:hAnsiTheme="minorHAnsi" w:cs="Arial"/>
                <w:lang w:eastAsia="en-AU"/>
              </w:rPr>
              <w:t xml:space="preserve">ire </w:t>
            </w:r>
            <w:r w:rsidR="00005855">
              <w:rPr>
                <w:rFonts w:asciiTheme="minorHAnsi" w:eastAsia="Times New Roman" w:hAnsiTheme="minorHAnsi" w:cs="Arial"/>
                <w:lang w:eastAsia="en-AU"/>
              </w:rPr>
              <w:t>Origin per A</w:t>
            </w:r>
            <w:r w:rsidRPr="002A3F98">
              <w:rPr>
                <w:rFonts w:asciiTheme="minorHAnsi" w:eastAsia="Times New Roman" w:hAnsiTheme="minorHAnsi" w:cs="Arial"/>
                <w:lang w:eastAsia="en-AU"/>
              </w:rPr>
              <w:t>nnum x 10</w:t>
            </w:r>
            <w:r w:rsidRPr="002A3F98">
              <w:rPr>
                <w:rFonts w:asciiTheme="minorHAnsi" w:eastAsia="Times New Roman" w:hAnsiTheme="minorHAnsi" w:cs="Arial"/>
                <w:vertAlign w:val="superscript"/>
                <w:lang w:eastAsia="en-AU"/>
              </w:rPr>
              <w:t>-6</w:t>
            </w:r>
          </w:p>
        </w:tc>
      </w:tr>
      <w:tr w:rsidR="007827B1" w:rsidRPr="0029475C" w:rsidTr="00C321BA">
        <w:trPr>
          <w:cnfStyle w:val="000000100000" w:firstRow="0" w:lastRow="0" w:firstColumn="0" w:lastColumn="0" w:oddVBand="0" w:evenVBand="0" w:oddHBand="1" w:evenHBand="0" w:firstRowFirstColumn="0" w:firstRowLastColumn="0" w:lastRowFirstColumn="0" w:lastRowLastColumn="0"/>
          <w:trHeight w:val="157"/>
          <w:jc w:val="center"/>
        </w:trPr>
        <w:tc>
          <w:tcPr>
            <w:cnfStyle w:val="000010000000" w:firstRow="0" w:lastRow="0" w:firstColumn="0" w:lastColumn="0" w:oddVBand="1" w:evenVBand="0" w:oddHBand="0" w:evenHBand="0" w:firstRowFirstColumn="0" w:firstRowLastColumn="0" w:lastRowFirstColumn="0" w:lastRowLastColumn="0"/>
            <w:tcW w:w="2690" w:type="dxa"/>
            <w:shd w:val="clear" w:color="auto" w:fill="auto"/>
          </w:tcPr>
          <w:p w:rsidR="007827B1" w:rsidRPr="002A3F98" w:rsidRDefault="007827B1" w:rsidP="00664BD0">
            <w:pPr>
              <w:autoSpaceDE w:val="0"/>
              <w:autoSpaceDN w:val="0"/>
              <w:adjustRightInd w:val="0"/>
              <w:spacing w:before="120" w:after="120"/>
              <w:jc w:val="center"/>
              <w:rPr>
                <w:rFonts w:asciiTheme="minorHAnsi" w:eastAsia="Times New Roman" w:hAnsiTheme="minorHAnsi" w:cs="Arial"/>
                <w:lang w:eastAsia="en-AU"/>
              </w:rPr>
            </w:pPr>
            <w:r w:rsidRPr="002A3F98">
              <w:rPr>
                <w:rFonts w:asciiTheme="minorHAnsi" w:eastAsia="Times New Roman" w:hAnsiTheme="minorHAnsi" w:cs="Arial"/>
                <w:lang w:eastAsia="en-AU"/>
              </w:rPr>
              <w:t xml:space="preserve"> Class 2 </w:t>
            </w:r>
          </w:p>
        </w:tc>
        <w:tc>
          <w:tcPr>
            <w:tcW w:w="2690" w:type="dxa"/>
            <w:shd w:val="clear" w:color="auto" w:fill="auto"/>
          </w:tcPr>
          <w:p w:rsidR="007827B1" w:rsidRPr="002A3F98" w:rsidRDefault="007827B1" w:rsidP="00664BD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AU"/>
              </w:rPr>
            </w:pPr>
            <w:r w:rsidRPr="002A3F98">
              <w:rPr>
                <w:rFonts w:asciiTheme="minorHAnsi" w:eastAsia="Times New Roman" w:hAnsiTheme="minorHAnsi" w:cs="Arial"/>
                <w:lang w:eastAsia="en-AU"/>
              </w:rPr>
              <w:t xml:space="preserve">1.38 </w:t>
            </w:r>
          </w:p>
        </w:tc>
      </w:tr>
      <w:tr w:rsidR="007827B1" w:rsidRPr="0029475C" w:rsidTr="00C321BA">
        <w:trPr>
          <w:trHeight w:val="506"/>
          <w:jc w:val="center"/>
        </w:trPr>
        <w:tc>
          <w:tcPr>
            <w:cnfStyle w:val="000010000000" w:firstRow="0" w:lastRow="0" w:firstColumn="0" w:lastColumn="0" w:oddVBand="1" w:evenVBand="0" w:oddHBand="0" w:evenHBand="0" w:firstRowFirstColumn="0" w:firstRowLastColumn="0" w:lastRowFirstColumn="0" w:lastRowLastColumn="0"/>
            <w:tcW w:w="2690" w:type="dxa"/>
            <w:shd w:val="clear" w:color="auto" w:fill="auto"/>
          </w:tcPr>
          <w:p w:rsidR="007827B1" w:rsidRPr="002A3F98" w:rsidRDefault="007827B1" w:rsidP="00664BD0">
            <w:pPr>
              <w:autoSpaceDE w:val="0"/>
              <w:autoSpaceDN w:val="0"/>
              <w:adjustRightInd w:val="0"/>
              <w:spacing w:before="120" w:after="120"/>
              <w:jc w:val="center"/>
              <w:rPr>
                <w:rFonts w:asciiTheme="minorHAnsi" w:eastAsia="Times New Roman" w:hAnsiTheme="minorHAnsi" w:cs="Arial"/>
                <w:lang w:eastAsia="en-AU"/>
              </w:rPr>
            </w:pPr>
            <w:r w:rsidRPr="002A3F98">
              <w:rPr>
                <w:rFonts w:asciiTheme="minorHAnsi" w:eastAsia="Times New Roman" w:hAnsiTheme="minorHAnsi" w:cs="Arial"/>
                <w:lang w:eastAsia="en-AU"/>
              </w:rPr>
              <w:t>Class 3</w:t>
            </w:r>
          </w:p>
        </w:tc>
        <w:tc>
          <w:tcPr>
            <w:tcW w:w="2690" w:type="dxa"/>
            <w:shd w:val="clear" w:color="auto" w:fill="auto"/>
          </w:tcPr>
          <w:p w:rsidR="007827B1" w:rsidRPr="002A3F98" w:rsidRDefault="007827B1" w:rsidP="00664BD0">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AU"/>
              </w:rPr>
            </w:pPr>
            <w:r w:rsidRPr="002A3F98">
              <w:rPr>
                <w:rFonts w:asciiTheme="minorHAnsi" w:eastAsia="Times New Roman" w:hAnsiTheme="minorHAnsi" w:cs="Arial"/>
                <w:lang w:eastAsia="en-AU"/>
              </w:rPr>
              <w:t xml:space="preserve">0.93 </w:t>
            </w:r>
          </w:p>
        </w:tc>
      </w:tr>
    </w:tbl>
    <w:p w:rsidR="0029475C" w:rsidRPr="000513CF" w:rsidRDefault="000E6ED6" w:rsidP="00C321BA">
      <w:pPr>
        <w:jc w:val="center"/>
        <w:rPr>
          <w:rFonts w:asciiTheme="minorHAnsi" w:hAnsiTheme="minorHAnsi"/>
        </w:rPr>
      </w:pPr>
      <w:r w:rsidRPr="000513CF">
        <w:rPr>
          <w:rFonts w:asciiTheme="minorHAnsi" w:hAnsiTheme="minorHAnsi"/>
        </w:rPr>
        <w:t xml:space="preserve">Source: EFT Consulting </w:t>
      </w:r>
      <w:r w:rsidR="00972421">
        <w:rPr>
          <w:rFonts w:asciiTheme="minorHAnsi" w:hAnsiTheme="minorHAnsi"/>
        </w:rPr>
        <w:t>(</w:t>
      </w:r>
      <w:r w:rsidRPr="000513CF">
        <w:rPr>
          <w:rFonts w:asciiTheme="minorHAnsi" w:hAnsiTheme="minorHAnsi"/>
        </w:rPr>
        <w:t>2016</w:t>
      </w:r>
      <w:r w:rsidR="00972421">
        <w:rPr>
          <w:rFonts w:asciiTheme="minorHAnsi" w:hAnsiTheme="minorHAnsi"/>
        </w:rPr>
        <w:t>)</w:t>
      </w:r>
      <w:r w:rsidRPr="000513CF">
        <w:rPr>
          <w:rFonts w:asciiTheme="minorHAnsi" w:hAnsiTheme="minorHAnsi"/>
        </w:rPr>
        <w:t>.</w:t>
      </w:r>
    </w:p>
    <w:p w:rsidR="00EC55DE" w:rsidRDefault="00733B84" w:rsidP="00930AB2">
      <w:pPr>
        <w:autoSpaceDE w:val="0"/>
        <w:autoSpaceDN w:val="0"/>
        <w:adjustRightInd w:val="0"/>
        <w:spacing w:after="240" w:line="240" w:lineRule="auto"/>
        <w:rPr>
          <w:rFonts w:asciiTheme="minorHAnsi" w:hAnsiTheme="minorHAnsi"/>
        </w:rPr>
      </w:pPr>
      <w:r w:rsidRPr="00733B84">
        <w:rPr>
          <w:rFonts w:asciiTheme="minorHAnsi" w:hAnsiTheme="minorHAnsi"/>
        </w:rPr>
        <w:lastRenderedPageBreak/>
        <w:t xml:space="preserve">From the above statistics, it can be seen that the individual risk of fatality from fire </w:t>
      </w:r>
      <w:r w:rsidR="00CE40E1">
        <w:rPr>
          <w:rFonts w:asciiTheme="minorHAnsi" w:hAnsiTheme="minorHAnsi"/>
        </w:rPr>
        <w:t>in non-sprinkler protected building</w:t>
      </w:r>
      <w:r w:rsidR="00BD2C3C">
        <w:rPr>
          <w:rFonts w:asciiTheme="minorHAnsi" w:hAnsiTheme="minorHAnsi"/>
        </w:rPr>
        <w:t>s</w:t>
      </w:r>
      <w:r w:rsidR="00CE40E1">
        <w:rPr>
          <w:rFonts w:asciiTheme="minorHAnsi" w:hAnsiTheme="minorHAnsi"/>
        </w:rPr>
        <w:t xml:space="preserve"> </w:t>
      </w:r>
      <w:r w:rsidRPr="00733B84">
        <w:rPr>
          <w:rFonts w:asciiTheme="minorHAnsi" w:hAnsiTheme="minorHAnsi"/>
        </w:rPr>
        <w:t>differs across building types,</w:t>
      </w:r>
      <w:r w:rsidR="00225A2F">
        <w:rPr>
          <w:rFonts w:asciiTheme="minorHAnsi" w:hAnsiTheme="minorHAnsi"/>
        </w:rPr>
        <w:t xml:space="preserve"> the risk level</w:t>
      </w:r>
      <w:r w:rsidRPr="00733B84">
        <w:rPr>
          <w:rFonts w:asciiTheme="minorHAnsi" w:hAnsiTheme="minorHAnsi"/>
        </w:rPr>
        <w:t xml:space="preserve"> is higher in Class 2 buildings</w:t>
      </w:r>
      <w:r w:rsidR="00225A2F">
        <w:rPr>
          <w:rFonts w:asciiTheme="minorHAnsi" w:hAnsiTheme="minorHAnsi"/>
        </w:rPr>
        <w:t xml:space="preserve">, </w:t>
      </w:r>
      <w:r w:rsidR="00225A2F" w:rsidRPr="00733B84">
        <w:rPr>
          <w:rFonts w:asciiTheme="minorHAnsi" w:hAnsiTheme="minorHAnsi"/>
        </w:rPr>
        <w:t>though</w:t>
      </w:r>
      <w:r w:rsidRPr="00733B84">
        <w:rPr>
          <w:rFonts w:asciiTheme="minorHAnsi" w:hAnsiTheme="minorHAnsi"/>
        </w:rPr>
        <w:t xml:space="preserve"> overall very low. </w:t>
      </w:r>
    </w:p>
    <w:p w:rsidR="00C427D7" w:rsidRDefault="00614940" w:rsidP="00930AB2">
      <w:pPr>
        <w:spacing w:after="0"/>
        <w:rPr>
          <w:rFonts w:asciiTheme="majorHAnsi" w:eastAsiaTheme="majorEastAsia" w:hAnsiTheme="majorHAnsi" w:cstheme="majorBidi"/>
          <w:b/>
          <w:bCs/>
          <w:iCs/>
          <w:color w:val="002060"/>
        </w:rPr>
      </w:pPr>
      <w:r w:rsidRPr="00C427D7">
        <w:rPr>
          <w:rFonts w:asciiTheme="majorHAnsi" w:eastAsiaTheme="majorEastAsia" w:hAnsiTheme="majorHAnsi" w:cstheme="majorBidi"/>
          <w:b/>
          <w:bCs/>
          <w:iCs/>
          <w:color w:val="002060"/>
        </w:rPr>
        <w:t>Injury Rate from Fire</w:t>
      </w:r>
    </w:p>
    <w:p w:rsidR="00614940" w:rsidRPr="00614940" w:rsidRDefault="00614940" w:rsidP="00614940">
      <w:pPr>
        <w:rPr>
          <w:rFonts w:asciiTheme="minorHAnsi" w:hAnsiTheme="minorHAnsi"/>
        </w:rPr>
      </w:pPr>
      <w:r w:rsidRPr="00614940">
        <w:rPr>
          <w:rFonts w:asciiTheme="minorHAnsi" w:hAnsiTheme="minorHAnsi"/>
        </w:rPr>
        <w:t>The cost of fire</w:t>
      </w:r>
      <w:r w:rsidR="00036386">
        <w:rPr>
          <w:rFonts w:asciiTheme="minorHAnsi" w:hAnsiTheme="minorHAnsi"/>
        </w:rPr>
        <w:t>-</w:t>
      </w:r>
      <w:r w:rsidRPr="00614940">
        <w:rPr>
          <w:rFonts w:asciiTheme="minorHAnsi" w:hAnsiTheme="minorHAnsi"/>
        </w:rPr>
        <w:t xml:space="preserve">related injuries impacts on occupants and the wider community in the form of medical expenses, lost productivity and a reduction in overall health and welfare. </w:t>
      </w:r>
    </w:p>
    <w:p w:rsidR="00614940" w:rsidRPr="00614940" w:rsidRDefault="00614940" w:rsidP="00614940">
      <w:pPr>
        <w:rPr>
          <w:rFonts w:asciiTheme="minorHAnsi" w:hAnsiTheme="minorHAnsi"/>
        </w:rPr>
      </w:pPr>
      <w:r w:rsidRPr="00614940">
        <w:rPr>
          <w:rFonts w:asciiTheme="minorHAnsi" w:hAnsiTheme="minorHAnsi"/>
        </w:rPr>
        <w:t xml:space="preserve">It is difficult to quantify the number of fire related injuries occurring in Class 2 and 3 buildings between four and eight storeys in height. </w:t>
      </w:r>
      <w:r w:rsidR="00972421">
        <w:rPr>
          <w:rFonts w:asciiTheme="minorHAnsi" w:hAnsiTheme="minorHAnsi"/>
        </w:rPr>
        <w:t>FR</w:t>
      </w:r>
      <w:r w:rsidRPr="00614940">
        <w:rPr>
          <w:rFonts w:asciiTheme="minorHAnsi" w:hAnsiTheme="minorHAnsi"/>
        </w:rPr>
        <w:t>NSW research identified that on average 134 fire</w:t>
      </w:r>
      <w:r w:rsidR="00036386">
        <w:rPr>
          <w:rFonts w:asciiTheme="minorHAnsi" w:hAnsiTheme="minorHAnsi"/>
        </w:rPr>
        <w:t>-</w:t>
      </w:r>
      <w:r w:rsidRPr="00614940">
        <w:rPr>
          <w:rFonts w:asciiTheme="minorHAnsi" w:hAnsiTheme="minorHAnsi"/>
        </w:rPr>
        <w:t>related injurie</w:t>
      </w:r>
      <w:r w:rsidR="00972421">
        <w:rPr>
          <w:rFonts w:asciiTheme="minorHAnsi" w:hAnsiTheme="minorHAnsi"/>
        </w:rPr>
        <w:t xml:space="preserve">s have occurred in Class 2 and </w:t>
      </w:r>
      <w:r w:rsidRPr="00614940">
        <w:rPr>
          <w:rFonts w:asciiTheme="minorHAnsi" w:hAnsiTheme="minorHAnsi"/>
        </w:rPr>
        <w:t xml:space="preserve">3 buildings in NSW between 1 July 2011 and 25 March 2015. </w:t>
      </w:r>
    </w:p>
    <w:p w:rsidR="006D4101" w:rsidRDefault="00614940" w:rsidP="00614940">
      <w:pPr>
        <w:rPr>
          <w:rFonts w:asciiTheme="minorHAnsi" w:hAnsiTheme="minorHAnsi"/>
        </w:rPr>
      </w:pPr>
      <w:r w:rsidRPr="00614940">
        <w:rPr>
          <w:rFonts w:asciiTheme="minorHAnsi" w:hAnsiTheme="minorHAnsi"/>
        </w:rPr>
        <w:t>The Report on Government Services (RoGS) gives a breakdown on the proportion of fire</w:t>
      </w:r>
      <w:r w:rsidR="00036386">
        <w:rPr>
          <w:rFonts w:asciiTheme="minorHAnsi" w:hAnsiTheme="minorHAnsi"/>
        </w:rPr>
        <w:t>-</w:t>
      </w:r>
      <w:r w:rsidRPr="00614940">
        <w:rPr>
          <w:rFonts w:asciiTheme="minorHAnsi" w:hAnsiTheme="minorHAnsi"/>
        </w:rPr>
        <w:t xml:space="preserve">related injuries in Australia and is shown in Table </w:t>
      </w:r>
      <w:r w:rsidR="00036386">
        <w:rPr>
          <w:rFonts w:asciiTheme="minorHAnsi" w:hAnsiTheme="minorHAnsi"/>
        </w:rPr>
        <w:t>4</w:t>
      </w:r>
      <w:r w:rsidR="006D4101">
        <w:rPr>
          <w:rFonts w:asciiTheme="minorHAnsi" w:hAnsiTheme="minorHAnsi"/>
        </w:rPr>
        <w:t>.</w:t>
      </w:r>
    </w:p>
    <w:p w:rsidR="00614940" w:rsidRPr="00614940" w:rsidRDefault="00614940" w:rsidP="00972421">
      <w:pPr>
        <w:keepNext/>
        <w:spacing w:after="0" w:line="240" w:lineRule="auto"/>
        <w:jc w:val="center"/>
        <w:rPr>
          <w:rFonts w:asciiTheme="minorHAnsi" w:hAnsiTheme="minorHAnsi"/>
          <w:iCs/>
          <w:color w:val="002060"/>
          <w:sz w:val="24"/>
          <w:szCs w:val="24"/>
        </w:rPr>
      </w:pPr>
      <w:r w:rsidRPr="00614940">
        <w:rPr>
          <w:rFonts w:asciiTheme="minorHAnsi" w:hAnsiTheme="minorHAnsi"/>
          <w:iCs/>
          <w:color w:val="002060"/>
          <w:sz w:val="24"/>
          <w:szCs w:val="24"/>
        </w:rPr>
        <w:t xml:space="preserve">Table </w:t>
      </w:r>
      <w:r w:rsidR="00B44B23">
        <w:rPr>
          <w:rFonts w:asciiTheme="minorHAnsi" w:hAnsiTheme="minorHAnsi"/>
          <w:iCs/>
          <w:color w:val="002060"/>
          <w:sz w:val="24"/>
          <w:szCs w:val="24"/>
        </w:rPr>
        <w:t>4</w:t>
      </w:r>
      <w:r w:rsidRPr="00614940">
        <w:rPr>
          <w:rFonts w:asciiTheme="minorHAnsi" w:hAnsiTheme="minorHAnsi"/>
          <w:iCs/>
          <w:color w:val="002060"/>
          <w:sz w:val="24"/>
          <w:szCs w:val="24"/>
        </w:rPr>
        <w:t>: Proportion of fire</w:t>
      </w:r>
      <w:r w:rsidR="00036386">
        <w:rPr>
          <w:rFonts w:asciiTheme="minorHAnsi" w:hAnsiTheme="minorHAnsi"/>
          <w:iCs/>
          <w:color w:val="002060"/>
          <w:sz w:val="24"/>
          <w:szCs w:val="24"/>
        </w:rPr>
        <w:t>-</w:t>
      </w:r>
      <w:r w:rsidRPr="00614940">
        <w:rPr>
          <w:rFonts w:asciiTheme="minorHAnsi" w:hAnsiTheme="minorHAnsi"/>
          <w:iCs/>
          <w:color w:val="002060"/>
          <w:sz w:val="24"/>
          <w:szCs w:val="24"/>
        </w:rPr>
        <w:t>related injuries in Australia</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06"/>
        <w:gridCol w:w="992"/>
        <w:gridCol w:w="993"/>
        <w:gridCol w:w="992"/>
        <w:gridCol w:w="992"/>
        <w:gridCol w:w="851"/>
        <w:gridCol w:w="992"/>
        <w:gridCol w:w="992"/>
        <w:gridCol w:w="992"/>
        <w:gridCol w:w="993"/>
      </w:tblGrid>
      <w:tr w:rsidR="00034CC4" w:rsidRPr="00614940" w:rsidTr="00C321BA">
        <w:trPr>
          <w:trHeight w:val="510"/>
          <w:tblHeader/>
          <w:jc w:val="center"/>
        </w:trPr>
        <w:tc>
          <w:tcPr>
            <w:tcW w:w="1406" w:type="dxa"/>
            <w:shd w:val="clear" w:color="auto" w:fill="002060"/>
            <w:vAlign w:val="center"/>
            <w:hideMark/>
          </w:tcPr>
          <w:p w:rsidR="00614940" w:rsidRPr="00614940" w:rsidRDefault="00614940" w:rsidP="00A743A3">
            <w:pPr>
              <w:spacing w:before="120" w:after="0" w:line="240" w:lineRule="auto"/>
              <w:jc w:val="center"/>
              <w:rPr>
                <w:rFonts w:asciiTheme="minorHAnsi" w:eastAsia="Times New Roman" w:hAnsiTheme="minorHAnsi" w:cs="Arial"/>
                <w:bCs/>
                <w:color w:val="FFFFFF" w:themeColor="background1"/>
                <w:lang w:eastAsia="en-AU"/>
              </w:rPr>
            </w:pPr>
            <w:r w:rsidRPr="00614940">
              <w:rPr>
                <w:rFonts w:asciiTheme="minorHAnsi" w:eastAsia="Times New Roman" w:hAnsiTheme="minorHAnsi" w:cs="Arial"/>
                <w:bCs/>
                <w:color w:val="FFFFFF" w:themeColor="background1"/>
                <w:lang w:eastAsia="en-AU"/>
              </w:rPr>
              <w:t xml:space="preserve">Total </w:t>
            </w:r>
            <w:r w:rsidR="00972421">
              <w:rPr>
                <w:rFonts w:asciiTheme="minorHAnsi" w:eastAsia="Times New Roman" w:hAnsiTheme="minorHAnsi" w:cs="Arial"/>
                <w:bCs/>
                <w:color w:val="FFFFFF" w:themeColor="background1"/>
                <w:lang w:eastAsia="en-AU"/>
              </w:rPr>
              <w:t>F</w:t>
            </w:r>
            <w:r w:rsidRPr="00614940">
              <w:rPr>
                <w:rFonts w:asciiTheme="minorHAnsi" w:eastAsia="Times New Roman" w:hAnsiTheme="minorHAnsi" w:cs="Arial"/>
                <w:bCs/>
                <w:color w:val="FFFFFF" w:themeColor="background1"/>
                <w:lang w:eastAsia="en-AU"/>
              </w:rPr>
              <w:t xml:space="preserve">ire </w:t>
            </w:r>
            <w:r w:rsidR="00972421">
              <w:rPr>
                <w:rFonts w:asciiTheme="minorHAnsi" w:eastAsia="Times New Roman" w:hAnsiTheme="minorHAnsi" w:cs="Arial"/>
                <w:bCs/>
                <w:color w:val="FFFFFF" w:themeColor="background1"/>
                <w:lang w:eastAsia="en-AU"/>
              </w:rPr>
              <w:t>I</w:t>
            </w:r>
            <w:r w:rsidRPr="00614940">
              <w:rPr>
                <w:rFonts w:asciiTheme="minorHAnsi" w:eastAsia="Times New Roman" w:hAnsiTheme="minorHAnsi" w:cs="Arial"/>
                <w:bCs/>
                <w:color w:val="FFFFFF" w:themeColor="background1"/>
                <w:lang w:eastAsia="en-AU"/>
              </w:rPr>
              <w:t xml:space="preserve">njury </w:t>
            </w:r>
            <w:r w:rsidR="00972421">
              <w:rPr>
                <w:rFonts w:asciiTheme="minorHAnsi" w:eastAsia="Times New Roman" w:hAnsiTheme="minorHAnsi" w:cs="Arial"/>
                <w:bCs/>
                <w:color w:val="FFFFFF" w:themeColor="background1"/>
                <w:lang w:eastAsia="en-AU"/>
              </w:rPr>
              <w:t>A</w:t>
            </w:r>
            <w:r w:rsidRPr="00614940">
              <w:rPr>
                <w:rFonts w:asciiTheme="minorHAnsi" w:eastAsia="Times New Roman" w:hAnsiTheme="minorHAnsi" w:cs="Arial"/>
                <w:bCs/>
                <w:color w:val="FFFFFF" w:themeColor="background1"/>
                <w:lang w:eastAsia="en-AU"/>
              </w:rPr>
              <w:t>dmissions</w:t>
            </w:r>
          </w:p>
        </w:tc>
        <w:tc>
          <w:tcPr>
            <w:tcW w:w="992"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NSW</w:t>
            </w:r>
          </w:p>
        </w:tc>
        <w:tc>
          <w:tcPr>
            <w:tcW w:w="993"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VIC</w:t>
            </w:r>
          </w:p>
        </w:tc>
        <w:tc>
          <w:tcPr>
            <w:tcW w:w="992"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QLD</w:t>
            </w:r>
          </w:p>
        </w:tc>
        <w:tc>
          <w:tcPr>
            <w:tcW w:w="992"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WA</w:t>
            </w:r>
          </w:p>
        </w:tc>
        <w:tc>
          <w:tcPr>
            <w:tcW w:w="851"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SA</w:t>
            </w:r>
          </w:p>
        </w:tc>
        <w:tc>
          <w:tcPr>
            <w:tcW w:w="992"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TAS</w:t>
            </w:r>
          </w:p>
        </w:tc>
        <w:tc>
          <w:tcPr>
            <w:tcW w:w="992"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ACT</w:t>
            </w:r>
          </w:p>
        </w:tc>
        <w:tc>
          <w:tcPr>
            <w:tcW w:w="992"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NT</w:t>
            </w:r>
          </w:p>
        </w:tc>
        <w:tc>
          <w:tcPr>
            <w:tcW w:w="993" w:type="dxa"/>
            <w:shd w:val="clear" w:color="auto" w:fill="002060"/>
            <w:noWrap/>
            <w:vAlign w:val="center"/>
            <w:hideMark/>
          </w:tcPr>
          <w:p w:rsidR="00614940" w:rsidRPr="00614940" w:rsidRDefault="00614940" w:rsidP="00664BD0">
            <w:pPr>
              <w:spacing w:before="120" w:after="0" w:line="240" w:lineRule="auto"/>
              <w:jc w:val="center"/>
              <w:rPr>
                <w:rFonts w:asciiTheme="minorHAnsi" w:eastAsia="Times New Roman" w:hAnsiTheme="minorHAnsi" w:cs="Arial"/>
                <w:bCs/>
                <w:iCs/>
                <w:color w:val="FFFFFF" w:themeColor="background1"/>
                <w:lang w:eastAsia="en-AU"/>
              </w:rPr>
            </w:pPr>
            <w:r w:rsidRPr="00614940">
              <w:rPr>
                <w:rFonts w:asciiTheme="minorHAnsi" w:eastAsia="Times New Roman" w:hAnsiTheme="minorHAnsi" w:cs="Arial"/>
                <w:bCs/>
                <w:iCs/>
                <w:color w:val="FFFFFF" w:themeColor="background1"/>
                <w:lang w:eastAsia="en-AU"/>
              </w:rPr>
              <w:t>AUST</w:t>
            </w:r>
          </w:p>
        </w:tc>
      </w:tr>
      <w:tr w:rsidR="00034CC4" w:rsidRPr="00614940" w:rsidTr="00C321BA">
        <w:trPr>
          <w:trHeight w:val="300"/>
          <w:jc w:val="center"/>
        </w:trPr>
        <w:tc>
          <w:tcPr>
            <w:tcW w:w="1406"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2014-15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29.5%</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18.5%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21.8%</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13.2%</w:t>
            </w:r>
          </w:p>
        </w:tc>
        <w:tc>
          <w:tcPr>
            <w:tcW w:w="851"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8.6%</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2.6%</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0.8%</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5.0%</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100.0%</w:t>
            </w:r>
          </w:p>
        </w:tc>
      </w:tr>
      <w:tr w:rsidR="00034CC4" w:rsidRPr="00614940" w:rsidTr="00C321BA">
        <w:trPr>
          <w:trHeight w:val="300"/>
          <w:jc w:val="center"/>
        </w:trPr>
        <w:tc>
          <w:tcPr>
            <w:tcW w:w="1406"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2013-14</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28.1%</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17.4%</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22.5%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12.3%</w:t>
            </w:r>
          </w:p>
        </w:tc>
        <w:tc>
          <w:tcPr>
            <w:tcW w:w="851"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12.0%</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0.9%</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4.8%</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100.0%</w:t>
            </w:r>
          </w:p>
        </w:tc>
      </w:tr>
      <w:tr w:rsidR="00034CC4" w:rsidRPr="00614940" w:rsidTr="00C321BA">
        <w:trPr>
          <w:trHeight w:val="300"/>
          <w:jc w:val="center"/>
        </w:trPr>
        <w:tc>
          <w:tcPr>
            <w:tcW w:w="1406"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2012-13</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28.2%</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15.5%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24.6%</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13.4%</w:t>
            </w:r>
          </w:p>
        </w:tc>
        <w:tc>
          <w:tcPr>
            <w:tcW w:w="851"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0.9%</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5.3%</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100.0%</w:t>
            </w:r>
          </w:p>
        </w:tc>
      </w:tr>
      <w:tr w:rsidR="00034CC4" w:rsidRPr="00614940" w:rsidTr="00C321BA">
        <w:trPr>
          <w:trHeight w:val="300"/>
          <w:jc w:val="center"/>
        </w:trPr>
        <w:tc>
          <w:tcPr>
            <w:tcW w:w="1406"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2011-12</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27.5%</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19.5%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23.7%</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12.0%</w:t>
            </w:r>
          </w:p>
        </w:tc>
        <w:tc>
          <w:tcPr>
            <w:tcW w:w="851"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9.4%</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0.8%</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4.9%</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100.0%</w:t>
            </w:r>
          </w:p>
        </w:tc>
      </w:tr>
      <w:tr w:rsidR="00034CC4" w:rsidRPr="00614940" w:rsidTr="00C321BA">
        <w:trPr>
          <w:trHeight w:val="300"/>
          <w:jc w:val="center"/>
        </w:trPr>
        <w:tc>
          <w:tcPr>
            <w:tcW w:w="1406"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2010-11</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24.9%</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20.9%</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24.3%</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12.2%</w:t>
            </w:r>
          </w:p>
        </w:tc>
        <w:tc>
          <w:tcPr>
            <w:tcW w:w="851"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9.5%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2.3%</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0.5%</w:t>
            </w:r>
          </w:p>
        </w:tc>
        <w:tc>
          <w:tcPr>
            <w:tcW w:w="992"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5.4%</w:t>
            </w:r>
          </w:p>
        </w:tc>
        <w:tc>
          <w:tcPr>
            <w:tcW w:w="993" w:type="dxa"/>
            <w:shd w:val="clear" w:color="auto" w:fill="auto"/>
            <w:noWrap/>
            <w:vAlign w:val="center"/>
            <w:hideMark/>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100.0%</w:t>
            </w:r>
          </w:p>
        </w:tc>
      </w:tr>
      <w:tr w:rsidR="00034CC4" w:rsidRPr="00614940" w:rsidTr="00C321BA">
        <w:trPr>
          <w:trHeight w:val="300"/>
          <w:jc w:val="center"/>
        </w:trPr>
        <w:tc>
          <w:tcPr>
            <w:tcW w:w="1406" w:type="dxa"/>
            <w:shd w:val="clear" w:color="auto" w:fill="auto"/>
            <w:noWrap/>
            <w:vAlign w:val="center"/>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5 Year Average</w:t>
            </w:r>
          </w:p>
        </w:tc>
        <w:tc>
          <w:tcPr>
            <w:tcW w:w="992"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27.6%</w:t>
            </w:r>
          </w:p>
        </w:tc>
        <w:tc>
          <w:tcPr>
            <w:tcW w:w="993"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18.4%</w:t>
            </w:r>
          </w:p>
        </w:tc>
        <w:tc>
          <w:tcPr>
            <w:tcW w:w="992"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23.4%</w:t>
            </w:r>
          </w:p>
        </w:tc>
        <w:tc>
          <w:tcPr>
            <w:tcW w:w="992"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12.6%</w:t>
            </w:r>
          </w:p>
        </w:tc>
        <w:tc>
          <w:tcPr>
            <w:tcW w:w="851"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9.9%</w:t>
            </w:r>
          </w:p>
        </w:tc>
        <w:tc>
          <w:tcPr>
            <w:tcW w:w="992"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2.2%</w:t>
            </w:r>
          </w:p>
        </w:tc>
        <w:tc>
          <w:tcPr>
            <w:tcW w:w="992"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0.8%</w:t>
            </w:r>
          </w:p>
        </w:tc>
        <w:tc>
          <w:tcPr>
            <w:tcW w:w="992"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5.1%</w:t>
            </w:r>
          </w:p>
        </w:tc>
        <w:tc>
          <w:tcPr>
            <w:tcW w:w="993" w:type="dxa"/>
            <w:shd w:val="clear" w:color="auto" w:fill="auto"/>
            <w:noWrap/>
          </w:tcPr>
          <w:p w:rsidR="00614940" w:rsidRPr="00614940" w:rsidRDefault="00614940" w:rsidP="00664BD0">
            <w:pPr>
              <w:spacing w:before="120" w:after="120" w:line="240" w:lineRule="auto"/>
              <w:jc w:val="center"/>
              <w:rPr>
                <w:rFonts w:asciiTheme="minorHAnsi" w:hAnsiTheme="minorHAnsi"/>
              </w:rPr>
            </w:pPr>
            <w:r w:rsidRPr="00614940">
              <w:rPr>
                <w:rFonts w:asciiTheme="minorHAnsi" w:hAnsiTheme="minorHAnsi"/>
              </w:rPr>
              <w:t>100.0%</w:t>
            </w:r>
          </w:p>
        </w:tc>
      </w:tr>
    </w:tbl>
    <w:p w:rsidR="00930AB2" w:rsidRPr="00972421" w:rsidRDefault="00930AB2" w:rsidP="00C321BA">
      <w:pPr>
        <w:jc w:val="center"/>
        <w:rPr>
          <w:rFonts w:asciiTheme="minorHAnsi" w:hAnsiTheme="minorHAnsi"/>
        </w:rPr>
      </w:pPr>
      <w:r w:rsidRPr="00972421">
        <w:rPr>
          <w:rFonts w:asciiTheme="minorHAnsi" w:hAnsiTheme="minorHAnsi"/>
        </w:rPr>
        <w:t>Source: Report on Government Services (2016).</w:t>
      </w:r>
    </w:p>
    <w:p w:rsidR="00614940" w:rsidRPr="00614940" w:rsidRDefault="00614940" w:rsidP="00614940">
      <w:pPr>
        <w:rPr>
          <w:rFonts w:asciiTheme="minorHAnsi" w:hAnsiTheme="minorHAnsi"/>
        </w:rPr>
      </w:pPr>
      <w:r w:rsidRPr="00614940">
        <w:rPr>
          <w:rFonts w:asciiTheme="minorHAnsi" w:hAnsiTheme="minorHAnsi"/>
        </w:rPr>
        <w:t>Extrapolating the NSW data</w:t>
      </w:r>
      <w:r w:rsidR="0010310D">
        <w:rPr>
          <w:rFonts w:asciiTheme="minorHAnsi" w:hAnsiTheme="minorHAnsi"/>
        </w:rPr>
        <w:t xml:space="preserve"> with the R</w:t>
      </w:r>
      <w:r w:rsidR="002E60D9">
        <w:rPr>
          <w:rFonts w:asciiTheme="minorHAnsi" w:hAnsiTheme="minorHAnsi"/>
        </w:rPr>
        <w:t>o</w:t>
      </w:r>
      <w:r w:rsidR="0010310D">
        <w:rPr>
          <w:rFonts w:asciiTheme="minorHAnsi" w:hAnsiTheme="minorHAnsi"/>
        </w:rPr>
        <w:t>Gs data,</w:t>
      </w:r>
      <w:r w:rsidRPr="00614940">
        <w:rPr>
          <w:rFonts w:asciiTheme="minorHAnsi" w:hAnsiTheme="minorHAnsi"/>
        </w:rPr>
        <w:t xml:space="preserve"> the estimated number of fire</w:t>
      </w:r>
      <w:r w:rsidR="00036386">
        <w:rPr>
          <w:rFonts w:asciiTheme="minorHAnsi" w:hAnsiTheme="minorHAnsi"/>
        </w:rPr>
        <w:t>-</w:t>
      </w:r>
      <w:r w:rsidRPr="00614940">
        <w:rPr>
          <w:rFonts w:asciiTheme="minorHAnsi" w:hAnsiTheme="minorHAnsi"/>
        </w:rPr>
        <w:t>related injuries occurring each year in Class 2 and 3 buildings is 4</w:t>
      </w:r>
      <w:r w:rsidR="005C09B5">
        <w:rPr>
          <w:rFonts w:asciiTheme="minorHAnsi" w:hAnsiTheme="minorHAnsi"/>
        </w:rPr>
        <w:t>8</w:t>
      </w:r>
      <w:r w:rsidRPr="00614940">
        <w:rPr>
          <w:rFonts w:asciiTheme="minorHAnsi" w:hAnsiTheme="minorHAnsi"/>
        </w:rPr>
        <w:t xml:space="preserve">5. The number of injuries occurring within the four and eight storey height range is unknown, however, </w:t>
      </w:r>
      <w:r w:rsidR="00036386">
        <w:rPr>
          <w:rFonts w:asciiTheme="minorHAnsi" w:hAnsiTheme="minorHAnsi"/>
        </w:rPr>
        <w:t xml:space="preserve">is </w:t>
      </w:r>
      <w:r w:rsidRPr="00614940">
        <w:rPr>
          <w:rFonts w:asciiTheme="minorHAnsi" w:hAnsiTheme="minorHAnsi"/>
        </w:rPr>
        <w:t>conservatively estimated to be 137. Th</w:t>
      </w:r>
      <w:r w:rsidR="00A9644D">
        <w:rPr>
          <w:rFonts w:asciiTheme="minorHAnsi" w:hAnsiTheme="minorHAnsi"/>
        </w:rPr>
        <w:t>is equates to</w:t>
      </w:r>
      <w:r w:rsidRPr="00614940">
        <w:rPr>
          <w:rFonts w:asciiTheme="minorHAnsi" w:hAnsiTheme="minorHAnsi"/>
        </w:rPr>
        <w:t xml:space="preserve"> </w:t>
      </w:r>
      <w:r w:rsidR="007E1DCA">
        <w:rPr>
          <w:rFonts w:asciiTheme="minorHAnsi" w:hAnsiTheme="minorHAnsi"/>
        </w:rPr>
        <w:t>30</w:t>
      </w:r>
      <w:r w:rsidRPr="00614940">
        <w:rPr>
          <w:rFonts w:asciiTheme="minorHAnsi" w:hAnsiTheme="minorHAnsi"/>
        </w:rPr>
        <w:t xml:space="preserve">% of all fire-related injuries in Class 2 and </w:t>
      </w:r>
      <w:r w:rsidR="00FA49DB">
        <w:rPr>
          <w:rFonts w:asciiTheme="minorHAnsi" w:hAnsiTheme="minorHAnsi"/>
        </w:rPr>
        <w:t xml:space="preserve">3 </w:t>
      </w:r>
      <w:r w:rsidRPr="00614940">
        <w:rPr>
          <w:rFonts w:asciiTheme="minorHAnsi" w:hAnsiTheme="minorHAnsi"/>
        </w:rPr>
        <w:t>buildings.</w:t>
      </w:r>
      <w:r w:rsidR="00F43233" w:rsidRPr="00F43233">
        <w:rPr>
          <w:rFonts w:asciiTheme="minorHAnsi" w:hAnsiTheme="minorHAnsi"/>
          <w:vertAlign w:val="superscript"/>
        </w:rPr>
        <w:t xml:space="preserve"> </w:t>
      </w:r>
      <w:r w:rsidR="00F43233" w:rsidRPr="00614940">
        <w:rPr>
          <w:rFonts w:asciiTheme="minorHAnsi" w:hAnsiTheme="minorHAnsi"/>
          <w:vertAlign w:val="superscript"/>
        </w:rPr>
        <w:footnoteReference w:id="14"/>
      </w:r>
      <w:r w:rsidRPr="00614940">
        <w:rPr>
          <w:rFonts w:asciiTheme="minorHAnsi" w:hAnsiTheme="minorHAnsi"/>
        </w:rPr>
        <w:t xml:space="preserve"> </w:t>
      </w:r>
      <w:r w:rsidR="0010310D">
        <w:rPr>
          <w:rFonts w:asciiTheme="minorHAnsi" w:hAnsiTheme="minorHAnsi"/>
        </w:rPr>
        <w:t>Given the uncertainty of the number of injuries occurring nationally</w:t>
      </w:r>
      <w:r w:rsidR="00036386">
        <w:rPr>
          <w:rFonts w:asciiTheme="minorHAnsi" w:hAnsiTheme="minorHAnsi"/>
        </w:rPr>
        <w:t>,</w:t>
      </w:r>
      <w:r w:rsidR="0010310D">
        <w:rPr>
          <w:rFonts w:asciiTheme="minorHAnsi" w:hAnsiTheme="minorHAnsi"/>
        </w:rPr>
        <w:t xml:space="preserve"> this parameter is also tested through sensitivity and reports the findings of a </w:t>
      </w:r>
      <w:r w:rsidR="00F43233">
        <w:rPr>
          <w:rFonts w:asciiTheme="minorHAnsi" w:hAnsiTheme="minorHAnsi"/>
        </w:rPr>
        <w:t>high (</w:t>
      </w:r>
      <w:r w:rsidR="0010310D">
        <w:rPr>
          <w:rFonts w:asciiTheme="minorHAnsi" w:hAnsiTheme="minorHAnsi"/>
        </w:rPr>
        <w:t>20%</w:t>
      </w:r>
      <w:r w:rsidR="00F43233">
        <w:rPr>
          <w:rFonts w:asciiTheme="minorHAnsi" w:hAnsiTheme="minorHAnsi"/>
        </w:rPr>
        <w:t>)</w:t>
      </w:r>
      <w:r w:rsidR="0010310D">
        <w:rPr>
          <w:rFonts w:asciiTheme="minorHAnsi" w:hAnsiTheme="minorHAnsi"/>
        </w:rPr>
        <w:t xml:space="preserve"> and</w:t>
      </w:r>
      <w:r w:rsidR="00F43233">
        <w:rPr>
          <w:rFonts w:asciiTheme="minorHAnsi" w:hAnsiTheme="minorHAnsi"/>
        </w:rPr>
        <w:t xml:space="preserve"> very high</w:t>
      </w:r>
      <w:r w:rsidR="0010310D">
        <w:rPr>
          <w:rFonts w:asciiTheme="minorHAnsi" w:hAnsiTheme="minorHAnsi"/>
        </w:rPr>
        <w:t xml:space="preserve"> </w:t>
      </w:r>
      <w:r w:rsidR="00F43233">
        <w:rPr>
          <w:rFonts w:asciiTheme="minorHAnsi" w:hAnsiTheme="minorHAnsi"/>
        </w:rPr>
        <w:t>(</w:t>
      </w:r>
      <w:r w:rsidR="0010310D">
        <w:rPr>
          <w:rFonts w:asciiTheme="minorHAnsi" w:hAnsiTheme="minorHAnsi"/>
        </w:rPr>
        <w:t>40%</w:t>
      </w:r>
      <w:r w:rsidR="00F43233">
        <w:rPr>
          <w:rFonts w:asciiTheme="minorHAnsi" w:hAnsiTheme="minorHAnsi"/>
        </w:rPr>
        <w:t>)</w:t>
      </w:r>
      <w:r w:rsidR="0010310D">
        <w:rPr>
          <w:rFonts w:asciiTheme="minorHAnsi" w:hAnsiTheme="minorHAnsi"/>
        </w:rPr>
        <w:t xml:space="preserve"> increase </w:t>
      </w:r>
      <w:r w:rsidR="005A7D0D">
        <w:rPr>
          <w:rFonts w:asciiTheme="minorHAnsi" w:hAnsiTheme="minorHAnsi"/>
        </w:rPr>
        <w:t xml:space="preserve">in </w:t>
      </w:r>
      <w:r w:rsidR="0010310D">
        <w:rPr>
          <w:rFonts w:asciiTheme="minorHAnsi" w:hAnsiTheme="minorHAnsi"/>
        </w:rPr>
        <w:t xml:space="preserve">the annual rate. </w:t>
      </w:r>
    </w:p>
    <w:p w:rsidR="00FE4240" w:rsidRDefault="00614940" w:rsidP="00614940">
      <w:pPr>
        <w:rPr>
          <w:rFonts w:asciiTheme="minorHAnsi" w:hAnsiTheme="minorHAnsi"/>
        </w:rPr>
      </w:pPr>
      <w:r w:rsidRPr="00614940">
        <w:rPr>
          <w:rFonts w:asciiTheme="minorHAnsi" w:hAnsiTheme="minorHAnsi"/>
        </w:rPr>
        <w:t>The Australian Institute of Health and Welfare</w:t>
      </w:r>
      <w:r w:rsidRPr="00614940">
        <w:rPr>
          <w:rFonts w:asciiTheme="minorHAnsi" w:hAnsiTheme="minorHAnsi"/>
          <w:vertAlign w:val="superscript"/>
        </w:rPr>
        <w:footnoteReference w:id="15"/>
      </w:r>
      <w:r w:rsidRPr="00614940">
        <w:rPr>
          <w:rFonts w:asciiTheme="minorHAnsi" w:hAnsiTheme="minorHAnsi"/>
        </w:rPr>
        <w:t xml:space="preserve"> report</w:t>
      </w:r>
      <w:r w:rsidR="00036386">
        <w:rPr>
          <w:rFonts w:asciiTheme="minorHAnsi" w:hAnsiTheme="minorHAnsi"/>
        </w:rPr>
        <w:t>s</w:t>
      </w:r>
      <w:r w:rsidRPr="00614940">
        <w:rPr>
          <w:rFonts w:asciiTheme="minorHAnsi" w:hAnsiTheme="minorHAnsi"/>
        </w:rPr>
        <w:t xml:space="preserve"> that in 2013-14, the average length of </w:t>
      </w:r>
      <w:r w:rsidR="00036386">
        <w:rPr>
          <w:rFonts w:asciiTheme="minorHAnsi" w:hAnsiTheme="minorHAnsi"/>
        </w:rPr>
        <w:t xml:space="preserve">hospital </w:t>
      </w:r>
      <w:r w:rsidRPr="00614940">
        <w:rPr>
          <w:rFonts w:asciiTheme="minorHAnsi" w:hAnsiTheme="minorHAnsi"/>
        </w:rPr>
        <w:t xml:space="preserve">stay for all burn cases was 7 days. About 16% of hospitalised burn cases were considered high threat to life (HTTL) where the average length of stay increased to 17 days. </w:t>
      </w:r>
      <w:r w:rsidR="000062AF">
        <w:rPr>
          <w:rFonts w:asciiTheme="minorHAnsi" w:hAnsiTheme="minorHAnsi"/>
        </w:rPr>
        <w:t xml:space="preserve">This suggests that when injuries </w:t>
      </w:r>
      <w:r w:rsidR="000062AF">
        <w:rPr>
          <w:rFonts w:asciiTheme="minorHAnsi" w:hAnsiTheme="minorHAnsi"/>
        </w:rPr>
        <w:lastRenderedPageBreak/>
        <w:t>do occur</w:t>
      </w:r>
      <w:r w:rsidR="00C84D43">
        <w:rPr>
          <w:rFonts w:asciiTheme="minorHAnsi" w:hAnsiTheme="minorHAnsi"/>
        </w:rPr>
        <w:t xml:space="preserve"> due to the effects of fire</w:t>
      </w:r>
      <w:r w:rsidR="000062AF">
        <w:rPr>
          <w:rFonts w:asciiTheme="minorHAnsi" w:hAnsiTheme="minorHAnsi"/>
        </w:rPr>
        <w:t xml:space="preserve">, they are often severe and require on-going treatment and rehabilitation. </w:t>
      </w:r>
    </w:p>
    <w:p w:rsidR="00FA49DB" w:rsidRDefault="00FA49DB" w:rsidP="00FA49DB">
      <w:pPr>
        <w:spacing w:after="0"/>
        <w:rPr>
          <w:rFonts w:asciiTheme="majorHAnsi" w:eastAsiaTheme="majorEastAsia" w:hAnsiTheme="majorHAnsi" w:cstheme="majorBidi"/>
          <w:b/>
          <w:bCs/>
          <w:iCs/>
          <w:color w:val="002060"/>
        </w:rPr>
      </w:pPr>
    </w:p>
    <w:tbl>
      <w:tblPr>
        <w:tblW w:w="9089" w:type="dxa"/>
        <w:tblInd w:w="182" w:type="dxa"/>
        <w:tblBorders>
          <w:top w:val="single" w:sz="4" w:space="0" w:color="auto"/>
          <w:left w:val="single" w:sz="4" w:space="0" w:color="auto"/>
          <w:bottom w:val="single" w:sz="4" w:space="0" w:color="auto"/>
          <w:right w:val="single" w:sz="4" w:space="0" w:color="auto"/>
        </w:tblBorders>
        <w:shd w:val="clear" w:color="auto" w:fill="BFBFBF" w:themeFill="background1" w:themeFillShade="BF"/>
        <w:tblLook w:val="0020" w:firstRow="1" w:lastRow="0" w:firstColumn="0" w:lastColumn="0" w:noHBand="0" w:noVBand="0"/>
      </w:tblPr>
      <w:tblGrid>
        <w:gridCol w:w="9089"/>
      </w:tblGrid>
      <w:tr w:rsidR="00CE3287" w:rsidRPr="00EA70FD" w:rsidTr="00CE3287">
        <w:trPr>
          <w:trHeight w:val="345"/>
        </w:trPr>
        <w:tc>
          <w:tcPr>
            <w:tcW w:w="9089" w:type="dxa"/>
            <w:shd w:val="clear" w:color="auto" w:fill="BFBFBF" w:themeFill="background1" w:themeFillShade="BF"/>
          </w:tcPr>
          <w:p w:rsidR="00CE3287" w:rsidRPr="004828FB" w:rsidRDefault="00526F23" w:rsidP="00CE3287">
            <w:pPr>
              <w:rPr>
                <w:rFonts w:ascii="Calibri" w:hAnsi="Calibri"/>
              </w:rPr>
            </w:pPr>
            <w:bookmarkStart w:id="17" w:name="_Toc505333489"/>
            <w:bookmarkStart w:id="18" w:name="_Toc471384392"/>
            <w:bookmarkStart w:id="19" w:name="_Toc505333474"/>
            <w:r w:rsidRPr="004828FB">
              <w:rPr>
                <w:rFonts w:ascii="Calibri" w:hAnsi="Calibri"/>
              </w:rPr>
              <w:t xml:space="preserve">The Consultation RIS asked stakeholders whether they agreed with the extent of the problem and whether there were any other characteristics of the problem not identified by the RIS. </w:t>
            </w:r>
          </w:p>
        </w:tc>
      </w:tr>
    </w:tbl>
    <w:p w:rsidR="00F43233" w:rsidRDefault="00F43233" w:rsidP="004828FB">
      <w:pPr>
        <w:rPr>
          <w:rFonts w:ascii="Calibri" w:hAnsi="Calibri"/>
        </w:rPr>
      </w:pPr>
    </w:p>
    <w:p w:rsidR="00F908F3" w:rsidRDefault="00065F74" w:rsidP="004828FB">
      <w:pPr>
        <w:rPr>
          <w:rFonts w:ascii="Calibri" w:hAnsi="Calibri"/>
        </w:rPr>
      </w:pPr>
      <w:r>
        <w:rPr>
          <w:rFonts w:ascii="Calibri" w:hAnsi="Calibri"/>
        </w:rPr>
        <w:t>A total of 15</w:t>
      </w:r>
      <w:r w:rsidR="00F908F3">
        <w:rPr>
          <w:rFonts w:ascii="Calibri" w:hAnsi="Calibri"/>
        </w:rPr>
        <w:t xml:space="preserve"> </w:t>
      </w:r>
      <w:r w:rsidR="00B2008D">
        <w:rPr>
          <w:rFonts w:ascii="Calibri" w:hAnsi="Calibri"/>
        </w:rPr>
        <w:t xml:space="preserve">unique </w:t>
      </w:r>
      <w:r w:rsidR="001F3811">
        <w:rPr>
          <w:rFonts w:ascii="Calibri" w:hAnsi="Calibri"/>
        </w:rPr>
        <w:t>submissions</w:t>
      </w:r>
      <w:r w:rsidR="00F908F3">
        <w:rPr>
          <w:rFonts w:ascii="Calibri" w:hAnsi="Calibri"/>
        </w:rPr>
        <w:t xml:space="preserve"> were received in response to the C</w:t>
      </w:r>
      <w:r>
        <w:rPr>
          <w:rFonts w:ascii="Calibri" w:hAnsi="Calibri"/>
        </w:rPr>
        <w:t>onsultation RIS, encompassing 18</w:t>
      </w:r>
      <w:r w:rsidR="00F908F3">
        <w:rPr>
          <w:rFonts w:ascii="Calibri" w:hAnsi="Calibri"/>
        </w:rPr>
        <w:t xml:space="preserve"> stakeholders.</w:t>
      </w:r>
      <w:r w:rsidR="00A8129E">
        <w:rPr>
          <w:rFonts w:ascii="Calibri" w:hAnsi="Calibri"/>
        </w:rPr>
        <w:t xml:space="preserve"> </w:t>
      </w:r>
      <w:r w:rsidR="00F908F3">
        <w:rPr>
          <w:rFonts w:ascii="Calibri" w:hAnsi="Calibri"/>
        </w:rPr>
        <w:t xml:space="preserve">Of the </w:t>
      </w:r>
      <w:r w:rsidR="00CA6CF4">
        <w:rPr>
          <w:rFonts w:ascii="Calibri" w:hAnsi="Calibri"/>
        </w:rPr>
        <w:t>responses</w:t>
      </w:r>
      <w:r w:rsidR="00E80505">
        <w:rPr>
          <w:rFonts w:ascii="Calibri" w:hAnsi="Calibri"/>
        </w:rPr>
        <w:t xml:space="preserve"> received</w:t>
      </w:r>
      <w:r w:rsidR="00CA6CF4">
        <w:rPr>
          <w:rFonts w:ascii="Calibri" w:hAnsi="Calibri"/>
        </w:rPr>
        <w:t>,</w:t>
      </w:r>
      <w:r w:rsidR="00F908F3">
        <w:rPr>
          <w:rFonts w:ascii="Calibri" w:hAnsi="Calibri"/>
        </w:rPr>
        <w:t xml:space="preserve"> t</w:t>
      </w:r>
      <w:r w:rsidR="00526F23" w:rsidRPr="004828FB">
        <w:rPr>
          <w:rFonts w:ascii="Calibri" w:hAnsi="Calibri"/>
        </w:rPr>
        <w:t>he majority felt that the</w:t>
      </w:r>
      <w:r w:rsidR="00142D9E">
        <w:rPr>
          <w:rFonts w:ascii="Calibri" w:hAnsi="Calibri"/>
        </w:rPr>
        <w:t xml:space="preserve"> nature</w:t>
      </w:r>
      <w:r w:rsidR="00500D55">
        <w:rPr>
          <w:rFonts w:ascii="Calibri" w:hAnsi="Calibri"/>
        </w:rPr>
        <w:t xml:space="preserve"> and extent</w:t>
      </w:r>
      <w:r w:rsidR="00142D9E">
        <w:rPr>
          <w:rFonts w:ascii="Calibri" w:hAnsi="Calibri"/>
        </w:rPr>
        <w:t xml:space="preserve"> of the</w:t>
      </w:r>
      <w:r w:rsidR="00526F23" w:rsidRPr="004828FB">
        <w:rPr>
          <w:rFonts w:ascii="Calibri" w:hAnsi="Calibri"/>
        </w:rPr>
        <w:t xml:space="preserve"> problem had been adequately described.  </w:t>
      </w:r>
    </w:p>
    <w:p w:rsidR="00F43233" w:rsidRDefault="00526F23" w:rsidP="004828FB">
      <w:pPr>
        <w:rPr>
          <w:rFonts w:ascii="Calibri" w:hAnsi="Calibri"/>
        </w:rPr>
      </w:pPr>
      <w:r w:rsidRPr="004828FB">
        <w:rPr>
          <w:rFonts w:ascii="Calibri" w:hAnsi="Calibri"/>
        </w:rPr>
        <w:t>T</w:t>
      </w:r>
      <w:r w:rsidR="00065F74">
        <w:rPr>
          <w:rFonts w:ascii="Calibri" w:hAnsi="Calibri"/>
        </w:rPr>
        <w:t>hree</w:t>
      </w:r>
      <w:r w:rsidRPr="004828FB">
        <w:rPr>
          <w:rFonts w:ascii="Calibri" w:hAnsi="Calibri"/>
        </w:rPr>
        <w:t xml:space="preserve"> respondents suggested that the problem was not demonstrated. </w:t>
      </w:r>
      <w:r w:rsidR="00065F74">
        <w:rPr>
          <w:rFonts w:ascii="Calibri" w:hAnsi="Calibri"/>
        </w:rPr>
        <w:t>Two</w:t>
      </w:r>
      <w:r w:rsidRPr="004828FB">
        <w:rPr>
          <w:rFonts w:ascii="Calibri" w:hAnsi="Calibri"/>
        </w:rPr>
        <w:t xml:space="preserve"> </w:t>
      </w:r>
      <w:r w:rsidR="004828FB" w:rsidRPr="004828FB">
        <w:rPr>
          <w:rFonts w:ascii="Calibri" w:hAnsi="Calibri"/>
        </w:rPr>
        <w:t>held</w:t>
      </w:r>
      <w:r w:rsidRPr="004828FB">
        <w:rPr>
          <w:rFonts w:ascii="Calibri" w:hAnsi="Calibri"/>
        </w:rPr>
        <w:t xml:space="preserve"> the view the proposal was a reaction </w:t>
      </w:r>
      <w:r w:rsidR="004828FB" w:rsidRPr="004828FB">
        <w:rPr>
          <w:rFonts w:ascii="Calibri" w:hAnsi="Calibri"/>
        </w:rPr>
        <w:t xml:space="preserve">to a specific event while </w:t>
      </w:r>
      <w:r w:rsidR="00080E72">
        <w:rPr>
          <w:rFonts w:ascii="Calibri" w:hAnsi="Calibri"/>
        </w:rPr>
        <w:t>two, including the HIA also</w:t>
      </w:r>
      <w:r w:rsidR="004828FB" w:rsidRPr="004828FB">
        <w:rPr>
          <w:rFonts w:ascii="Calibri" w:hAnsi="Calibri"/>
        </w:rPr>
        <w:t xml:space="preserve"> </w:t>
      </w:r>
      <w:r w:rsidR="00F908B4">
        <w:rPr>
          <w:rFonts w:ascii="Calibri" w:hAnsi="Calibri"/>
        </w:rPr>
        <w:t>believed that</w:t>
      </w:r>
      <w:r w:rsidR="004828FB" w:rsidRPr="004828FB">
        <w:rPr>
          <w:rFonts w:ascii="Calibri" w:hAnsi="Calibri"/>
        </w:rPr>
        <w:t xml:space="preserve"> the analysis was an exercise in determining the cost-effectiveness of different options</w:t>
      </w:r>
      <w:r w:rsidR="00A51B74">
        <w:rPr>
          <w:rFonts w:ascii="Calibri" w:hAnsi="Calibri"/>
        </w:rPr>
        <w:t xml:space="preserve"> which in itself</w:t>
      </w:r>
      <w:r w:rsidR="004828FB" w:rsidRPr="004828FB">
        <w:rPr>
          <w:rFonts w:ascii="Calibri" w:hAnsi="Calibri"/>
        </w:rPr>
        <w:t xml:space="preserve"> did not demonstrate an unacceptable level of societal risk under the status quo.</w:t>
      </w:r>
      <w:r w:rsidR="009838BC">
        <w:rPr>
          <w:rFonts w:ascii="Calibri" w:hAnsi="Calibri"/>
        </w:rPr>
        <w:t xml:space="preserve"> These stakeholders believed that</w:t>
      </w:r>
      <w:r w:rsidR="000E585D">
        <w:rPr>
          <w:rFonts w:ascii="Calibri" w:hAnsi="Calibri"/>
        </w:rPr>
        <w:t xml:space="preserve"> </w:t>
      </w:r>
      <w:r w:rsidR="00A24446">
        <w:rPr>
          <w:rFonts w:ascii="Calibri" w:hAnsi="Calibri"/>
        </w:rPr>
        <w:t xml:space="preserve">societal risk </w:t>
      </w:r>
      <w:r w:rsidR="00B60CBE">
        <w:rPr>
          <w:rFonts w:ascii="Calibri" w:hAnsi="Calibri"/>
        </w:rPr>
        <w:t xml:space="preserve">should inform </w:t>
      </w:r>
      <w:r w:rsidR="00A24446">
        <w:rPr>
          <w:rFonts w:ascii="Calibri" w:hAnsi="Calibri"/>
        </w:rPr>
        <w:t xml:space="preserve">further quantification. This </w:t>
      </w:r>
      <w:r w:rsidR="00B60CBE">
        <w:rPr>
          <w:rFonts w:ascii="Calibri" w:hAnsi="Calibri"/>
        </w:rPr>
        <w:t>view</w:t>
      </w:r>
      <w:r w:rsidR="00A24446">
        <w:rPr>
          <w:rFonts w:ascii="Calibri" w:hAnsi="Calibri"/>
        </w:rPr>
        <w:t xml:space="preserve"> is understood to be driven by </w:t>
      </w:r>
      <w:r w:rsidR="00B60CBE">
        <w:rPr>
          <w:rFonts w:ascii="Calibri" w:hAnsi="Calibri"/>
        </w:rPr>
        <w:t xml:space="preserve">a concern that in the absence of </w:t>
      </w:r>
      <w:r w:rsidR="002E1A12">
        <w:rPr>
          <w:rFonts w:ascii="Calibri" w:hAnsi="Calibri"/>
        </w:rPr>
        <w:t xml:space="preserve">objective </w:t>
      </w:r>
      <w:r w:rsidR="00B60CBE">
        <w:rPr>
          <w:rFonts w:ascii="Calibri" w:hAnsi="Calibri"/>
        </w:rPr>
        <w:t xml:space="preserve">quantification, </w:t>
      </w:r>
      <w:r w:rsidR="00A24446">
        <w:rPr>
          <w:rFonts w:ascii="Calibri" w:hAnsi="Calibri"/>
        </w:rPr>
        <w:t>a</w:t>
      </w:r>
      <w:r w:rsidR="002618A4">
        <w:rPr>
          <w:rFonts w:ascii="Calibri" w:hAnsi="Calibri"/>
        </w:rPr>
        <w:t xml:space="preserve"> change to the D</w:t>
      </w:r>
      <w:r w:rsidR="00B60CBE">
        <w:rPr>
          <w:rFonts w:ascii="Calibri" w:hAnsi="Calibri"/>
        </w:rPr>
        <w:t>t</w:t>
      </w:r>
      <w:r w:rsidR="002618A4">
        <w:rPr>
          <w:rFonts w:ascii="Calibri" w:hAnsi="Calibri"/>
        </w:rPr>
        <w:t>S</w:t>
      </w:r>
      <w:r w:rsidR="00A24446">
        <w:rPr>
          <w:rFonts w:ascii="Calibri" w:hAnsi="Calibri"/>
        </w:rPr>
        <w:t xml:space="preserve"> </w:t>
      </w:r>
      <w:r w:rsidR="007C7D89">
        <w:rPr>
          <w:rFonts w:ascii="Calibri" w:hAnsi="Calibri"/>
        </w:rPr>
        <w:t xml:space="preserve">Provisions </w:t>
      </w:r>
      <w:r w:rsidR="00B60CBE">
        <w:rPr>
          <w:rFonts w:ascii="Calibri" w:hAnsi="Calibri"/>
        </w:rPr>
        <w:t xml:space="preserve">would </w:t>
      </w:r>
      <w:r w:rsidR="002618A4">
        <w:rPr>
          <w:rFonts w:ascii="Calibri" w:hAnsi="Calibri"/>
        </w:rPr>
        <w:t>unjustifiably lower the risk</w:t>
      </w:r>
      <w:r w:rsidR="00A24446">
        <w:rPr>
          <w:rFonts w:ascii="Calibri" w:hAnsi="Calibri"/>
        </w:rPr>
        <w:t xml:space="preserve"> benchmark.</w:t>
      </w:r>
      <w:r w:rsidR="009838BC">
        <w:rPr>
          <w:rFonts w:ascii="Calibri" w:hAnsi="Calibri"/>
        </w:rPr>
        <w:t xml:space="preserve"> </w:t>
      </w:r>
    </w:p>
    <w:p w:rsidR="00F908F3" w:rsidRDefault="004828FB" w:rsidP="004828FB">
      <w:pPr>
        <w:rPr>
          <w:rFonts w:ascii="Calibri" w:hAnsi="Calibri"/>
        </w:rPr>
      </w:pPr>
      <w:r w:rsidRPr="004828FB">
        <w:rPr>
          <w:rFonts w:ascii="Calibri" w:hAnsi="Calibri"/>
        </w:rPr>
        <w:t>Advocates of fire protection suggested the problem included a number of additional characteristics</w:t>
      </w:r>
      <w:r w:rsidR="006E25EB">
        <w:rPr>
          <w:rFonts w:ascii="Calibri" w:hAnsi="Calibri"/>
        </w:rPr>
        <w:t xml:space="preserve"> </w:t>
      </w:r>
      <w:r w:rsidR="002618A4">
        <w:rPr>
          <w:rFonts w:ascii="Calibri" w:hAnsi="Calibri"/>
        </w:rPr>
        <w:t>including</w:t>
      </w:r>
      <w:r w:rsidR="00961CB2">
        <w:rPr>
          <w:rFonts w:ascii="Calibri" w:hAnsi="Calibri"/>
        </w:rPr>
        <w:t xml:space="preserve"> that</w:t>
      </w:r>
      <w:r w:rsidR="00F908F3">
        <w:rPr>
          <w:rFonts w:ascii="Calibri" w:hAnsi="Calibri"/>
        </w:rPr>
        <w:t xml:space="preserve"> modern </w:t>
      </w:r>
      <w:r w:rsidR="00817E76">
        <w:rPr>
          <w:rFonts w:ascii="Calibri" w:hAnsi="Calibri"/>
        </w:rPr>
        <w:t>furnishings combined</w:t>
      </w:r>
      <w:r w:rsidR="00284ECF">
        <w:rPr>
          <w:rFonts w:ascii="Calibri" w:hAnsi="Calibri"/>
        </w:rPr>
        <w:t xml:space="preserve"> </w:t>
      </w:r>
      <w:r w:rsidR="002D60DA">
        <w:rPr>
          <w:rFonts w:ascii="Calibri" w:hAnsi="Calibri"/>
        </w:rPr>
        <w:t>with higher</w:t>
      </w:r>
      <w:r w:rsidR="00A51B74">
        <w:rPr>
          <w:rFonts w:ascii="Calibri" w:hAnsi="Calibri"/>
        </w:rPr>
        <w:t xml:space="preserve"> density living</w:t>
      </w:r>
      <w:r w:rsidR="00F908F3">
        <w:rPr>
          <w:rFonts w:ascii="Calibri" w:hAnsi="Calibri"/>
        </w:rPr>
        <w:t xml:space="preserve"> increase</w:t>
      </w:r>
      <w:r w:rsidR="00A51B74">
        <w:rPr>
          <w:rFonts w:ascii="Calibri" w:hAnsi="Calibri"/>
        </w:rPr>
        <w:t>d</w:t>
      </w:r>
      <w:r w:rsidR="00F908F3">
        <w:rPr>
          <w:rFonts w:ascii="Calibri" w:hAnsi="Calibri"/>
        </w:rPr>
        <w:t xml:space="preserve"> both the number of incidents and time taken by fire services to respond. </w:t>
      </w:r>
      <w:r w:rsidR="002003B5">
        <w:rPr>
          <w:rFonts w:ascii="Calibri" w:hAnsi="Calibri"/>
        </w:rPr>
        <w:t xml:space="preserve">These stakeholders </w:t>
      </w:r>
      <w:r w:rsidR="00811285">
        <w:rPr>
          <w:rFonts w:ascii="Calibri" w:hAnsi="Calibri"/>
        </w:rPr>
        <w:t>also believed</w:t>
      </w:r>
      <w:r w:rsidR="002003B5">
        <w:rPr>
          <w:rFonts w:ascii="Calibri" w:hAnsi="Calibri"/>
        </w:rPr>
        <w:t xml:space="preserve"> that the current research </w:t>
      </w:r>
      <w:r w:rsidR="00817E76">
        <w:rPr>
          <w:rFonts w:ascii="Calibri" w:hAnsi="Calibri"/>
        </w:rPr>
        <w:t>justified</w:t>
      </w:r>
      <w:r w:rsidR="002003B5">
        <w:rPr>
          <w:rFonts w:ascii="Calibri" w:hAnsi="Calibri"/>
        </w:rPr>
        <w:t xml:space="preserve"> the extension of the proposal to all new Class 2 and 3 buildings less than 25 metres in height </w:t>
      </w:r>
      <w:r w:rsidR="00010865">
        <w:rPr>
          <w:rFonts w:ascii="Calibri" w:hAnsi="Calibri"/>
        </w:rPr>
        <w:t>citing th</w:t>
      </w:r>
      <w:r w:rsidR="00817E76">
        <w:rPr>
          <w:rFonts w:ascii="Calibri" w:hAnsi="Calibri"/>
        </w:rPr>
        <w:t xml:space="preserve">at 92% of historical fatalities </w:t>
      </w:r>
      <w:r w:rsidR="002618A4">
        <w:rPr>
          <w:rFonts w:ascii="Calibri" w:hAnsi="Calibri"/>
        </w:rPr>
        <w:t>occurred</w:t>
      </w:r>
      <w:r w:rsidR="00817E76">
        <w:rPr>
          <w:rFonts w:ascii="Calibri" w:hAnsi="Calibri"/>
        </w:rPr>
        <w:t xml:space="preserve"> in multi-storey residential buildings 3 storeys or less.</w:t>
      </w:r>
    </w:p>
    <w:p w:rsidR="00F908F3" w:rsidRDefault="00304A2F" w:rsidP="004828FB">
      <w:pPr>
        <w:rPr>
          <w:rFonts w:ascii="Calibri" w:hAnsi="Calibri"/>
        </w:rPr>
      </w:pPr>
      <w:r>
        <w:rPr>
          <w:rFonts w:ascii="Calibri" w:hAnsi="Calibri"/>
        </w:rPr>
        <w:t>The primary purpose of this analysis is to determine</w:t>
      </w:r>
      <w:r w:rsidR="004B445F">
        <w:rPr>
          <w:rFonts w:ascii="Calibri" w:hAnsi="Calibri"/>
        </w:rPr>
        <w:t xml:space="preserve"> whether the current rate of injury and fatality can be reduced using a more cost-effect solution </w:t>
      </w:r>
      <w:r w:rsidR="006965F1">
        <w:rPr>
          <w:rFonts w:ascii="Calibri" w:hAnsi="Calibri"/>
        </w:rPr>
        <w:t>when compared with</w:t>
      </w:r>
      <w:r w:rsidR="004B445F">
        <w:rPr>
          <w:rFonts w:ascii="Calibri" w:hAnsi="Calibri"/>
        </w:rPr>
        <w:t xml:space="preserve"> the current </w:t>
      </w:r>
      <w:r w:rsidR="002618A4">
        <w:rPr>
          <w:rFonts w:ascii="Calibri" w:hAnsi="Calibri"/>
        </w:rPr>
        <w:t>DtS</w:t>
      </w:r>
      <w:r w:rsidR="004B445F">
        <w:rPr>
          <w:rFonts w:ascii="Calibri" w:hAnsi="Calibri"/>
        </w:rPr>
        <w:t xml:space="preserve"> </w:t>
      </w:r>
      <w:r w:rsidR="00C762FC">
        <w:rPr>
          <w:rFonts w:ascii="Calibri" w:hAnsi="Calibri"/>
        </w:rPr>
        <w:t>P</w:t>
      </w:r>
      <w:r w:rsidR="004B445F">
        <w:rPr>
          <w:rFonts w:ascii="Calibri" w:hAnsi="Calibri"/>
        </w:rPr>
        <w:t xml:space="preserve">rovisions. </w:t>
      </w:r>
      <w:r>
        <w:rPr>
          <w:rFonts w:ascii="Calibri" w:hAnsi="Calibri"/>
        </w:rPr>
        <w:t xml:space="preserve"> </w:t>
      </w:r>
      <w:r w:rsidR="00010865">
        <w:rPr>
          <w:rFonts w:ascii="Calibri" w:hAnsi="Calibri"/>
        </w:rPr>
        <w:t xml:space="preserve">The analysis acknowledges that the problem in terms of life safety is </w:t>
      </w:r>
      <w:r w:rsidR="002618A4">
        <w:rPr>
          <w:rFonts w:ascii="Calibri" w:hAnsi="Calibri"/>
        </w:rPr>
        <w:t xml:space="preserve">very </w:t>
      </w:r>
      <w:r w:rsidR="00010865">
        <w:rPr>
          <w:rFonts w:ascii="Calibri" w:hAnsi="Calibri"/>
        </w:rPr>
        <w:t xml:space="preserve">small and therefore any proposed changes should be considered in terms </w:t>
      </w:r>
      <w:r w:rsidR="006965F1">
        <w:rPr>
          <w:rFonts w:ascii="Calibri" w:hAnsi="Calibri"/>
        </w:rPr>
        <w:t xml:space="preserve">of </w:t>
      </w:r>
      <w:r w:rsidR="00B2008D">
        <w:rPr>
          <w:rFonts w:ascii="Calibri" w:hAnsi="Calibri"/>
        </w:rPr>
        <w:t xml:space="preserve">their </w:t>
      </w:r>
      <w:r w:rsidR="00010865">
        <w:rPr>
          <w:rFonts w:ascii="Calibri" w:hAnsi="Calibri"/>
        </w:rPr>
        <w:t>cost-effectiveness</w:t>
      </w:r>
      <w:r w:rsidR="006965F1">
        <w:rPr>
          <w:rFonts w:ascii="Calibri" w:hAnsi="Calibri"/>
        </w:rPr>
        <w:t xml:space="preserve"> in providing for an acceptable level of life safety. </w:t>
      </w:r>
    </w:p>
    <w:p w:rsidR="00304A2F" w:rsidRDefault="00304A2F" w:rsidP="004828FB">
      <w:pPr>
        <w:rPr>
          <w:rFonts w:ascii="Calibri" w:hAnsi="Calibri"/>
        </w:rPr>
      </w:pPr>
      <w:r>
        <w:rPr>
          <w:rFonts w:ascii="Calibri" w:hAnsi="Calibri"/>
        </w:rPr>
        <w:t xml:space="preserve">The potential for a greater number of fire incidents to occur in the future is noted and sensitivity analysis </w:t>
      </w:r>
      <w:r w:rsidR="00B2008D">
        <w:rPr>
          <w:rFonts w:ascii="Calibri" w:hAnsi="Calibri"/>
        </w:rPr>
        <w:t xml:space="preserve">tests </w:t>
      </w:r>
      <w:r w:rsidR="004B445F">
        <w:rPr>
          <w:rFonts w:ascii="Calibri" w:hAnsi="Calibri"/>
        </w:rPr>
        <w:t xml:space="preserve">the outcomes of this </w:t>
      </w:r>
      <w:r w:rsidR="006965F1">
        <w:rPr>
          <w:rFonts w:ascii="Calibri" w:hAnsi="Calibri"/>
        </w:rPr>
        <w:t>risk</w:t>
      </w:r>
      <w:r w:rsidR="004B445F">
        <w:rPr>
          <w:rFonts w:ascii="Calibri" w:hAnsi="Calibri"/>
        </w:rPr>
        <w:t xml:space="preserve"> on the expected benefits of the options.  However, it </w:t>
      </w:r>
      <w:r w:rsidR="0014242B">
        <w:rPr>
          <w:rFonts w:ascii="Calibri" w:hAnsi="Calibri"/>
        </w:rPr>
        <w:t>should be</w:t>
      </w:r>
      <w:r w:rsidR="00010865">
        <w:rPr>
          <w:rFonts w:ascii="Calibri" w:hAnsi="Calibri"/>
        </w:rPr>
        <w:t xml:space="preserve"> acknowledged that the historical fatality rate in apartment buildings is currently observed to be</w:t>
      </w:r>
      <w:r w:rsidR="00F752FE">
        <w:rPr>
          <w:rFonts w:ascii="Calibri" w:hAnsi="Calibri"/>
        </w:rPr>
        <w:t xml:space="preserve"> small and</w:t>
      </w:r>
      <w:r w:rsidR="00010865">
        <w:rPr>
          <w:rFonts w:ascii="Calibri" w:hAnsi="Calibri"/>
        </w:rPr>
        <w:t xml:space="preserve"> decreasing over-time</w:t>
      </w:r>
      <w:r w:rsidR="00FF19A2">
        <w:rPr>
          <w:rFonts w:ascii="Calibri" w:hAnsi="Calibri"/>
        </w:rPr>
        <w:t xml:space="preserve">. </w:t>
      </w:r>
      <w:r w:rsidR="0014242B">
        <w:rPr>
          <w:rFonts w:ascii="Calibri" w:hAnsi="Calibri"/>
        </w:rPr>
        <w:t xml:space="preserve">This Final RIS incorporates more data </w:t>
      </w:r>
      <w:r w:rsidR="00F43233">
        <w:rPr>
          <w:rFonts w:ascii="Calibri" w:hAnsi="Calibri"/>
        </w:rPr>
        <w:t>on</w:t>
      </w:r>
      <w:r w:rsidR="0014242B">
        <w:rPr>
          <w:rFonts w:ascii="Calibri" w:hAnsi="Calibri"/>
        </w:rPr>
        <w:t xml:space="preserve"> the extent of the problem to support this finding. </w:t>
      </w:r>
    </w:p>
    <w:p w:rsidR="00010865" w:rsidRPr="004828FB" w:rsidRDefault="00010865" w:rsidP="004828FB">
      <w:pPr>
        <w:rPr>
          <w:rFonts w:ascii="Calibri" w:hAnsi="Calibri"/>
        </w:rPr>
      </w:pPr>
      <w:r>
        <w:rPr>
          <w:rFonts w:ascii="Calibri" w:hAnsi="Calibri"/>
        </w:rPr>
        <w:t>Calls for the scope to be increased to include buildings under four storeys in height would require separate consideration a</w:t>
      </w:r>
      <w:r w:rsidR="00B60CBE">
        <w:rPr>
          <w:rFonts w:ascii="Calibri" w:hAnsi="Calibri"/>
        </w:rPr>
        <w:t>nd consultation a</w:t>
      </w:r>
      <w:r>
        <w:rPr>
          <w:rFonts w:ascii="Calibri" w:hAnsi="Calibri"/>
        </w:rPr>
        <w:t xml:space="preserve">s the </w:t>
      </w:r>
      <w:r w:rsidR="002618A4">
        <w:rPr>
          <w:rFonts w:ascii="Calibri" w:hAnsi="Calibri"/>
        </w:rPr>
        <w:t>proposed</w:t>
      </w:r>
      <w:r>
        <w:rPr>
          <w:rFonts w:ascii="Calibri" w:hAnsi="Calibri"/>
        </w:rPr>
        <w:t xml:space="preserve"> offset</w:t>
      </w:r>
      <w:r w:rsidR="002618A4">
        <w:rPr>
          <w:rFonts w:ascii="Calibri" w:hAnsi="Calibri"/>
        </w:rPr>
        <w:t>s</w:t>
      </w:r>
      <w:r w:rsidR="00B2008D">
        <w:rPr>
          <w:rFonts w:ascii="Calibri" w:hAnsi="Calibri"/>
        </w:rPr>
        <w:t>,</w:t>
      </w:r>
      <w:r>
        <w:rPr>
          <w:rFonts w:ascii="Calibri" w:hAnsi="Calibri"/>
        </w:rPr>
        <w:t xml:space="preserve"> </w:t>
      </w:r>
      <w:r w:rsidR="00B2008D">
        <w:rPr>
          <w:rFonts w:ascii="Calibri" w:hAnsi="Calibri"/>
        </w:rPr>
        <w:t xml:space="preserve">fire safety features, </w:t>
      </w:r>
      <w:r>
        <w:rPr>
          <w:rFonts w:ascii="Calibri" w:hAnsi="Calibri"/>
        </w:rPr>
        <w:t xml:space="preserve">costs of sprinkler protection </w:t>
      </w:r>
      <w:r w:rsidR="002618A4">
        <w:rPr>
          <w:rFonts w:ascii="Calibri" w:hAnsi="Calibri"/>
        </w:rPr>
        <w:t>would differ</w:t>
      </w:r>
      <w:r w:rsidR="00B2008D">
        <w:rPr>
          <w:rFonts w:ascii="Calibri" w:hAnsi="Calibri"/>
        </w:rPr>
        <w:t xml:space="preserve"> by</w:t>
      </w:r>
      <w:r w:rsidR="002618A4">
        <w:rPr>
          <w:rFonts w:ascii="Calibri" w:hAnsi="Calibri"/>
        </w:rPr>
        <w:t xml:space="preserve"> number and degree</w:t>
      </w:r>
      <w:r>
        <w:rPr>
          <w:rFonts w:ascii="Calibri" w:hAnsi="Calibri"/>
        </w:rPr>
        <w:t xml:space="preserve">. Hence, the increase in scope </w:t>
      </w:r>
      <w:r w:rsidR="002618A4">
        <w:rPr>
          <w:rFonts w:ascii="Calibri" w:hAnsi="Calibri"/>
        </w:rPr>
        <w:t xml:space="preserve">would require separate consideration of the </w:t>
      </w:r>
      <w:r w:rsidR="00F43233">
        <w:rPr>
          <w:rFonts w:ascii="Calibri" w:hAnsi="Calibri"/>
        </w:rPr>
        <w:t xml:space="preserve">overall </w:t>
      </w:r>
      <w:r w:rsidR="002618A4">
        <w:rPr>
          <w:rFonts w:ascii="Calibri" w:hAnsi="Calibri"/>
        </w:rPr>
        <w:t xml:space="preserve">impact and likely require different </w:t>
      </w:r>
      <w:r w:rsidR="00801E26">
        <w:rPr>
          <w:rFonts w:ascii="Calibri" w:hAnsi="Calibri"/>
        </w:rPr>
        <w:t xml:space="preserve">concessions </w:t>
      </w:r>
      <w:r w:rsidR="002618A4">
        <w:rPr>
          <w:rFonts w:ascii="Calibri" w:hAnsi="Calibri"/>
        </w:rPr>
        <w:t>identified</w:t>
      </w:r>
      <w:r w:rsidR="002D60DA">
        <w:rPr>
          <w:rFonts w:ascii="Calibri" w:hAnsi="Calibri"/>
        </w:rPr>
        <w:t xml:space="preserve"> for </w:t>
      </w:r>
      <w:r w:rsidR="0014242B">
        <w:rPr>
          <w:rFonts w:ascii="Calibri" w:hAnsi="Calibri"/>
        </w:rPr>
        <w:t>buildings within this height range.</w:t>
      </w:r>
      <w:r w:rsidR="0014242B" w:rsidDel="0014242B">
        <w:rPr>
          <w:rFonts w:ascii="Calibri" w:hAnsi="Calibri"/>
        </w:rPr>
        <w:t xml:space="preserve"> </w:t>
      </w:r>
    </w:p>
    <w:p w:rsidR="00C63369" w:rsidRDefault="00C63369" w:rsidP="00C63369">
      <w:pPr>
        <w:pStyle w:val="Heading1"/>
      </w:pPr>
      <w:bookmarkStart w:id="20" w:name="_Toc527709098"/>
      <w:bookmarkEnd w:id="17"/>
      <w:r w:rsidRPr="00C63369">
        <w:lastRenderedPageBreak/>
        <w:t>Objective</w:t>
      </w:r>
      <w:bookmarkEnd w:id="18"/>
      <w:bookmarkEnd w:id="19"/>
      <w:bookmarkEnd w:id="20"/>
    </w:p>
    <w:p w:rsidR="00877FF3" w:rsidRPr="002A3F98" w:rsidRDefault="00770332" w:rsidP="0003376D">
      <w:pPr>
        <w:rPr>
          <w:rFonts w:asciiTheme="minorHAnsi" w:hAnsiTheme="minorHAnsi"/>
        </w:rPr>
      </w:pPr>
      <w:r w:rsidRPr="002A3F98">
        <w:rPr>
          <w:rFonts w:asciiTheme="minorHAnsi" w:hAnsiTheme="minorHAnsi"/>
        </w:rPr>
        <w:t xml:space="preserve">The </w:t>
      </w:r>
      <w:r w:rsidR="0031655B" w:rsidRPr="002A3F98">
        <w:rPr>
          <w:rFonts w:asciiTheme="minorHAnsi" w:hAnsiTheme="minorHAnsi"/>
        </w:rPr>
        <w:t>primary o</w:t>
      </w:r>
      <w:r w:rsidRPr="002A3F98">
        <w:rPr>
          <w:rFonts w:asciiTheme="minorHAnsi" w:hAnsiTheme="minorHAnsi"/>
        </w:rPr>
        <w:t xml:space="preserve">bjective of the </w:t>
      </w:r>
      <w:r w:rsidR="006C09EB" w:rsidRPr="002A3F98">
        <w:rPr>
          <w:rFonts w:asciiTheme="minorHAnsi" w:hAnsiTheme="minorHAnsi"/>
        </w:rPr>
        <w:t>NCC</w:t>
      </w:r>
      <w:r w:rsidR="0031655B" w:rsidRPr="002A3F98">
        <w:rPr>
          <w:rFonts w:asciiTheme="minorHAnsi" w:hAnsiTheme="minorHAnsi"/>
        </w:rPr>
        <w:t xml:space="preserve"> </w:t>
      </w:r>
      <w:r w:rsidR="006C09EB" w:rsidRPr="002A3F98">
        <w:rPr>
          <w:rFonts w:asciiTheme="minorHAnsi" w:hAnsiTheme="minorHAnsi"/>
        </w:rPr>
        <w:t>is to address</w:t>
      </w:r>
      <w:r w:rsidR="0031655B" w:rsidRPr="002A3F98">
        <w:rPr>
          <w:rFonts w:asciiTheme="minorHAnsi" w:hAnsiTheme="minorHAnsi"/>
        </w:rPr>
        <w:t xml:space="preserve"> </w:t>
      </w:r>
      <w:r w:rsidR="006C09EB" w:rsidRPr="002A3F98">
        <w:rPr>
          <w:rFonts w:asciiTheme="minorHAnsi" w:hAnsiTheme="minorHAnsi"/>
        </w:rPr>
        <w:t xml:space="preserve">safety and health in the </w:t>
      </w:r>
      <w:r w:rsidR="0031655B" w:rsidRPr="002A3F98">
        <w:rPr>
          <w:rFonts w:asciiTheme="minorHAnsi" w:hAnsiTheme="minorHAnsi"/>
        </w:rPr>
        <w:t xml:space="preserve">design, construction and performance of buildings. The </w:t>
      </w:r>
      <w:r w:rsidR="009D5F44" w:rsidRPr="002A3F98">
        <w:rPr>
          <w:rFonts w:asciiTheme="minorHAnsi" w:hAnsiTheme="minorHAnsi"/>
        </w:rPr>
        <w:t>objective</w:t>
      </w:r>
      <w:r w:rsidR="00E77F7F">
        <w:rPr>
          <w:rFonts w:asciiTheme="minorHAnsi" w:hAnsiTheme="minorHAnsi"/>
        </w:rPr>
        <w:t xml:space="preserve"> of th</w:t>
      </w:r>
      <w:r w:rsidR="008370D5">
        <w:rPr>
          <w:rFonts w:asciiTheme="minorHAnsi" w:hAnsiTheme="minorHAnsi"/>
        </w:rPr>
        <w:t>e</w:t>
      </w:r>
      <w:r w:rsidR="00E77F7F">
        <w:rPr>
          <w:rFonts w:asciiTheme="minorHAnsi" w:hAnsiTheme="minorHAnsi"/>
        </w:rPr>
        <w:t xml:space="preserve"> analysis</w:t>
      </w:r>
      <w:r w:rsidR="008370D5">
        <w:rPr>
          <w:rFonts w:asciiTheme="minorHAnsi" w:hAnsiTheme="minorHAnsi"/>
        </w:rPr>
        <w:t xml:space="preserve"> in this </w:t>
      </w:r>
      <w:r w:rsidR="008401C5">
        <w:rPr>
          <w:rFonts w:asciiTheme="minorHAnsi" w:hAnsiTheme="minorHAnsi"/>
        </w:rPr>
        <w:t xml:space="preserve">Final </w:t>
      </w:r>
      <w:r w:rsidR="008370D5">
        <w:rPr>
          <w:rFonts w:asciiTheme="minorHAnsi" w:hAnsiTheme="minorHAnsi"/>
        </w:rPr>
        <w:t>RIS</w:t>
      </w:r>
      <w:r w:rsidR="009D5F44" w:rsidRPr="002A3F98">
        <w:rPr>
          <w:rFonts w:asciiTheme="minorHAnsi" w:hAnsiTheme="minorHAnsi"/>
        </w:rPr>
        <w:t xml:space="preserve"> is to ensure</w:t>
      </w:r>
      <w:r w:rsidR="00A122BB">
        <w:rPr>
          <w:rFonts w:asciiTheme="minorHAnsi" w:hAnsiTheme="minorHAnsi"/>
        </w:rPr>
        <w:t xml:space="preserve"> that the </w:t>
      </w:r>
      <w:r w:rsidR="00B53CD7">
        <w:rPr>
          <w:rFonts w:asciiTheme="minorHAnsi" w:hAnsiTheme="minorHAnsi"/>
        </w:rPr>
        <w:t>DtS</w:t>
      </w:r>
      <w:r w:rsidR="00A122BB">
        <w:rPr>
          <w:rFonts w:asciiTheme="minorHAnsi" w:hAnsiTheme="minorHAnsi"/>
        </w:rPr>
        <w:t xml:space="preserve"> </w:t>
      </w:r>
      <w:r w:rsidR="00A92842">
        <w:rPr>
          <w:rFonts w:asciiTheme="minorHAnsi" w:hAnsiTheme="minorHAnsi"/>
        </w:rPr>
        <w:t>P</w:t>
      </w:r>
      <w:r w:rsidR="00A122BB">
        <w:rPr>
          <w:rFonts w:asciiTheme="minorHAnsi" w:hAnsiTheme="minorHAnsi"/>
        </w:rPr>
        <w:t>rovisions relating to fire safety for</w:t>
      </w:r>
      <w:r w:rsidR="009D5F44" w:rsidRPr="002A3F98">
        <w:rPr>
          <w:rFonts w:asciiTheme="minorHAnsi" w:hAnsiTheme="minorHAnsi"/>
        </w:rPr>
        <w:t xml:space="preserve"> new Class 2 and</w:t>
      </w:r>
      <w:r w:rsidR="00A122BB">
        <w:rPr>
          <w:rFonts w:asciiTheme="minorHAnsi" w:hAnsiTheme="minorHAnsi"/>
        </w:rPr>
        <w:t xml:space="preserve"> </w:t>
      </w:r>
      <w:r w:rsidR="009D5F44" w:rsidRPr="002A3F98">
        <w:rPr>
          <w:rFonts w:asciiTheme="minorHAnsi" w:hAnsiTheme="minorHAnsi"/>
        </w:rPr>
        <w:t>3 buildings</w:t>
      </w:r>
      <w:r w:rsidR="00E77F7F">
        <w:rPr>
          <w:rFonts w:asciiTheme="minorHAnsi" w:hAnsiTheme="minorHAnsi"/>
        </w:rPr>
        <w:t xml:space="preserve"> constructed between four and eight storeys in height</w:t>
      </w:r>
      <w:r w:rsidR="009D5F44" w:rsidRPr="002A3F98">
        <w:rPr>
          <w:rFonts w:asciiTheme="minorHAnsi" w:hAnsiTheme="minorHAnsi"/>
        </w:rPr>
        <w:t xml:space="preserve"> </w:t>
      </w:r>
      <w:r w:rsidR="00A122BB">
        <w:rPr>
          <w:rFonts w:asciiTheme="minorHAnsi" w:hAnsiTheme="minorHAnsi"/>
        </w:rPr>
        <w:t xml:space="preserve">are </w:t>
      </w:r>
      <w:r w:rsidR="008947C9">
        <w:rPr>
          <w:rFonts w:asciiTheme="minorHAnsi" w:hAnsiTheme="minorHAnsi"/>
        </w:rPr>
        <w:t>proportional,</w:t>
      </w:r>
      <w:r w:rsidR="00401CE1">
        <w:rPr>
          <w:rFonts w:asciiTheme="minorHAnsi" w:hAnsiTheme="minorHAnsi"/>
        </w:rPr>
        <w:t xml:space="preserve"> the</w:t>
      </w:r>
      <w:r w:rsidR="008947C9">
        <w:rPr>
          <w:rFonts w:asciiTheme="minorHAnsi" w:hAnsiTheme="minorHAnsi"/>
        </w:rPr>
        <w:t xml:space="preserve"> </w:t>
      </w:r>
      <w:r w:rsidR="009D5F44" w:rsidRPr="002A3F98">
        <w:rPr>
          <w:rFonts w:asciiTheme="minorHAnsi" w:hAnsiTheme="minorHAnsi"/>
        </w:rPr>
        <w:t xml:space="preserve">minimum necessary </w:t>
      </w:r>
      <w:r w:rsidR="00B53CD7">
        <w:rPr>
          <w:rFonts w:asciiTheme="minorHAnsi" w:hAnsiTheme="minorHAnsi"/>
        </w:rPr>
        <w:t xml:space="preserve">to achieve </w:t>
      </w:r>
      <w:r w:rsidR="00003D47">
        <w:rPr>
          <w:rFonts w:asciiTheme="minorHAnsi" w:hAnsiTheme="minorHAnsi"/>
        </w:rPr>
        <w:t>their</w:t>
      </w:r>
      <w:r w:rsidR="00B53CD7">
        <w:rPr>
          <w:rFonts w:asciiTheme="minorHAnsi" w:hAnsiTheme="minorHAnsi"/>
        </w:rPr>
        <w:t xml:space="preserve"> objectives </w:t>
      </w:r>
      <w:r w:rsidR="00A92188">
        <w:rPr>
          <w:rFonts w:asciiTheme="minorHAnsi" w:hAnsiTheme="minorHAnsi"/>
        </w:rPr>
        <w:t xml:space="preserve">and </w:t>
      </w:r>
      <w:r w:rsidR="003460B5">
        <w:rPr>
          <w:rFonts w:asciiTheme="minorHAnsi" w:hAnsiTheme="minorHAnsi"/>
        </w:rPr>
        <w:t xml:space="preserve">the </w:t>
      </w:r>
      <w:r w:rsidR="008947C9">
        <w:rPr>
          <w:rFonts w:asciiTheme="minorHAnsi" w:hAnsiTheme="minorHAnsi"/>
        </w:rPr>
        <w:t xml:space="preserve">most efficient of </w:t>
      </w:r>
      <w:r w:rsidR="008370D5">
        <w:rPr>
          <w:rFonts w:asciiTheme="minorHAnsi" w:hAnsiTheme="minorHAnsi"/>
        </w:rPr>
        <w:t xml:space="preserve">the available </w:t>
      </w:r>
      <w:r w:rsidR="008947C9">
        <w:rPr>
          <w:rFonts w:asciiTheme="minorHAnsi" w:hAnsiTheme="minorHAnsi"/>
        </w:rPr>
        <w:t>alternatives</w:t>
      </w:r>
      <w:r w:rsidR="00A122BB">
        <w:rPr>
          <w:rFonts w:asciiTheme="minorHAnsi" w:hAnsiTheme="minorHAnsi"/>
        </w:rPr>
        <w:t>.</w:t>
      </w:r>
      <w:r w:rsidR="00F43233" w:rsidRPr="00F43233">
        <w:rPr>
          <w:rFonts w:asciiTheme="minorHAnsi" w:hAnsiTheme="minorHAnsi"/>
          <w:vertAlign w:val="superscript"/>
        </w:rPr>
        <w:t xml:space="preserve"> </w:t>
      </w:r>
      <w:r w:rsidR="00F43233" w:rsidRPr="002A3F98">
        <w:rPr>
          <w:rFonts w:asciiTheme="minorHAnsi" w:hAnsiTheme="minorHAnsi"/>
          <w:vertAlign w:val="superscript"/>
        </w:rPr>
        <w:footnoteReference w:id="16"/>
      </w:r>
      <w:r w:rsidR="00A122BB">
        <w:rPr>
          <w:rFonts w:asciiTheme="minorHAnsi" w:hAnsiTheme="minorHAnsi"/>
        </w:rPr>
        <w:t xml:space="preserve"> This objective aligns with the</w:t>
      </w:r>
      <w:r w:rsidR="00401CE1">
        <w:rPr>
          <w:rFonts w:asciiTheme="minorHAnsi" w:hAnsiTheme="minorHAnsi"/>
        </w:rPr>
        <w:t xml:space="preserve"> Board’s and</w:t>
      </w:r>
      <w:r w:rsidR="00A122BB">
        <w:rPr>
          <w:rFonts w:asciiTheme="minorHAnsi" w:hAnsiTheme="minorHAnsi"/>
        </w:rPr>
        <w:t xml:space="preserve"> </w:t>
      </w:r>
      <w:r w:rsidR="00401CE1">
        <w:rPr>
          <w:rFonts w:asciiTheme="minorHAnsi" w:hAnsiTheme="minorHAnsi"/>
        </w:rPr>
        <w:t>Code’s</w:t>
      </w:r>
      <w:r w:rsidR="00A122BB">
        <w:rPr>
          <w:rFonts w:asciiTheme="minorHAnsi" w:hAnsiTheme="minorHAnsi"/>
        </w:rPr>
        <w:t xml:space="preserve"> objectives </w:t>
      </w:r>
      <w:r w:rsidR="009D5F44" w:rsidRPr="002A3F98">
        <w:rPr>
          <w:rFonts w:asciiTheme="minorHAnsi" w:hAnsiTheme="minorHAnsi"/>
        </w:rPr>
        <w:t>to</w:t>
      </w:r>
      <w:r w:rsidR="00943040">
        <w:rPr>
          <w:rFonts w:asciiTheme="minorHAnsi" w:hAnsiTheme="minorHAnsi"/>
        </w:rPr>
        <w:t xml:space="preserve"> cost </w:t>
      </w:r>
      <w:r w:rsidR="00DF358A">
        <w:rPr>
          <w:rFonts w:asciiTheme="minorHAnsi" w:hAnsiTheme="minorHAnsi"/>
        </w:rPr>
        <w:t>effectively</w:t>
      </w:r>
      <w:r w:rsidR="00877FF3" w:rsidRPr="002A3F98">
        <w:rPr>
          <w:rFonts w:asciiTheme="minorHAnsi" w:hAnsiTheme="minorHAnsi"/>
        </w:rPr>
        <w:t>:</w:t>
      </w:r>
    </w:p>
    <w:p w:rsidR="00877FF3" w:rsidRPr="002A3F98" w:rsidRDefault="008370D5" w:rsidP="000B2944">
      <w:pPr>
        <w:pStyle w:val="Default"/>
        <w:numPr>
          <w:ilvl w:val="0"/>
          <w:numId w:val="6"/>
        </w:numPr>
        <w:spacing w:before="140" w:after="140"/>
        <w:rPr>
          <w:rFonts w:asciiTheme="minorHAnsi" w:hAnsiTheme="minorHAnsi" w:cstheme="minorBidi"/>
          <w:color w:val="auto"/>
          <w:sz w:val="22"/>
          <w:szCs w:val="22"/>
        </w:rPr>
      </w:pPr>
      <w:r>
        <w:rPr>
          <w:rFonts w:asciiTheme="minorHAnsi" w:hAnsiTheme="minorHAnsi" w:cstheme="minorBidi"/>
          <w:color w:val="auto"/>
          <w:sz w:val="22"/>
          <w:szCs w:val="22"/>
        </w:rPr>
        <w:t>p</w:t>
      </w:r>
      <w:r w:rsidR="00877FF3" w:rsidRPr="002A3F98">
        <w:rPr>
          <w:rFonts w:asciiTheme="minorHAnsi" w:hAnsiTheme="minorHAnsi" w:cstheme="minorBidi"/>
          <w:color w:val="auto"/>
          <w:sz w:val="22"/>
          <w:szCs w:val="22"/>
        </w:rPr>
        <w:t>rotect the lives of building occupants</w:t>
      </w:r>
      <w:r>
        <w:rPr>
          <w:rFonts w:asciiTheme="minorHAnsi" w:hAnsiTheme="minorHAnsi" w:cstheme="minorBidi"/>
          <w:color w:val="auto"/>
          <w:sz w:val="22"/>
          <w:szCs w:val="22"/>
        </w:rPr>
        <w:t>;</w:t>
      </w:r>
    </w:p>
    <w:p w:rsidR="00877FF3" w:rsidRPr="002A3F98" w:rsidRDefault="008370D5" w:rsidP="000B2944">
      <w:pPr>
        <w:pStyle w:val="Default"/>
        <w:numPr>
          <w:ilvl w:val="0"/>
          <w:numId w:val="6"/>
        </w:numPr>
        <w:spacing w:before="140" w:after="140"/>
        <w:rPr>
          <w:rFonts w:asciiTheme="minorHAnsi" w:hAnsiTheme="minorHAnsi" w:cstheme="minorBidi"/>
          <w:color w:val="auto"/>
          <w:sz w:val="22"/>
          <w:szCs w:val="22"/>
        </w:rPr>
      </w:pPr>
      <w:r>
        <w:rPr>
          <w:rFonts w:asciiTheme="minorHAnsi" w:hAnsiTheme="minorHAnsi" w:cstheme="minorBidi"/>
          <w:color w:val="auto"/>
          <w:sz w:val="22"/>
          <w:szCs w:val="22"/>
        </w:rPr>
        <w:t>f</w:t>
      </w:r>
      <w:r w:rsidR="00877FF3" w:rsidRPr="002A3F98">
        <w:rPr>
          <w:rFonts w:asciiTheme="minorHAnsi" w:hAnsiTheme="minorHAnsi" w:cstheme="minorBidi"/>
          <w:color w:val="auto"/>
          <w:sz w:val="22"/>
          <w:szCs w:val="22"/>
        </w:rPr>
        <w:t>acilitate fire brigade intervention in the event of an emergency</w:t>
      </w:r>
      <w:r>
        <w:rPr>
          <w:rFonts w:asciiTheme="minorHAnsi" w:hAnsiTheme="minorHAnsi" w:cstheme="minorBidi"/>
          <w:color w:val="auto"/>
          <w:sz w:val="22"/>
          <w:szCs w:val="22"/>
        </w:rPr>
        <w:t>; and</w:t>
      </w:r>
      <w:r w:rsidR="00877FF3" w:rsidRPr="002A3F98">
        <w:rPr>
          <w:rFonts w:asciiTheme="minorHAnsi" w:hAnsiTheme="minorHAnsi" w:cstheme="minorBidi"/>
          <w:color w:val="auto"/>
          <w:sz w:val="22"/>
          <w:szCs w:val="22"/>
        </w:rPr>
        <w:t xml:space="preserve"> </w:t>
      </w:r>
    </w:p>
    <w:p w:rsidR="00E77F7F" w:rsidRPr="00076525" w:rsidRDefault="008370D5" w:rsidP="00076525">
      <w:pPr>
        <w:pStyle w:val="Default"/>
        <w:numPr>
          <w:ilvl w:val="0"/>
          <w:numId w:val="6"/>
        </w:numPr>
        <w:spacing w:before="140" w:after="140"/>
        <w:rPr>
          <w:rFonts w:asciiTheme="majorHAnsi" w:eastAsiaTheme="majorEastAsia" w:hAnsiTheme="majorHAnsi" w:cstheme="majorBidi"/>
          <w:b/>
          <w:bCs/>
          <w:color w:val="002060"/>
          <w:sz w:val="40"/>
          <w:szCs w:val="28"/>
        </w:rPr>
      </w:pPr>
      <w:r>
        <w:rPr>
          <w:rFonts w:asciiTheme="minorHAnsi" w:hAnsiTheme="minorHAnsi" w:cstheme="minorBidi"/>
          <w:color w:val="auto"/>
          <w:sz w:val="22"/>
          <w:szCs w:val="22"/>
        </w:rPr>
        <w:t>p</w:t>
      </w:r>
      <w:r w:rsidR="00877FF3" w:rsidRPr="002A3F98">
        <w:rPr>
          <w:rFonts w:asciiTheme="minorHAnsi" w:hAnsiTheme="minorHAnsi" w:cstheme="minorBidi"/>
          <w:color w:val="auto"/>
          <w:sz w:val="22"/>
          <w:szCs w:val="22"/>
        </w:rPr>
        <w:t xml:space="preserve">rotect adjacent property from the spread of fire and physical damage in </w:t>
      </w:r>
      <w:r w:rsidR="00877FF3">
        <w:rPr>
          <w:rFonts w:asciiTheme="minorHAnsi" w:hAnsiTheme="minorHAnsi" w:cstheme="minorBidi"/>
          <w:color w:val="auto"/>
          <w:sz w:val="22"/>
          <w:szCs w:val="22"/>
        </w:rPr>
        <w:t>the event of structural failure</w:t>
      </w:r>
      <w:r w:rsidR="00274AF1">
        <w:rPr>
          <w:rFonts w:asciiTheme="minorHAnsi" w:hAnsiTheme="minorHAnsi" w:cstheme="minorBidi"/>
          <w:color w:val="auto"/>
          <w:sz w:val="22"/>
          <w:szCs w:val="22"/>
        </w:rPr>
        <w:t>.</w:t>
      </w:r>
      <w:bookmarkStart w:id="21" w:name="_Toc471384397"/>
      <w:bookmarkStart w:id="22" w:name="_Toc465795039"/>
      <w:bookmarkStart w:id="23" w:name="_Toc465670390"/>
      <w:bookmarkStart w:id="24" w:name="_Toc465670150"/>
      <w:bookmarkStart w:id="25" w:name="_Toc455499110"/>
      <w:bookmarkStart w:id="26" w:name="_Toc455499049"/>
      <w:bookmarkStart w:id="27" w:name="_Toc455499050"/>
      <w:bookmarkStart w:id="28" w:name="_Toc471384399"/>
      <w:r w:rsidR="00F43233" w:rsidRPr="00F43233">
        <w:rPr>
          <w:rFonts w:asciiTheme="minorHAnsi" w:hAnsiTheme="minorHAnsi" w:cstheme="minorBidi"/>
          <w:color w:val="auto"/>
          <w:sz w:val="22"/>
          <w:szCs w:val="22"/>
          <w:vertAlign w:val="superscript"/>
        </w:rPr>
        <w:t xml:space="preserve"> </w:t>
      </w:r>
      <w:r w:rsidR="00F43233" w:rsidRPr="00274AF1">
        <w:rPr>
          <w:rFonts w:asciiTheme="minorHAnsi" w:hAnsiTheme="minorHAnsi" w:cstheme="minorBidi"/>
          <w:color w:val="auto"/>
          <w:sz w:val="22"/>
          <w:szCs w:val="22"/>
          <w:vertAlign w:val="superscript"/>
        </w:rPr>
        <w:footnoteReference w:id="17"/>
      </w:r>
    </w:p>
    <w:p w:rsidR="00136C17" w:rsidRDefault="00136C17" w:rsidP="00136C17">
      <w:pPr>
        <w:pStyle w:val="Heading1"/>
      </w:pPr>
      <w:bookmarkStart w:id="29" w:name="_Toc505333475"/>
      <w:bookmarkStart w:id="30" w:name="_Toc527709099"/>
      <w:r w:rsidRPr="00C63369">
        <w:t>O</w:t>
      </w:r>
      <w:r>
        <w:t>ptions</w:t>
      </w:r>
      <w:bookmarkEnd w:id="29"/>
      <w:bookmarkEnd w:id="30"/>
    </w:p>
    <w:p w:rsidR="00136C17" w:rsidRDefault="00136C17" w:rsidP="00136C17">
      <w:pPr>
        <w:rPr>
          <w:rFonts w:asciiTheme="minorHAnsi" w:hAnsiTheme="minorHAnsi"/>
        </w:rPr>
      </w:pPr>
      <w:r w:rsidRPr="00136C17">
        <w:rPr>
          <w:rFonts w:asciiTheme="minorHAnsi" w:hAnsiTheme="minorHAnsi"/>
        </w:rPr>
        <w:t>There are two options presented to decision</w:t>
      </w:r>
      <w:r w:rsidR="008370D5">
        <w:rPr>
          <w:rFonts w:asciiTheme="minorHAnsi" w:hAnsiTheme="minorHAnsi"/>
        </w:rPr>
        <w:t>-</w:t>
      </w:r>
      <w:r w:rsidRPr="00136C17">
        <w:rPr>
          <w:rFonts w:asciiTheme="minorHAnsi" w:hAnsiTheme="minorHAnsi"/>
        </w:rPr>
        <w:t xml:space="preserve">makers for consideration in addition to the option of retaining the status quo. </w:t>
      </w:r>
      <w:r w:rsidR="00317CFE">
        <w:rPr>
          <w:rFonts w:asciiTheme="minorHAnsi" w:hAnsiTheme="minorHAnsi"/>
        </w:rPr>
        <w:t xml:space="preserve">In the </w:t>
      </w:r>
      <w:r w:rsidR="00CE0B95">
        <w:rPr>
          <w:rFonts w:asciiTheme="minorHAnsi" w:hAnsiTheme="minorHAnsi"/>
        </w:rPr>
        <w:t>C</w:t>
      </w:r>
      <w:r w:rsidR="00317CFE">
        <w:rPr>
          <w:rFonts w:asciiTheme="minorHAnsi" w:hAnsiTheme="minorHAnsi"/>
        </w:rPr>
        <w:t xml:space="preserve">onsultation RIS, the term mandatory was used to describe Option 1. However, </w:t>
      </w:r>
      <w:r w:rsidR="00CE0B95">
        <w:rPr>
          <w:rFonts w:asciiTheme="minorHAnsi" w:hAnsiTheme="minorHAnsi"/>
        </w:rPr>
        <w:t xml:space="preserve">as the RIS only considers the DtS pathway as a means of compliance, </w:t>
      </w:r>
      <w:r w:rsidR="00317CFE">
        <w:rPr>
          <w:rFonts w:asciiTheme="minorHAnsi" w:hAnsiTheme="minorHAnsi"/>
        </w:rPr>
        <w:t xml:space="preserve">the </w:t>
      </w:r>
      <w:r w:rsidR="00B2008D">
        <w:rPr>
          <w:rFonts w:asciiTheme="minorHAnsi" w:hAnsiTheme="minorHAnsi"/>
        </w:rPr>
        <w:t xml:space="preserve">Options are described in </w:t>
      </w:r>
      <w:r w:rsidR="00317CFE">
        <w:rPr>
          <w:rFonts w:asciiTheme="minorHAnsi" w:hAnsiTheme="minorHAnsi"/>
        </w:rPr>
        <w:t>term</w:t>
      </w:r>
      <w:r w:rsidR="00B2008D">
        <w:rPr>
          <w:rFonts w:asciiTheme="minorHAnsi" w:hAnsiTheme="minorHAnsi"/>
        </w:rPr>
        <w:t>s</w:t>
      </w:r>
      <w:r w:rsidR="00317CFE">
        <w:rPr>
          <w:rFonts w:asciiTheme="minorHAnsi" w:hAnsiTheme="minorHAnsi"/>
        </w:rPr>
        <w:t xml:space="preserve"> </w:t>
      </w:r>
      <w:r w:rsidR="00B2008D">
        <w:rPr>
          <w:rFonts w:asciiTheme="minorHAnsi" w:hAnsiTheme="minorHAnsi"/>
        </w:rPr>
        <w:t xml:space="preserve">of </w:t>
      </w:r>
      <w:r w:rsidR="007A1CC0">
        <w:rPr>
          <w:rFonts w:asciiTheme="minorHAnsi" w:hAnsiTheme="minorHAnsi"/>
        </w:rPr>
        <w:t xml:space="preserve">DtS compliance using </w:t>
      </w:r>
      <w:r w:rsidR="00CE0B95">
        <w:rPr>
          <w:rFonts w:asciiTheme="minorHAnsi" w:hAnsiTheme="minorHAnsi"/>
        </w:rPr>
        <w:t>sprinkler protection only</w:t>
      </w:r>
      <w:r w:rsidR="00B2008D">
        <w:rPr>
          <w:rFonts w:asciiTheme="minorHAnsi" w:hAnsiTheme="minorHAnsi"/>
        </w:rPr>
        <w:t xml:space="preserve"> (Option One)</w:t>
      </w:r>
      <w:r w:rsidR="00CE0B95">
        <w:rPr>
          <w:rFonts w:asciiTheme="minorHAnsi" w:hAnsiTheme="minorHAnsi"/>
        </w:rPr>
        <w:t xml:space="preserve"> </w:t>
      </w:r>
      <w:r w:rsidR="00B2008D">
        <w:rPr>
          <w:rFonts w:asciiTheme="minorHAnsi" w:hAnsiTheme="minorHAnsi"/>
        </w:rPr>
        <w:t xml:space="preserve">and </w:t>
      </w:r>
      <w:r w:rsidR="007A1CC0">
        <w:rPr>
          <w:rFonts w:asciiTheme="minorHAnsi" w:hAnsiTheme="minorHAnsi"/>
        </w:rPr>
        <w:t xml:space="preserve">DtS </w:t>
      </w:r>
      <w:r w:rsidR="00B2008D">
        <w:rPr>
          <w:rFonts w:asciiTheme="minorHAnsi" w:hAnsiTheme="minorHAnsi"/>
        </w:rPr>
        <w:t xml:space="preserve">sprinkler protection as an alternative (Option 2) </w:t>
      </w:r>
      <w:r w:rsidR="00CE0B95">
        <w:rPr>
          <w:rFonts w:asciiTheme="minorHAnsi" w:hAnsiTheme="minorHAnsi"/>
        </w:rPr>
        <w:t>for clarity</w:t>
      </w:r>
      <w:r w:rsidR="00317CFE">
        <w:rPr>
          <w:rFonts w:asciiTheme="minorHAnsi" w:hAnsiTheme="minorHAnsi"/>
        </w:rPr>
        <w:t>.</w:t>
      </w:r>
    </w:p>
    <w:p w:rsidR="00136C17" w:rsidRPr="00E7305D" w:rsidRDefault="00136C17" w:rsidP="00E7305D">
      <w:pPr>
        <w:pStyle w:val="Heading2"/>
        <w:rPr>
          <w:rStyle w:val="Heading2Char"/>
          <w:b/>
        </w:rPr>
      </w:pPr>
      <w:bookmarkStart w:id="31" w:name="_Toc505333476"/>
      <w:r w:rsidRPr="00E7305D">
        <w:rPr>
          <w:rStyle w:val="Heading2Char"/>
          <w:b/>
        </w:rPr>
        <w:t>Status Quo</w:t>
      </w:r>
      <w:bookmarkEnd w:id="31"/>
    </w:p>
    <w:p w:rsidR="00136C17" w:rsidRDefault="00CD5BCC" w:rsidP="00136C17">
      <w:pPr>
        <w:rPr>
          <w:rFonts w:asciiTheme="minorHAnsi" w:hAnsiTheme="minorHAnsi"/>
        </w:rPr>
      </w:pPr>
      <w:r>
        <w:rPr>
          <w:rFonts w:asciiTheme="minorHAnsi" w:hAnsiTheme="minorHAnsi"/>
        </w:rPr>
        <w:t>The status quo is the default choice for decision-makers in considering alternatives to achieve the objectives. Where the incremental impacts of other options would result in more costs than benefits, or would be ineffective in addressing the problem</w:t>
      </w:r>
      <w:r w:rsidR="00D7226B">
        <w:rPr>
          <w:rFonts w:asciiTheme="minorHAnsi" w:hAnsiTheme="minorHAnsi"/>
        </w:rPr>
        <w:t xml:space="preserve"> or achieving the objectives, this </w:t>
      </w:r>
      <w:r w:rsidR="008401C5">
        <w:rPr>
          <w:rFonts w:asciiTheme="minorHAnsi" w:hAnsiTheme="minorHAnsi"/>
        </w:rPr>
        <w:t xml:space="preserve">Final </w:t>
      </w:r>
      <w:r w:rsidR="00D7226B">
        <w:rPr>
          <w:rFonts w:asciiTheme="minorHAnsi" w:hAnsiTheme="minorHAnsi"/>
        </w:rPr>
        <w:t xml:space="preserve">RIS will conclude in favour of the status quo. </w:t>
      </w:r>
    </w:p>
    <w:p w:rsidR="00A743A3" w:rsidRDefault="00D7226B" w:rsidP="00136C17">
      <w:pPr>
        <w:rPr>
          <w:rFonts w:asciiTheme="minorHAnsi" w:hAnsiTheme="minorHAnsi"/>
        </w:rPr>
      </w:pPr>
      <w:r>
        <w:rPr>
          <w:rFonts w:asciiTheme="minorHAnsi" w:hAnsiTheme="minorHAnsi"/>
        </w:rPr>
        <w:t xml:space="preserve">The status quo will be regarded as a baseline, as a basis to determine the incremental impacts of the other options. The current DtS </w:t>
      </w:r>
      <w:r w:rsidR="00917092">
        <w:rPr>
          <w:rFonts w:asciiTheme="minorHAnsi" w:hAnsiTheme="minorHAnsi"/>
        </w:rPr>
        <w:t xml:space="preserve">Provisions </w:t>
      </w:r>
      <w:r w:rsidR="00235598">
        <w:rPr>
          <w:rFonts w:asciiTheme="minorHAnsi" w:hAnsiTheme="minorHAnsi"/>
        </w:rPr>
        <w:t>relevant</w:t>
      </w:r>
      <w:r>
        <w:rPr>
          <w:rFonts w:asciiTheme="minorHAnsi" w:hAnsiTheme="minorHAnsi"/>
        </w:rPr>
        <w:t xml:space="preserve"> to this </w:t>
      </w:r>
      <w:r w:rsidR="008401C5">
        <w:rPr>
          <w:rFonts w:asciiTheme="minorHAnsi" w:hAnsiTheme="minorHAnsi"/>
        </w:rPr>
        <w:t xml:space="preserve">Final </w:t>
      </w:r>
      <w:r>
        <w:rPr>
          <w:rFonts w:asciiTheme="minorHAnsi" w:hAnsiTheme="minorHAnsi"/>
        </w:rPr>
        <w:t xml:space="preserve">RIS </w:t>
      </w:r>
      <w:r w:rsidR="006118A5">
        <w:rPr>
          <w:rFonts w:asciiTheme="minorHAnsi" w:hAnsiTheme="minorHAnsi"/>
        </w:rPr>
        <w:t>are</w:t>
      </w:r>
      <w:r>
        <w:rPr>
          <w:rFonts w:asciiTheme="minorHAnsi" w:hAnsiTheme="minorHAnsi"/>
        </w:rPr>
        <w:t xml:space="preserve"> </w:t>
      </w:r>
      <w:r w:rsidR="006118A5">
        <w:rPr>
          <w:rFonts w:asciiTheme="minorHAnsi" w:hAnsiTheme="minorHAnsi"/>
        </w:rPr>
        <w:t>described under the status quo</w:t>
      </w:r>
      <w:r>
        <w:rPr>
          <w:rFonts w:asciiTheme="minorHAnsi" w:hAnsiTheme="minorHAnsi"/>
        </w:rPr>
        <w:t xml:space="preserve"> in Table </w:t>
      </w:r>
      <w:r w:rsidR="00B44B23">
        <w:rPr>
          <w:rFonts w:asciiTheme="minorHAnsi" w:hAnsiTheme="minorHAnsi"/>
        </w:rPr>
        <w:t>5</w:t>
      </w:r>
      <w:r>
        <w:rPr>
          <w:rFonts w:asciiTheme="minorHAnsi" w:hAnsiTheme="minorHAnsi"/>
        </w:rPr>
        <w:t xml:space="preserve">. </w:t>
      </w:r>
    </w:p>
    <w:p w:rsidR="00D7226B" w:rsidRDefault="00A743A3" w:rsidP="00136C17">
      <w:pPr>
        <w:rPr>
          <w:rFonts w:asciiTheme="minorHAnsi" w:hAnsiTheme="minorHAnsi"/>
        </w:rPr>
      </w:pPr>
      <w:r>
        <w:rPr>
          <w:rFonts w:asciiTheme="minorHAnsi" w:hAnsiTheme="minorHAnsi"/>
        </w:rPr>
        <w:br w:type="page"/>
      </w:r>
    </w:p>
    <w:p w:rsidR="006118A5" w:rsidRPr="005E3416" w:rsidRDefault="006118A5" w:rsidP="00A743A3">
      <w:pPr>
        <w:pStyle w:val="Caption"/>
        <w:keepNext/>
        <w:spacing w:after="0"/>
        <w:rPr>
          <w:rFonts w:asciiTheme="minorHAnsi" w:hAnsiTheme="minorHAnsi"/>
          <w:b w:val="0"/>
          <w:bCs w:val="0"/>
          <w:iCs/>
          <w:color w:val="002060"/>
          <w:sz w:val="24"/>
          <w:szCs w:val="24"/>
        </w:rPr>
      </w:pPr>
      <w:r w:rsidRPr="005E3416">
        <w:rPr>
          <w:rFonts w:asciiTheme="minorHAnsi" w:hAnsiTheme="minorHAnsi"/>
          <w:b w:val="0"/>
          <w:bCs w:val="0"/>
          <w:iCs/>
          <w:color w:val="002060"/>
          <w:sz w:val="24"/>
          <w:szCs w:val="24"/>
        </w:rPr>
        <w:lastRenderedPageBreak/>
        <w:t xml:space="preserve">Table </w:t>
      </w:r>
      <w:r>
        <w:rPr>
          <w:rFonts w:asciiTheme="minorHAnsi" w:hAnsiTheme="minorHAnsi"/>
          <w:b w:val="0"/>
          <w:bCs w:val="0"/>
          <w:iCs/>
          <w:color w:val="002060"/>
          <w:sz w:val="24"/>
          <w:szCs w:val="24"/>
        </w:rPr>
        <w:t>5</w:t>
      </w:r>
      <w:r w:rsidR="00A743A3">
        <w:rPr>
          <w:rFonts w:asciiTheme="minorHAnsi" w:hAnsiTheme="minorHAnsi"/>
          <w:b w:val="0"/>
          <w:bCs w:val="0"/>
          <w:iCs/>
          <w:color w:val="002060"/>
          <w:sz w:val="24"/>
          <w:szCs w:val="24"/>
        </w:rPr>
        <w:t>:</w:t>
      </w:r>
      <w:r w:rsidRPr="005E3416">
        <w:rPr>
          <w:rFonts w:asciiTheme="minorHAnsi" w:hAnsiTheme="minorHAnsi"/>
          <w:b w:val="0"/>
          <w:bCs w:val="0"/>
          <w:iCs/>
          <w:color w:val="002060"/>
          <w:sz w:val="24"/>
          <w:szCs w:val="24"/>
        </w:rPr>
        <w:t xml:space="preserve"> NCC DtS </w:t>
      </w:r>
      <w:r w:rsidR="00917092">
        <w:rPr>
          <w:rFonts w:asciiTheme="minorHAnsi" w:hAnsiTheme="minorHAnsi"/>
          <w:b w:val="0"/>
          <w:bCs w:val="0"/>
          <w:iCs/>
          <w:color w:val="002060"/>
          <w:sz w:val="24"/>
          <w:szCs w:val="24"/>
        </w:rPr>
        <w:t xml:space="preserve">Provisions </w:t>
      </w:r>
      <w:r>
        <w:rPr>
          <w:rFonts w:asciiTheme="minorHAnsi" w:hAnsiTheme="minorHAnsi"/>
          <w:b w:val="0"/>
          <w:bCs w:val="0"/>
          <w:iCs/>
          <w:color w:val="002060"/>
          <w:sz w:val="24"/>
          <w:szCs w:val="24"/>
        </w:rPr>
        <w:t>under the status quo and proposed offsets under Option 1</w:t>
      </w:r>
    </w:p>
    <w:tbl>
      <w:tblPr>
        <w:tblStyle w:val="TableGrid"/>
        <w:tblW w:w="0" w:type="auto"/>
        <w:tblLook w:val="0480" w:firstRow="0" w:lastRow="0" w:firstColumn="1" w:lastColumn="0" w:noHBand="0" w:noVBand="1"/>
        <w:tblCaption w:val="Table presenting concessions to NCC DtS requirements (offsets) where sprinklers to FPAA 101D, FPAA 101 H or systems complying with Specification E1.5 of the NCC are installed"/>
      </w:tblPr>
      <w:tblGrid>
        <w:gridCol w:w="3005"/>
        <w:gridCol w:w="3005"/>
        <w:gridCol w:w="3006"/>
      </w:tblGrid>
      <w:tr w:rsidR="006118A5" w:rsidTr="003D4C04">
        <w:trPr>
          <w:trHeight w:val="622"/>
          <w:tblHeader/>
        </w:trPr>
        <w:tc>
          <w:tcPr>
            <w:tcW w:w="3005" w:type="dxa"/>
            <w:shd w:val="clear" w:color="auto" w:fill="002060"/>
          </w:tcPr>
          <w:p w:rsidR="006118A5" w:rsidRPr="00A743A3" w:rsidRDefault="006118A5" w:rsidP="00A743A3">
            <w:pPr>
              <w:spacing w:before="120" w:after="120"/>
              <w:jc w:val="center"/>
              <w:rPr>
                <w:rFonts w:asciiTheme="minorHAnsi" w:eastAsia="Times New Roman" w:hAnsiTheme="minorHAnsi" w:cs="Arial"/>
                <w:bCs/>
                <w:color w:val="FFFFFF" w:themeColor="background1"/>
                <w:lang w:eastAsia="en-AU"/>
              </w:rPr>
            </w:pPr>
            <w:r w:rsidRPr="00A743A3">
              <w:rPr>
                <w:rFonts w:asciiTheme="minorHAnsi" w:eastAsia="Times New Roman" w:hAnsiTheme="minorHAnsi" w:cs="Arial"/>
                <w:bCs/>
                <w:color w:val="FFFFFF" w:themeColor="background1"/>
                <w:lang w:eastAsia="en-AU"/>
              </w:rPr>
              <w:t xml:space="preserve">NCC DtS </w:t>
            </w:r>
            <w:r w:rsidR="00A743A3">
              <w:rPr>
                <w:rFonts w:asciiTheme="minorHAnsi" w:eastAsia="Times New Roman" w:hAnsiTheme="minorHAnsi" w:cs="Arial"/>
                <w:bCs/>
                <w:color w:val="FFFFFF" w:themeColor="background1"/>
                <w:lang w:eastAsia="en-AU"/>
              </w:rPr>
              <w:t>S</w:t>
            </w:r>
            <w:r w:rsidRPr="00A743A3">
              <w:rPr>
                <w:rFonts w:asciiTheme="minorHAnsi" w:eastAsia="Times New Roman" w:hAnsiTheme="minorHAnsi" w:cs="Arial"/>
                <w:bCs/>
                <w:color w:val="FFFFFF" w:themeColor="background1"/>
                <w:lang w:eastAsia="en-AU"/>
              </w:rPr>
              <w:t xml:space="preserve">ubject </w:t>
            </w:r>
            <w:r w:rsidR="00A743A3">
              <w:rPr>
                <w:rFonts w:asciiTheme="minorHAnsi" w:eastAsia="Times New Roman" w:hAnsiTheme="minorHAnsi" w:cs="Arial"/>
                <w:bCs/>
                <w:color w:val="FFFFFF" w:themeColor="background1"/>
                <w:lang w:eastAsia="en-AU"/>
              </w:rPr>
              <w:t>M</w:t>
            </w:r>
            <w:r w:rsidRPr="00A743A3">
              <w:rPr>
                <w:rFonts w:asciiTheme="minorHAnsi" w:eastAsia="Times New Roman" w:hAnsiTheme="minorHAnsi" w:cs="Arial"/>
                <w:bCs/>
                <w:color w:val="FFFFFF" w:themeColor="background1"/>
                <w:lang w:eastAsia="en-AU"/>
              </w:rPr>
              <w:t>atter</w:t>
            </w:r>
          </w:p>
        </w:tc>
        <w:tc>
          <w:tcPr>
            <w:tcW w:w="3005" w:type="dxa"/>
            <w:shd w:val="clear" w:color="auto" w:fill="002060"/>
          </w:tcPr>
          <w:p w:rsidR="006118A5" w:rsidRPr="00A743A3" w:rsidRDefault="00A743A3" w:rsidP="00A743A3">
            <w:pPr>
              <w:spacing w:before="120" w:after="120"/>
              <w:jc w:val="center"/>
              <w:rPr>
                <w:rFonts w:asciiTheme="minorHAnsi" w:eastAsia="Times New Roman" w:hAnsiTheme="minorHAnsi" w:cs="Arial"/>
                <w:bCs/>
                <w:color w:val="FFFFFF" w:themeColor="background1"/>
                <w:lang w:eastAsia="en-AU"/>
              </w:rPr>
            </w:pPr>
            <w:r>
              <w:rPr>
                <w:rFonts w:asciiTheme="minorHAnsi" w:eastAsia="Times New Roman" w:hAnsiTheme="minorHAnsi" w:cs="Arial"/>
                <w:bCs/>
                <w:color w:val="FFFFFF" w:themeColor="background1"/>
                <w:lang w:eastAsia="en-AU"/>
              </w:rPr>
              <w:t>Status Q</w:t>
            </w:r>
            <w:r w:rsidR="006118A5" w:rsidRPr="00A743A3">
              <w:rPr>
                <w:rFonts w:asciiTheme="minorHAnsi" w:eastAsia="Times New Roman" w:hAnsiTheme="minorHAnsi" w:cs="Arial"/>
                <w:bCs/>
                <w:color w:val="FFFFFF" w:themeColor="background1"/>
                <w:lang w:eastAsia="en-AU"/>
              </w:rPr>
              <w:t>uo</w:t>
            </w:r>
          </w:p>
        </w:tc>
        <w:tc>
          <w:tcPr>
            <w:tcW w:w="3006" w:type="dxa"/>
            <w:shd w:val="clear" w:color="auto" w:fill="002060"/>
          </w:tcPr>
          <w:p w:rsidR="006118A5" w:rsidRPr="00A743A3" w:rsidRDefault="006118A5" w:rsidP="00A743A3">
            <w:pPr>
              <w:spacing w:before="120" w:after="120"/>
              <w:jc w:val="center"/>
              <w:rPr>
                <w:rFonts w:asciiTheme="minorHAnsi" w:eastAsia="Times New Roman" w:hAnsiTheme="minorHAnsi" w:cs="Arial"/>
                <w:bCs/>
                <w:color w:val="FFFFFF" w:themeColor="background1"/>
                <w:lang w:eastAsia="en-AU"/>
              </w:rPr>
            </w:pPr>
            <w:r w:rsidRPr="00A743A3">
              <w:rPr>
                <w:rFonts w:asciiTheme="minorHAnsi" w:eastAsia="Times New Roman" w:hAnsiTheme="minorHAnsi" w:cs="Arial"/>
                <w:bCs/>
                <w:color w:val="FFFFFF" w:themeColor="background1"/>
                <w:lang w:eastAsia="en-AU"/>
              </w:rPr>
              <w:t>Option 1</w:t>
            </w:r>
          </w:p>
        </w:tc>
      </w:tr>
      <w:tr w:rsidR="006118A5" w:rsidTr="003D4C04">
        <w:tc>
          <w:tcPr>
            <w:tcW w:w="3005" w:type="dxa"/>
          </w:tcPr>
          <w:p w:rsidR="006118A5" w:rsidRDefault="00A743A3" w:rsidP="00A743A3">
            <w:pPr>
              <w:autoSpaceDE w:val="0"/>
              <w:autoSpaceDN w:val="0"/>
              <w:adjustRightInd w:val="0"/>
              <w:spacing w:before="120" w:after="120"/>
              <w:jc w:val="center"/>
              <w:rPr>
                <w:rFonts w:asciiTheme="minorHAnsi" w:hAnsiTheme="minorHAnsi"/>
              </w:rPr>
            </w:pPr>
            <w:r>
              <w:rPr>
                <w:rFonts w:asciiTheme="minorHAnsi" w:hAnsiTheme="minorHAnsi"/>
              </w:rPr>
              <w:t>Fire sprinkler system</w:t>
            </w:r>
          </w:p>
        </w:tc>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(E1.5) Not required</w:t>
            </w:r>
          </w:p>
        </w:tc>
        <w:tc>
          <w:tcPr>
            <w:tcW w:w="3006" w:type="dxa"/>
          </w:tcPr>
          <w:p w:rsidR="006118A5" w:rsidRDefault="006118A5" w:rsidP="00A743A3">
            <w:pPr>
              <w:autoSpaceDE w:val="0"/>
              <w:autoSpaceDN w:val="0"/>
              <w:adjustRightInd w:val="0"/>
              <w:spacing w:before="120" w:after="120"/>
              <w:jc w:val="center"/>
              <w:rPr>
                <w:rFonts w:asciiTheme="minorHAnsi" w:hAnsiTheme="minorHAnsi"/>
              </w:rPr>
            </w:pPr>
            <w:r>
              <w:rPr>
                <w:rFonts w:asciiTheme="minorHAnsi" w:hAnsiTheme="minorHAnsi"/>
              </w:rPr>
              <w:t xml:space="preserve">In accordance with </w:t>
            </w:r>
            <w:r w:rsidR="00CD7733">
              <w:rPr>
                <w:rFonts w:asciiTheme="minorHAnsi" w:hAnsiTheme="minorHAnsi"/>
              </w:rPr>
              <w:t>FPAA Specifications 101D*, 101H* or AS 2118.1</w:t>
            </w:r>
            <w:r>
              <w:rPr>
                <w:rFonts w:asciiTheme="minorHAnsi" w:hAnsiTheme="minorHAnsi"/>
              </w:rPr>
              <w:t>*</w:t>
            </w:r>
          </w:p>
        </w:tc>
      </w:tr>
      <w:tr w:rsidR="006118A5" w:rsidTr="003D4C04">
        <w:trPr>
          <w:trHeight w:val="890"/>
        </w:trPr>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Non-loadbearing walls around fire-isolated</w:t>
            </w:r>
            <w:r w:rsidR="00AA38F2">
              <w:rPr>
                <w:rFonts w:asciiTheme="minorHAnsi" w:hAnsiTheme="minorHAnsi"/>
              </w:rPr>
              <w:t xml:space="preserve"> stairs</w:t>
            </w:r>
          </w:p>
        </w:tc>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-/90/90</w:t>
            </w:r>
          </w:p>
        </w:tc>
        <w:tc>
          <w:tcPr>
            <w:tcW w:w="3006"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-/60/60</w:t>
            </w:r>
          </w:p>
        </w:tc>
      </w:tr>
      <w:tr w:rsidR="006118A5" w:rsidTr="003D4C04">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Penetrations in non-loadbearing walls around fire-isolated stairways and internal bounding construction (</w:t>
            </w:r>
            <w:r w:rsidR="00A743A3" w:rsidRPr="00F52299">
              <w:rPr>
                <w:rFonts w:asciiTheme="minorHAnsi" w:hAnsiTheme="minorHAnsi"/>
              </w:rPr>
              <w:t>Spec</w:t>
            </w:r>
            <w:r w:rsidR="00A743A3">
              <w:rPr>
                <w:rFonts w:asciiTheme="minorHAnsi" w:hAnsiTheme="minorHAnsi"/>
              </w:rPr>
              <w:t>ification</w:t>
            </w:r>
            <w:r w:rsidRPr="00F52299">
              <w:rPr>
                <w:rFonts w:asciiTheme="minorHAnsi" w:hAnsiTheme="minorHAnsi"/>
              </w:rPr>
              <w:t xml:space="preserve"> C1.1 Table 3 and Part C3)</w:t>
            </w:r>
          </w:p>
        </w:tc>
        <w:tc>
          <w:tcPr>
            <w:tcW w:w="3005" w:type="dxa"/>
          </w:tcPr>
          <w:p w:rsidR="006118A5" w:rsidRDefault="006118A5" w:rsidP="00A743A3">
            <w:pPr>
              <w:spacing w:before="120" w:after="120"/>
              <w:jc w:val="center"/>
              <w:rPr>
                <w:rFonts w:asciiTheme="minorHAnsi" w:hAnsiTheme="minorHAnsi"/>
              </w:rPr>
            </w:pPr>
            <w:r w:rsidRPr="00F52299">
              <w:rPr>
                <w:rFonts w:asciiTheme="minorHAnsi" w:hAnsiTheme="minorHAnsi"/>
              </w:rPr>
              <w:t>-/60/30</w:t>
            </w:r>
          </w:p>
        </w:tc>
        <w:tc>
          <w:tcPr>
            <w:tcW w:w="3006" w:type="dxa"/>
          </w:tcPr>
          <w:p w:rsidR="006118A5" w:rsidRDefault="006118A5" w:rsidP="00A743A3">
            <w:pPr>
              <w:spacing w:before="120" w:after="120"/>
              <w:jc w:val="center"/>
              <w:rPr>
                <w:rFonts w:asciiTheme="minorHAnsi" w:hAnsiTheme="minorHAnsi"/>
              </w:rPr>
            </w:pPr>
            <w:r w:rsidRPr="00F52299">
              <w:rPr>
                <w:rFonts w:asciiTheme="minorHAnsi" w:hAnsiTheme="minorHAnsi"/>
              </w:rPr>
              <w:t>-/60/15</w:t>
            </w:r>
          </w:p>
        </w:tc>
      </w:tr>
      <w:tr w:rsidR="006118A5" w:rsidTr="003D4C04">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Protect window openings in bounding construction separating a path of travel to an exit along open balcony and landing (C3.11(g)(v))</w:t>
            </w:r>
          </w:p>
        </w:tc>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Wall wetting sprinklers; or -/60/- fire windows; or -/60/- fire shutters</w:t>
            </w:r>
          </w:p>
        </w:tc>
        <w:tc>
          <w:tcPr>
            <w:tcW w:w="3006" w:type="dxa"/>
          </w:tcPr>
          <w:p w:rsidR="006118A5" w:rsidRDefault="006118A5" w:rsidP="00A743A3">
            <w:pPr>
              <w:spacing w:before="120" w:after="120"/>
              <w:jc w:val="center"/>
              <w:rPr>
                <w:rFonts w:asciiTheme="minorHAnsi" w:hAnsiTheme="minorHAnsi"/>
              </w:rPr>
            </w:pPr>
            <w:r w:rsidRPr="00F52299">
              <w:rPr>
                <w:rFonts w:asciiTheme="minorHAnsi" w:hAnsiTheme="minorHAnsi"/>
              </w:rPr>
              <w:t>Not required</w:t>
            </w:r>
          </w:p>
        </w:tc>
      </w:tr>
      <w:tr w:rsidR="006118A5" w:rsidTr="003D4C04">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Distance of travel from SOU door to exit or choice of exits (D1.4(a)(i)(A))</w:t>
            </w:r>
          </w:p>
        </w:tc>
        <w:tc>
          <w:tcPr>
            <w:tcW w:w="3005" w:type="dxa"/>
          </w:tcPr>
          <w:p w:rsidR="006118A5" w:rsidRDefault="006118A5" w:rsidP="00A743A3">
            <w:pPr>
              <w:spacing w:before="120" w:after="120"/>
              <w:jc w:val="center"/>
              <w:rPr>
                <w:rFonts w:asciiTheme="minorHAnsi" w:hAnsiTheme="minorHAnsi"/>
              </w:rPr>
            </w:pPr>
            <w:r w:rsidRPr="00F52299">
              <w:rPr>
                <w:rFonts w:asciiTheme="minorHAnsi" w:hAnsiTheme="minorHAnsi"/>
              </w:rPr>
              <w:t>6</w:t>
            </w:r>
            <w:r w:rsidR="00235598">
              <w:rPr>
                <w:rFonts w:asciiTheme="minorHAnsi" w:hAnsiTheme="minorHAnsi"/>
              </w:rPr>
              <w:t xml:space="preserve"> </w:t>
            </w:r>
            <w:r w:rsidRPr="00F52299">
              <w:rPr>
                <w:rFonts w:asciiTheme="minorHAnsi" w:hAnsiTheme="minorHAnsi"/>
              </w:rPr>
              <w:t>m</w:t>
            </w:r>
          </w:p>
        </w:tc>
        <w:tc>
          <w:tcPr>
            <w:tcW w:w="3006" w:type="dxa"/>
          </w:tcPr>
          <w:p w:rsidR="006118A5" w:rsidRDefault="006118A5" w:rsidP="00A743A3">
            <w:pPr>
              <w:spacing w:before="120" w:after="120"/>
              <w:jc w:val="center"/>
              <w:rPr>
                <w:rFonts w:asciiTheme="minorHAnsi" w:hAnsiTheme="minorHAnsi"/>
              </w:rPr>
            </w:pPr>
            <w:r w:rsidRPr="00F52299">
              <w:rPr>
                <w:rFonts w:asciiTheme="minorHAnsi" w:hAnsiTheme="minorHAnsi"/>
              </w:rPr>
              <w:t>12</w:t>
            </w:r>
            <w:r w:rsidR="00235598">
              <w:rPr>
                <w:rFonts w:asciiTheme="minorHAnsi" w:hAnsiTheme="minorHAnsi"/>
              </w:rPr>
              <w:t xml:space="preserve"> </w:t>
            </w:r>
            <w:r w:rsidRPr="00F52299">
              <w:rPr>
                <w:rFonts w:asciiTheme="minorHAnsi" w:hAnsiTheme="minorHAnsi"/>
              </w:rPr>
              <w:t>m</w:t>
            </w:r>
          </w:p>
        </w:tc>
      </w:tr>
      <w:tr w:rsidR="006118A5" w:rsidTr="003D4C04">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Distance of travel to single exit serving the storey at the level of egress to a road or open space (D1.4(a)(i)(B))</w:t>
            </w:r>
          </w:p>
        </w:tc>
        <w:tc>
          <w:tcPr>
            <w:tcW w:w="3005" w:type="dxa"/>
          </w:tcPr>
          <w:p w:rsidR="006118A5" w:rsidRDefault="006118A5" w:rsidP="00A743A3">
            <w:pPr>
              <w:spacing w:before="120" w:after="120"/>
              <w:jc w:val="center"/>
              <w:rPr>
                <w:rFonts w:asciiTheme="minorHAnsi" w:hAnsiTheme="minorHAnsi"/>
              </w:rPr>
            </w:pPr>
            <w:r w:rsidRPr="00F52299">
              <w:rPr>
                <w:rFonts w:asciiTheme="minorHAnsi" w:hAnsiTheme="minorHAnsi"/>
              </w:rPr>
              <w:t>20</w:t>
            </w:r>
            <w:r w:rsidR="00235598">
              <w:rPr>
                <w:rFonts w:asciiTheme="minorHAnsi" w:hAnsiTheme="minorHAnsi"/>
              </w:rPr>
              <w:t xml:space="preserve"> </w:t>
            </w:r>
            <w:r w:rsidRPr="00F52299">
              <w:rPr>
                <w:rFonts w:asciiTheme="minorHAnsi" w:hAnsiTheme="minorHAnsi"/>
              </w:rPr>
              <w:t>m</w:t>
            </w:r>
          </w:p>
        </w:tc>
        <w:tc>
          <w:tcPr>
            <w:tcW w:w="3006" w:type="dxa"/>
          </w:tcPr>
          <w:p w:rsidR="006118A5" w:rsidRDefault="006118A5" w:rsidP="00A743A3">
            <w:pPr>
              <w:spacing w:before="120" w:after="120"/>
              <w:jc w:val="center"/>
              <w:rPr>
                <w:rFonts w:asciiTheme="minorHAnsi" w:hAnsiTheme="minorHAnsi"/>
              </w:rPr>
            </w:pPr>
            <w:r w:rsidRPr="00F52299">
              <w:rPr>
                <w:rFonts w:asciiTheme="minorHAnsi" w:hAnsiTheme="minorHAnsi"/>
              </w:rPr>
              <w:t>30</w:t>
            </w:r>
            <w:r w:rsidR="00235598">
              <w:rPr>
                <w:rFonts w:asciiTheme="minorHAnsi" w:hAnsiTheme="minorHAnsi"/>
              </w:rPr>
              <w:t xml:space="preserve"> </w:t>
            </w:r>
            <w:r w:rsidRPr="00F52299">
              <w:rPr>
                <w:rFonts w:asciiTheme="minorHAnsi" w:hAnsiTheme="minorHAnsi"/>
              </w:rPr>
              <w:t>m</w:t>
            </w:r>
          </w:p>
        </w:tc>
      </w:tr>
      <w:tr w:rsidR="006118A5" w:rsidTr="003D4C04">
        <w:tc>
          <w:tcPr>
            <w:tcW w:w="3005" w:type="dxa"/>
          </w:tcPr>
          <w:p w:rsidR="006118A5"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Maximum distance of travel between alternative exits (D1.5(c)(i))</w:t>
            </w:r>
          </w:p>
        </w:tc>
        <w:tc>
          <w:tcPr>
            <w:tcW w:w="3005" w:type="dxa"/>
          </w:tcPr>
          <w:p w:rsidR="006118A5" w:rsidRDefault="006118A5" w:rsidP="00A743A3">
            <w:pPr>
              <w:spacing w:before="120" w:after="120"/>
              <w:jc w:val="center"/>
              <w:rPr>
                <w:rFonts w:asciiTheme="minorHAnsi" w:hAnsiTheme="minorHAnsi"/>
              </w:rPr>
            </w:pPr>
            <w:r w:rsidRPr="00F52299">
              <w:rPr>
                <w:rFonts w:asciiTheme="minorHAnsi" w:hAnsiTheme="minorHAnsi"/>
              </w:rPr>
              <w:t>45</w:t>
            </w:r>
            <w:r w:rsidR="00235598">
              <w:rPr>
                <w:rFonts w:asciiTheme="minorHAnsi" w:hAnsiTheme="minorHAnsi"/>
              </w:rPr>
              <w:t xml:space="preserve"> </w:t>
            </w:r>
            <w:r w:rsidRPr="00F52299">
              <w:rPr>
                <w:rFonts w:asciiTheme="minorHAnsi" w:hAnsiTheme="minorHAnsi"/>
              </w:rPr>
              <w:t>m</w:t>
            </w:r>
          </w:p>
        </w:tc>
        <w:tc>
          <w:tcPr>
            <w:tcW w:w="3006" w:type="dxa"/>
          </w:tcPr>
          <w:p w:rsidR="006118A5" w:rsidRDefault="006118A5" w:rsidP="00A743A3">
            <w:pPr>
              <w:spacing w:before="120" w:after="120"/>
              <w:jc w:val="center"/>
              <w:rPr>
                <w:rFonts w:asciiTheme="minorHAnsi" w:hAnsiTheme="minorHAnsi"/>
              </w:rPr>
            </w:pPr>
            <w:r w:rsidRPr="00F52299">
              <w:rPr>
                <w:rFonts w:asciiTheme="minorHAnsi" w:hAnsiTheme="minorHAnsi"/>
              </w:rPr>
              <w:t>60</w:t>
            </w:r>
            <w:r w:rsidR="00235598">
              <w:rPr>
                <w:rFonts w:asciiTheme="minorHAnsi" w:hAnsiTheme="minorHAnsi"/>
              </w:rPr>
              <w:t xml:space="preserve"> </w:t>
            </w:r>
            <w:r w:rsidRPr="00F52299">
              <w:rPr>
                <w:rFonts w:asciiTheme="minorHAnsi" w:hAnsiTheme="minorHAnsi"/>
              </w:rPr>
              <w:t>m</w:t>
            </w:r>
          </w:p>
        </w:tc>
      </w:tr>
      <w:tr w:rsidR="006118A5" w:rsidTr="003D4C04">
        <w:tc>
          <w:tcPr>
            <w:tcW w:w="3005" w:type="dxa"/>
          </w:tcPr>
          <w:p w:rsidR="006118A5" w:rsidRPr="00F52299"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Internal fire hydrants (E1.3)</w:t>
            </w:r>
          </w:p>
        </w:tc>
        <w:tc>
          <w:tcPr>
            <w:tcW w:w="3005" w:type="dxa"/>
          </w:tcPr>
          <w:p w:rsidR="006118A5" w:rsidRPr="00F52299"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Where the total floor area</w:t>
            </w:r>
            <w:r w:rsidR="00BF0CC2">
              <w:rPr>
                <w:rFonts w:asciiTheme="minorHAnsi" w:hAnsiTheme="minorHAnsi"/>
              </w:rPr>
              <w:t xml:space="preserve"> </w:t>
            </w:r>
            <w:r w:rsidRPr="00F52299">
              <w:rPr>
                <w:rFonts w:asciiTheme="minorHAnsi" w:hAnsiTheme="minorHAnsi"/>
              </w:rPr>
              <w:t>exceeds 500</w:t>
            </w:r>
            <w:r w:rsidR="00BF0CC2">
              <w:rPr>
                <w:rFonts w:asciiTheme="minorHAnsi" w:hAnsiTheme="minorHAnsi"/>
              </w:rPr>
              <w:t xml:space="preserve"> </w:t>
            </w:r>
            <w:r w:rsidRPr="00F52299">
              <w:rPr>
                <w:rFonts w:asciiTheme="minorHAnsi" w:hAnsiTheme="minorHAnsi"/>
              </w:rPr>
              <w:t>m</w:t>
            </w:r>
            <w:r w:rsidRPr="009D6867">
              <w:rPr>
                <w:rFonts w:asciiTheme="minorHAnsi" w:hAnsiTheme="minorHAnsi"/>
                <w:vertAlign w:val="superscript"/>
              </w:rPr>
              <w:t>2</w:t>
            </w:r>
          </w:p>
        </w:tc>
        <w:tc>
          <w:tcPr>
            <w:tcW w:w="3006" w:type="dxa"/>
          </w:tcPr>
          <w:p w:rsidR="006118A5" w:rsidRPr="00F52299" w:rsidRDefault="00BF0CC2" w:rsidP="00A743A3">
            <w:pPr>
              <w:autoSpaceDE w:val="0"/>
              <w:autoSpaceDN w:val="0"/>
              <w:adjustRightInd w:val="0"/>
              <w:spacing w:before="120" w:after="120"/>
              <w:jc w:val="center"/>
              <w:rPr>
                <w:rFonts w:asciiTheme="minorHAnsi" w:hAnsiTheme="minorHAnsi"/>
              </w:rPr>
            </w:pPr>
            <w:r>
              <w:rPr>
                <w:rFonts w:asciiTheme="minorHAnsi" w:hAnsiTheme="minorHAnsi"/>
              </w:rPr>
              <w:t>E</w:t>
            </w:r>
            <w:r w:rsidR="006118A5" w:rsidRPr="00F52299">
              <w:rPr>
                <w:rFonts w:asciiTheme="minorHAnsi" w:hAnsiTheme="minorHAnsi"/>
              </w:rPr>
              <w:t>xternal hydrant or dry fire main required. Street hydrants use</w:t>
            </w:r>
            <w:r>
              <w:rPr>
                <w:rFonts w:asciiTheme="minorHAnsi" w:hAnsiTheme="minorHAnsi"/>
              </w:rPr>
              <w:t>d</w:t>
            </w:r>
            <w:r w:rsidR="006118A5" w:rsidRPr="00F52299">
              <w:rPr>
                <w:rFonts w:asciiTheme="minorHAnsi" w:hAnsiTheme="minorHAnsi"/>
              </w:rPr>
              <w:t xml:space="preserve"> as ‘feed’ hydrants for suction of water to boost the dry hydrant system need only meet the flow requirement of AS 2419.1 and not the pressure requirement. Note - no concession for the FPAA</w:t>
            </w:r>
            <w:r w:rsidR="00A743A3">
              <w:rPr>
                <w:rFonts w:asciiTheme="minorHAnsi" w:hAnsiTheme="minorHAnsi"/>
              </w:rPr>
              <w:t xml:space="preserve"> </w:t>
            </w:r>
            <w:r w:rsidR="006118A5" w:rsidRPr="00F52299">
              <w:rPr>
                <w:rFonts w:asciiTheme="minorHAnsi" w:hAnsiTheme="minorHAnsi"/>
              </w:rPr>
              <w:t xml:space="preserve">101H system </w:t>
            </w:r>
            <w:r w:rsidR="00917092">
              <w:rPr>
                <w:rFonts w:asciiTheme="minorHAnsi" w:hAnsiTheme="minorHAnsi"/>
              </w:rPr>
              <w:t>f</w:t>
            </w:r>
            <w:r w:rsidR="006118A5" w:rsidRPr="00F52299">
              <w:rPr>
                <w:rFonts w:asciiTheme="minorHAnsi" w:hAnsiTheme="minorHAnsi"/>
              </w:rPr>
              <w:t>eed fire hydrants used for boosting are intended to provide the necessary flow rate to the fire brigade pumping appliance</w:t>
            </w:r>
            <w:r>
              <w:rPr>
                <w:rFonts w:asciiTheme="minorHAnsi" w:hAnsiTheme="minorHAnsi"/>
              </w:rPr>
              <w:t>.</w:t>
            </w:r>
          </w:p>
        </w:tc>
      </w:tr>
      <w:tr w:rsidR="006118A5" w:rsidTr="003D4C04">
        <w:tc>
          <w:tcPr>
            <w:tcW w:w="3005" w:type="dxa"/>
          </w:tcPr>
          <w:p w:rsidR="006118A5" w:rsidRPr="00F52299"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lastRenderedPageBreak/>
              <w:t>Spandrels (C2.6)</w:t>
            </w:r>
          </w:p>
        </w:tc>
        <w:tc>
          <w:tcPr>
            <w:tcW w:w="3005" w:type="dxa"/>
          </w:tcPr>
          <w:p w:rsidR="006118A5" w:rsidRPr="00F52299"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A 900</w:t>
            </w:r>
            <w:r w:rsidR="00BF0CC2">
              <w:rPr>
                <w:rFonts w:asciiTheme="minorHAnsi" w:hAnsiTheme="minorHAnsi"/>
              </w:rPr>
              <w:t xml:space="preserve"> </w:t>
            </w:r>
            <w:r w:rsidRPr="00F52299">
              <w:rPr>
                <w:rFonts w:asciiTheme="minorHAnsi" w:hAnsiTheme="minorHAnsi"/>
              </w:rPr>
              <w:t>mm spandrel or horizontal construction (both non-combustible and FRL of 60/60/60) is required if a window in an external wall is above another window in the storey below</w:t>
            </w:r>
          </w:p>
        </w:tc>
        <w:tc>
          <w:tcPr>
            <w:tcW w:w="3006" w:type="dxa"/>
          </w:tcPr>
          <w:p w:rsidR="006118A5" w:rsidRPr="00F52299" w:rsidRDefault="006118A5" w:rsidP="00A743A3">
            <w:pPr>
              <w:autoSpaceDE w:val="0"/>
              <w:autoSpaceDN w:val="0"/>
              <w:adjustRightInd w:val="0"/>
              <w:spacing w:before="120" w:after="120"/>
              <w:jc w:val="center"/>
              <w:rPr>
                <w:rFonts w:asciiTheme="minorHAnsi" w:hAnsiTheme="minorHAnsi"/>
              </w:rPr>
            </w:pPr>
            <w:r w:rsidRPr="00F52299">
              <w:rPr>
                <w:rFonts w:asciiTheme="minorHAnsi" w:hAnsiTheme="minorHAnsi"/>
              </w:rPr>
              <w:t>No requirement</w:t>
            </w:r>
          </w:p>
        </w:tc>
      </w:tr>
    </w:tbl>
    <w:p w:rsidR="00A56C99" w:rsidRPr="0033743C" w:rsidRDefault="00A56C99" w:rsidP="00A743A3">
      <w:pPr>
        <w:spacing w:before="240" w:after="0"/>
        <w:rPr>
          <w:rFonts w:asciiTheme="minorHAnsi" w:hAnsiTheme="minorHAnsi"/>
          <w:bCs/>
          <w:sz w:val="18"/>
          <w:szCs w:val="18"/>
          <w:u w:val="single"/>
        </w:rPr>
      </w:pPr>
      <w:r w:rsidRPr="0033743C">
        <w:rPr>
          <w:rFonts w:asciiTheme="minorHAnsi" w:hAnsiTheme="minorHAnsi"/>
          <w:bCs/>
          <w:sz w:val="18"/>
          <w:szCs w:val="18"/>
          <w:u w:val="single"/>
        </w:rPr>
        <w:t>*</w:t>
      </w:r>
      <w:r w:rsidR="0033743C" w:rsidRPr="0033743C">
        <w:rPr>
          <w:rFonts w:asciiTheme="minorHAnsi" w:hAnsiTheme="minorHAnsi"/>
          <w:bCs/>
          <w:sz w:val="18"/>
          <w:szCs w:val="18"/>
          <w:u w:val="single"/>
        </w:rPr>
        <w:t xml:space="preserve"> </w:t>
      </w:r>
      <w:r w:rsidRPr="0033743C">
        <w:rPr>
          <w:rFonts w:asciiTheme="minorHAnsi" w:hAnsiTheme="minorHAnsi"/>
          <w:bCs/>
          <w:sz w:val="18"/>
          <w:szCs w:val="18"/>
          <w:u w:val="single"/>
        </w:rPr>
        <w:t>Scope and Limitations of the FPAA 101D and FPAA101H specifications:</w:t>
      </w:r>
    </w:p>
    <w:p w:rsidR="00A56C99" w:rsidRPr="0033743C" w:rsidRDefault="00A56C99" w:rsidP="00A743A3">
      <w:pPr>
        <w:pStyle w:val="ListParagraph"/>
        <w:numPr>
          <w:ilvl w:val="0"/>
          <w:numId w:val="87"/>
        </w:numPr>
        <w:spacing w:after="0" w:line="240" w:lineRule="auto"/>
        <w:rPr>
          <w:rFonts w:asciiTheme="minorHAnsi" w:hAnsiTheme="minorHAnsi"/>
          <w:sz w:val="18"/>
          <w:szCs w:val="18"/>
        </w:rPr>
      </w:pPr>
      <w:r w:rsidRPr="0033743C">
        <w:rPr>
          <w:rFonts w:asciiTheme="minorHAnsi" w:hAnsiTheme="minorHAnsi"/>
          <w:sz w:val="18"/>
          <w:szCs w:val="18"/>
        </w:rPr>
        <w:t xml:space="preserve">Class 3 </w:t>
      </w:r>
      <w:r w:rsidR="00A743A3" w:rsidRPr="0033743C">
        <w:rPr>
          <w:rFonts w:asciiTheme="minorHAnsi" w:hAnsiTheme="minorHAnsi"/>
          <w:sz w:val="18"/>
          <w:szCs w:val="18"/>
        </w:rPr>
        <w:t>r</w:t>
      </w:r>
      <w:r w:rsidRPr="0033743C">
        <w:rPr>
          <w:rFonts w:asciiTheme="minorHAnsi" w:hAnsiTheme="minorHAnsi"/>
          <w:sz w:val="18"/>
          <w:szCs w:val="18"/>
        </w:rPr>
        <w:t>esidential care facilities are excluded.</w:t>
      </w:r>
    </w:p>
    <w:p w:rsidR="00A56C99" w:rsidRPr="0033743C" w:rsidRDefault="00A56C99" w:rsidP="00F17556">
      <w:pPr>
        <w:numPr>
          <w:ilvl w:val="0"/>
          <w:numId w:val="87"/>
        </w:numPr>
        <w:spacing w:after="0" w:line="240" w:lineRule="auto"/>
        <w:rPr>
          <w:rFonts w:asciiTheme="minorHAnsi" w:hAnsiTheme="minorHAnsi"/>
          <w:sz w:val="18"/>
          <w:szCs w:val="18"/>
        </w:rPr>
      </w:pPr>
      <w:r w:rsidRPr="0033743C">
        <w:rPr>
          <w:rFonts w:asciiTheme="minorHAnsi" w:hAnsiTheme="minorHAnsi"/>
          <w:sz w:val="18"/>
          <w:szCs w:val="18"/>
        </w:rPr>
        <w:t>Buildings required to have sprinkler protection to satisfy the proposed verification method CV3 are excluded.</w:t>
      </w:r>
    </w:p>
    <w:p w:rsidR="00A56C99" w:rsidRPr="0033743C" w:rsidRDefault="00A56C99" w:rsidP="00F17556">
      <w:pPr>
        <w:numPr>
          <w:ilvl w:val="0"/>
          <w:numId w:val="87"/>
        </w:numPr>
        <w:spacing w:after="0" w:line="240" w:lineRule="auto"/>
        <w:rPr>
          <w:rFonts w:asciiTheme="minorHAnsi" w:hAnsiTheme="minorHAnsi"/>
          <w:sz w:val="18"/>
          <w:szCs w:val="18"/>
        </w:rPr>
      </w:pPr>
      <w:r w:rsidRPr="0033743C">
        <w:rPr>
          <w:rFonts w:asciiTheme="minorHAnsi" w:hAnsiTheme="minorHAnsi"/>
          <w:sz w:val="18"/>
          <w:szCs w:val="18"/>
        </w:rPr>
        <w:t>Other classifications (e</w:t>
      </w:r>
      <w:r w:rsidR="003A4B31" w:rsidRPr="0033743C">
        <w:rPr>
          <w:rFonts w:asciiTheme="minorHAnsi" w:hAnsiTheme="minorHAnsi"/>
          <w:sz w:val="18"/>
          <w:szCs w:val="18"/>
        </w:rPr>
        <w:t>.</w:t>
      </w:r>
      <w:r w:rsidRPr="0033743C">
        <w:rPr>
          <w:rFonts w:asciiTheme="minorHAnsi" w:hAnsiTheme="minorHAnsi"/>
          <w:sz w:val="18"/>
          <w:szCs w:val="18"/>
        </w:rPr>
        <w:t>g</w:t>
      </w:r>
      <w:r w:rsidR="003A4B31" w:rsidRPr="0033743C">
        <w:rPr>
          <w:rFonts w:asciiTheme="minorHAnsi" w:hAnsiTheme="minorHAnsi"/>
          <w:sz w:val="18"/>
          <w:szCs w:val="18"/>
        </w:rPr>
        <w:t>.</w:t>
      </w:r>
      <w:r w:rsidRPr="0033743C">
        <w:rPr>
          <w:rFonts w:asciiTheme="minorHAnsi" w:hAnsiTheme="minorHAnsi"/>
          <w:sz w:val="18"/>
          <w:szCs w:val="18"/>
        </w:rPr>
        <w:t xml:space="preserve"> Class 5 or 6) may be situated below a Class 2 or 3 building utilising a FPAA</w:t>
      </w:r>
      <w:r w:rsidR="00A743A3" w:rsidRPr="0033743C">
        <w:rPr>
          <w:rFonts w:asciiTheme="minorHAnsi" w:hAnsiTheme="minorHAnsi"/>
          <w:sz w:val="18"/>
          <w:szCs w:val="18"/>
        </w:rPr>
        <w:t xml:space="preserve"> </w:t>
      </w:r>
      <w:r w:rsidRPr="0033743C">
        <w:rPr>
          <w:rFonts w:asciiTheme="minorHAnsi" w:hAnsiTheme="minorHAnsi"/>
          <w:sz w:val="18"/>
          <w:szCs w:val="18"/>
        </w:rPr>
        <w:t>101H system subject to:</w:t>
      </w:r>
    </w:p>
    <w:p w:rsidR="00A56C99" w:rsidRPr="0033743C" w:rsidRDefault="003A4B31" w:rsidP="00F17556">
      <w:pPr>
        <w:numPr>
          <w:ilvl w:val="1"/>
          <w:numId w:val="88"/>
        </w:numPr>
        <w:spacing w:after="0" w:line="240" w:lineRule="auto"/>
        <w:ind w:hanging="646"/>
        <w:rPr>
          <w:rFonts w:asciiTheme="minorHAnsi" w:hAnsiTheme="minorHAnsi"/>
          <w:sz w:val="18"/>
          <w:szCs w:val="18"/>
        </w:rPr>
      </w:pPr>
      <w:r w:rsidRPr="0033743C">
        <w:rPr>
          <w:rFonts w:asciiTheme="minorHAnsi" w:hAnsiTheme="minorHAnsi"/>
          <w:sz w:val="18"/>
          <w:szCs w:val="18"/>
        </w:rPr>
        <w:t>t</w:t>
      </w:r>
      <w:r w:rsidR="00A743A3" w:rsidRPr="0033743C">
        <w:rPr>
          <w:rFonts w:asciiTheme="minorHAnsi" w:hAnsiTheme="minorHAnsi"/>
          <w:sz w:val="18"/>
          <w:szCs w:val="18"/>
        </w:rPr>
        <w:t>he sprinkler system being</w:t>
      </w:r>
      <w:r w:rsidR="00A56C99" w:rsidRPr="0033743C">
        <w:rPr>
          <w:rFonts w:asciiTheme="minorHAnsi" w:hAnsiTheme="minorHAnsi"/>
          <w:sz w:val="18"/>
          <w:szCs w:val="18"/>
        </w:rPr>
        <w:t xml:space="preserve"> hydraulically designed in accordance with the relevant hazard class </w:t>
      </w:r>
      <w:r w:rsidR="00A743A3" w:rsidRPr="0033743C">
        <w:rPr>
          <w:rFonts w:asciiTheme="minorHAnsi" w:hAnsiTheme="minorHAnsi"/>
          <w:sz w:val="18"/>
          <w:szCs w:val="18"/>
        </w:rPr>
        <w:t>as</w:t>
      </w:r>
      <w:r w:rsidR="00A56C99" w:rsidRPr="0033743C">
        <w:rPr>
          <w:rFonts w:asciiTheme="minorHAnsi" w:hAnsiTheme="minorHAnsi"/>
          <w:sz w:val="18"/>
          <w:szCs w:val="18"/>
        </w:rPr>
        <w:t xml:space="preserve"> specified in AS 2118.1; and  </w:t>
      </w:r>
    </w:p>
    <w:p w:rsidR="00A56C99" w:rsidRPr="0033743C" w:rsidRDefault="003A4B31" w:rsidP="00F17556">
      <w:pPr>
        <w:numPr>
          <w:ilvl w:val="1"/>
          <w:numId w:val="88"/>
        </w:numPr>
        <w:spacing w:after="0" w:line="240" w:lineRule="auto"/>
        <w:ind w:hanging="646"/>
        <w:rPr>
          <w:rFonts w:asciiTheme="minorHAnsi" w:hAnsiTheme="minorHAnsi"/>
          <w:sz w:val="18"/>
          <w:szCs w:val="18"/>
        </w:rPr>
      </w:pPr>
      <w:r w:rsidRPr="0033743C">
        <w:rPr>
          <w:rFonts w:asciiTheme="minorHAnsi" w:hAnsiTheme="minorHAnsi"/>
          <w:sz w:val="18"/>
          <w:szCs w:val="18"/>
        </w:rPr>
        <w:t>b</w:t>
      </w:r>
      <w:r w:rsidR="00A56C99" w:rsidRPr="0033743C">
        <w:rPr>
          <w:rFonts w:asciiTheme="minorHAnsi" w:hAnsiTheme="minorHAnsi"/>
          <w:sz w:val="18"/>
          <w:szCs w:val="18"/>
        </w:rPr>
        <w:t>eing fire separated in accordance with the NCC fire safety provisions.</w:t>
      </w:r>
    </w:p>
    <w:p w:rsidR="00A56C99" w:rsidRPr="0033743C" w:rsidRDefault="00A56C99" w:rsidP="00F17556">
      <w:pPr>
        <w:numPr>
          <w:ilvl w:val="0"/>
          <w:numId w:val="87"/>
        </w:numPr>
        <w:spacing w:after="0" w:line="240" w:lineRule="auto"/>
        <w:rPr>
          <w:rFonts w:asciiTheme="minorHAnsi" w:hAnsiTheme="minorHAnsi"/>
          <w:sz w:val="18"/>
          <w:szCs w:val="18"/>
        </w:rPr>
      </w:pPr>
      <w:r w:rsidRPr="0033743C">
        <w:rPr>
          <w:rFonts w:asciiTheme="minorHAnsi" w:hAnsiTheme="minorHAnsi"/>
          <w:sz w:val="18"/>
          <w:szCs w:val="18"/>
        </w:rPr>
        <w:t>Other classifications (e</w:t>
      </w:r>
      <w:r w:rsidR="003A4B31" w:rsidRPr="0033743C">
        <w:rPr>
          <w:rFonts w:asciiTheme="minorHAnsi" w:hAnsiTheme="minorHAnsi"/>
          <w:sz w:val="18"/>
          <w:szCs w:val="18"/>
        </w:rPr>
        <w:t>.</w:t>
      </w:r>
      <w:r w:rsidRPr="0033743C">
        <w:rPr>
          <w:rFonts w:asciiTheme="minorHAnsi" w:hAnsiTheme="minorHAnsi"/>
          <w:sz w:val="18"/>
          <w:szCs w:val="18"/>
        </w:rPr>
        <w:t>g</w:t>
      </w:r>
      <w:r w:rsidR="003A4B31" w:rsidRPr="0033743C">
        <w:rPr>
          <w:rFonts w:asciiTheme="minorHAnsi" w:hAnsiTheme="minorHAnsi"/>
          <w:sz w:val="18"/>
          <w:szCs w:val="18"/>
        </w:rPr>
        <w:t>.</w:t>
      </w:r>
      <w:r w:rsidRPr="0033743C">
        <w:rPr>
          <w:rFonts w:asciiTheme="minorHAnsi" w:hAnsiTheme="minorHAnsi"/>
          <w:sz w:val="18"/>
          <w:szCs w:val="18"/>
        </w:rPr>
        <w:t xml:space="preserve"> Class 5 or 6) may be situated below or above a Class 2 or 3 building utilising a FPAA</w:t>
      </w:r>
      <w:r w:rsidR="00A743A3" w:rsidRPr="0033743C">
        <w:rPr>
          <w:rFonts w:asciiTheme="minorHAnsi" w:hAnsiTheme="minorHAnsi"/>
          <w:sz w:val="18"/>
          <w:szCs w:val="18"/>
        </w:rPr>
        <w:t xml:space="preserve"> </w:t>
      </w:r>
      <w:r w:rsidRPr="0033743C">
        <w:rPr>
          <w:rFonts w:asciiTheme="minorHAnsi" w:hAnsiTheme="minorHAnsi"/>
          <w:sz w:val="18"/>
          <w:szCs w:val="18"/>
        </w:rPr>
        <w:t>101D system subject to the other classifications:</w:t>
      </w:r>
    </w:p>
    <w:p w:rsidR="00A56C99" w:rsidRPr="0033743C" w:rsidRDefault="003A4B31" w:rsidP="00F17556">
      <w:pPr>
        <w:numPr>
          <w:ilvl w:val="1"/>
          <w:numId w:val="89"/>
        </w:numPr>
        <w:spacing w:after="0" w:line="240" w:lineRule="auto"/>
        <w:ind w:hanging="646"/>
        <w:rPr>
          <w:rFonts w:asciiTheme="minorHAnsi" w:hAnsiTheme="minorHAnsi"/>
          <w:sz w:val="18"/>
          <w:szCs w:val="18"/>
        </w:rPr>
      </w:pPr>
      <w:r w:rsidRPr="0033743C">
        <w:rPr>
          <w:rFonts w:asciiTheme="minorHAnsi" w:hAnsiTheme="minorHAnsi"/>
          <w:sz w:val="18"/>
          <w:szCs w:val="18"/>
        </w:rPr>
        <w:t>n</w:t>
      </w:r>
      <w:r w:rsidR="00A56C99" w:rsidRPr="0033743C">
        <w:rPr>
          <w:rFonts w:asciiTheme="minorHAnsi" w:hAnsiTheme="minorHAnsi"/>
          <w:sz w:val="18"/>
          <w:szCs w:val="18"/>
        </w:rPr>
        <w:t>ot exceed</w:t>
      </w:r>
      <w:r w:rsidR="00A743A3" w:rsidRPr="0033743C">
        <w:rPr>
          <w:rFonts w:asciiTheme="minorHAnsi" w:hAnsiTheme="minorHAnsi"/>
          <w:sz w:val="18"/>
          <w:szCs w:val="18"/>
        </w:rPr>
        <w:t>ing</w:t>
      </w:r>
      <w:r w:rsidR="00A56C99" w:rsidRPr="0033743C">
        <w:rPr>
          <w:rFonts w:asciiTheme="minorHAnsi" w:hAnsiTheme="minorHAnsi"/>
          <w:sz w:val="18"/>
          <w:szCs w:val="18"/>
        </w:rPr>
        <w:t xml:space="preserve"> 25 percent of the total floor area of the building; and </w:t>
      </w:r>
    </w:p>
    <w:p w:rsidR="00A56C99" w:rsidRPr="0033743C" w:rsidRDefault="003A4B31" w:rsidP="00F17556">
      <w:pPr>
        <w:numPr>
          <w:ilvl w:val="1"/>
          <w:numId w:val="89"/>
        </w:numPr>
        <w:spacing w:after="0" w:line="240" w:lineRule="auto"/>
        <w:ind w:hanging="646"/>
        <w:rPr>
          <w:rFonts w:asciiTheme="minorHAnsi" w:hAnsiTheme="minorHAnsi"/>
          <w:sz w:val="18"/>
          <w:szCs w:val="18"/>
        </w:rPr>
      </w:pPr>
      <w:r w:rsidRPr="0033743C">
        <w:rPr>
          <w:rFonts w:asciiTheme="minorHAnsi" w:hAnsiTheme="minorHAnsi"/>
          <w:sz w:val="18"/>
          <w:szCs w:val="18"/>
        </w:rPr>
        <w:t>b</w:t>
      </w:r>
      <w:r w:rsidR="00A56C99" w:rsidRPr="0033743C">
        <w:rPr>
          <w:rFonts w:asciiTheme="minorHAnsi" w:hAnsiTheme="minorHAnsi"/>
          <w:sz w:val="18"/>
          <w:szCs w:val="18"/>
        </w:rPr>
        <w:t xml:space="preserve">eing fire separated in accordance with the NCC fire safety </w:t>
      </w:r>
      <w:r w:rsidR="00DC0131" w:rsidRPr="0033743C">
        <w:rPr>
          <w:rFonts w:asciiTheme="minorHAnsi" w:hAnsiTheme="minorHAnsi"/>
          <w:sz w:val="18"/>
          <w:szCs w:val="18"/>
        </w:rPr>
        <w:t>p</w:t>
      </w:r>
      <w:r w:rsidR="00A56C99" w:rsidRPr="0033743C">
        <w:rPr>
          <w:rFonts w:asciiTheme="minorHAnsi" w:hAnsiTheme="minorHAnsi"/>
          <w:sz w:val="18"/>
          <w:szCs w:val="18"/>
        </w:rPr>
        <w:t>rovisions; and</w:t>
      </w:r>
    </w:p>
    <w:p w:rsidR="00A56C99" w:rsidRPr="0033743C" w:rsidRDefault="003A4B31" w:rsidP="00F17556">
      <w:pPr>
        <w:numPr>
          <w:ilvl w:val="1"/>
          <w:numId w:val="89"/>
        </w:numPr>
        <w:spacing w:after="0" w:line="240" w:lineRule="auto"/>
        <w:ind w:hanging="646"/>
        <w:rPr>
          <w:rFonts w:asciiTheme="minorHAnsi" w:hAnsiTheme="minorHAnsi"/>
          <w:sz w:val="18"/>
          <w:szCs w:val="18"/>
        </w:rPr>
      </w:pPr>
      <w:r w:rsidRPr="0033743C">
        <w:rPr>
          <w:rFonts w:asciiTheme="minorHAnsi" w:hAnsiTheme="minorHAnsi"/>
          <w:sz w:val="18"/>
          <w:szCs w:val="18"/>
        </w:rPr>
        <w:t>n</w:t>
      </w:r>
      <w:r w:rsidR="00A56C99" w:rsidRPr="0033743C">
        <w:rPr>
          <w:rFonts w:asciiTheme="minorHAnsi" w:hAnsiTheme="minorHAnsi"/>
          <w:sz w:val="18"/>
          <w:szCs w:val="18"/>
        </w:rPr>
        <w:t>ot being located above the fourth storey; and</w:t>
      </w:r>
    </w:p>
    <w:p w:rsidR="00A56C99" w:rsidRPr="0033743C" w:rsidRDefault="003A4B31" w:rsidP="00F17556">
      <w:pPr>
        <w:numPr>
          <w:ilvl w:val="1"/>
          <w:numId w:val="89"/>
        </w:numPr>
        <w:spacing w:after="0" w:line="240" w:lineRule="auto"/>
        <w:ind w:hanging="646"/>
        <w:rPr>
          <w:rFonts w:asciiTheme="minorHAnsi" w:hAnsiTheme="minorHAnsi"/>
          <w:sz w:val="18"/>
          <w:szCs w:val="18"/>
        </w:rPr>
      </w:pPr>
      <w:r w:rsidRPr="0033743C">
        <w:rPr>
          <w:rFonts w:asciiTheme="minorHAnsi" w:hAnsiTheme="minorHAnsi"/>
          <w:sz w:val="18"/>
          <w:szCs w:val="18"/>
        </w:rPr>
        <w:t>b</w:t>
      </w:r>
      <w:r w:rsidR="00A56C99" w:rsidRPr="0033743C">
        <w:rPr>
          <w:rFonts w:asciiTheme="minorHAnsi" w:hAnsiTheme="minorHAnsi"/>
          <w:sz w:val="18"/>
          <w:szCs w:val="18"/>
        </w:rPr>
        <w:t xml:space="preserve">eing sprinkler protected in accordance with the concessions currently permitted in </w:t>
      </w:r>
      <w:r w:rsidR="00DC0131" w:rsidRPr="0033743C">
        <w:rPr>
          <w:rFonts w:asciiTheme="minorHAnsi" w:hAnsiTheme="minorHAnsi"/>
          <w:sz w:val="18"/>
          <w:szCs w:val="18"/>
        </w:rPr>
        <w:t>C</w:t>
      </w:r>
      <w:r w:rsidR="00A56C99" w:rsidRPr="0033743C">
        <w:rPr>
          <w:rFonts w:asciiTheme="minorHAnsi" w:hAnsiTheme="minorHAnsi"/>
          <w:sz w:val="18"/>
          <w:szCs w:val="18"/>
        </w:rPr>
        <w:t xml:space="preserve">lause 4.3.4 of AS 2118.4; and </w:t>
      </w:r>
    </w:p>
    <w:p w:rsidR="00A56C99" w:rsidRPr="0033743C" w:rsidRDefault="003A4B31" w:rsidP="00F17556">
      <w:pPr>
        <w:numPr>
          <w:ilvl w:val="1"/>
          <w:numId w:val="89"/>
        </w:numPr>
        <w:spacing w:after="0" w:line="240" w:lineRule="auto"/>
        <w:ind w:hanging="646"/>
        <w:rPr>
          <w:rFonts w:asciiTheme="minorHAnsi" w:hAnsiTheme="minorHAnsi"/>
          <w:sz w:val="18"/>
          <w:szCs w:val="18"/>
        </w:rPr>
      </w:pPr>
      <w:r w:rsidRPr="0033743C">
        <w:rPr>
          <w:rFonts w:asciiTheme="minorHAnsi" w:hAnsiTheme="minorHAnsi"/>
          <w:sz w:val="18"/>
          <w:szCs w:val="18"/>
        </w:rPr>
        <w:t>b</w:t>
      </w:r>
      <w:r w:rsidR="00A56C99" w:rsidRPr="0033743C">
        <w:rPr>
          <w:rFonts w:asciiTheme="minorHAnsi" w:hAnsiTheme="minorHAnsi"/>
          <w:sz w:val="18"/>
          <w:szCs w:val="18"/>
        </w:rPr>
        <w:t>eing provided with end of line sprinkler monitoring also providing water supply to toilets serving these ancillary parts of the building.</w:t>
      </w:r>
    </w:p>
    <w:p w:rsidR="00CE7DDA" w:rsidRPr="00E7305D" w:rsidRDefault="00CE7DDA" w:rsidP="00E7305D">
      <w:pPr>
        <w:pStyle w:val="Heading2"/>
        <w:rPr>
          <w:rStyle w:val="Heading2Char"/>
          <w:b/>
        </w:rPr>
      </w:pPr>
      <w:bookmarkStart w:id="32" w:name="_Toc505333477"/>
      <w:r w:rsidRPr="00E7305D">
        <w:rPr>
          <w:rStyle w:val="Heading2Char"/>
          <w:b/>
        </w:rPr>
        <w:t>Option 1 –</w:t>
      </w:r>
      <w:bookmarkStart w:id="33" w:name="_Toc471384398"/>
      <w:bookmarkEnd w:id="21"/>
      <w:bookmarkEnd w:id="22"/>
      <w:bookmarkEnd w:id="23"/>
      <w:bookmarkEnd w:id="24"/>
      <w:bookmarkEnd w:id="25"/>
      <w:bookmarkEnd w:id="26"/>
      <w:r w:rsidRPr="00E7305D">
        <w:rPr>
          <w:rStyle w:val="Heading2Char"/>
          <w:b/>
        </w:rPr>
        <w:t xml:space="preserve"> </w:t>
      </w:r>
      <w:r w:rsidR="00F31B5E" w:rsidRPr="00E7305D">
        <w:rPr>
          <w:rStyle w:val="Heading2Char"/>
          <w:b/>
        </w:rPr>
        <w:t xml:space="preserve">DtS </w:t>
      </w:r>
      <w:r w:rsidR="00317CFE">
        <w:rPr>
          <w:rStyle w:val="Heading2Char"/>
          <w:b/>
        </w:rPr>
        <w:t xml:space="preserve">Compliance </w:t>
      </w:r>
      <w:r w:rsidR="00EB19C9">
        <w:rPr>
          <w:rStyle w:val="Heading2Char"/>
          <w:b/>
        </w:rPr>
        <w:t>using</w:t>
      </w:r>
      <w:r w:rsidR="00317CFE">
        <w:rPr>
          <w:rStyle w:val="Heading2Char"/>
          <w:b/>
        </w:rPr>
        <w:t xml:space="preserve"> </w:t>
      </w:r>
      <w:r w:rsidR="00112230">
        <w:rPr>
          <w:rStyle w:val="Heading2Char"/>
          <w:b/>
        </w:rPr>
        <w:t xml:space="preserve">Sprinkler </w:t>
      </w:r>
      <w:r w:rsidR="008D1131" w:rsidRPr="00E7305D">
        <w:rPr>
          <w:rStyle w:val="Heading2Char"/>
          <w:b/>
        </w:rPr>
        <w:t>P</w:t>
      </w:r>
      <w:r w:rsidRPr="00E7305D">
        <w:rPr>
          <w:rStyle w:val="Heading2Char"/>
          <w:b/>
        </w:rPr>
        <w:t>rotection</w:t>
      </w:r>
      <w:r w:rsidR="00EB19C9">
        <w:rPr>
          <w:rStyle w:val="Heading2Char"/>
          <w:b/>
        </w:rPr>
        <w:t xml:space="preserve"> only</w:t>
      </w:r>
      <w:r w:rsidRPr="00E7305D">
        <w:rPr>
          <w:rStyle w:val="Heading2Char"/>
          <w:b/>
        </w:rPr>
        <w:t xml:space="preserve"> </w:t>
      </w:r>
      <w:bookmarkEnd w:id="32"/>
    </w:p>
    <w:p w:rsidR="00CE7DDA" w:rsidRPr="003A4D17" w:rsidRDefault="00EF09AF" w:rsidP="00441935">
      <w:pPr>
        <w:rPr>
          <w:rFonts w:asciiTheme="minorHAnsi" w:hAnsiTheme="minorHAnsi"/>
        </w:rPr>
      </w:pPr>
      <w:r>
        <w:rPr>
          <w:rFonts w:asciiTheme="minorHAnsi" w:hAnsiTheme="minorHAnsi"/>
        </w:rPr>
        <w:t>This option will</w:t>
      </w:r>
      <w:r w:rsidR="00CE7DDA" w:rsidRPr="003A4D17">
        <w:rPr>
          <w:rFonts w:asciiTheme="minorHAnsi" w:hAnsiTheme="minorHAnsi"/>
        </w:rPr>
        <w:t xml:space="preserve"> </w:t>
      </w:r>
      <w:r w:rsidR="00F31B5E" w:rsidRPr="003A4D17">
        <w:rPr>
          <w:rFonts w:asciiTheme="minorHAnsi" w:hAnsiTheme="minorHAnsi"/>
        </w:rPr>
        <w:t xml:space="preserve">amend the DtS </w:t>
      </w:r>
      <w:r w:rsidR="00917092">
        <w:rPr>
          <w:rFonts w:asciiTheme="minorHAnsi" w:hAnsiTheme="minorHAnsi"/>
        </w:rPr>
        <w:t>P</w:t>
      </w:r>
      <w:r w:rsidR="00F31B5E" w:rsidRPr="003A4D17">
        <w:rPr>
          <w:rFonts w:asciiTheme="minorHAnsi" w:hAnsiTheme="minorHAnsi"/>
        </w:rPr>
        <w:t xml:space="preserve">rovisions </w:t>
      </w:r>
      <w:r w:rsidR="00112230">
        <w:rPr>
          <w:rFonts w:asciiTheme="minorHAnsi" w:hAnsiTheme="minorHAnsi"/>
        </w:rPr>
        <w:t xml:space="preserve">to </w:t>
      </w:r>
      <w:r w:rsidR="009747E2">
        <w:rPr>
          <w:rFonts w:asciiTheme="minorHAnsi" w:hAnsiTheme="minorHAnsi"/>
        </w:rPr>
        <w:t>require</w:t>
      </w:r>
      <w:r w:rsidR="00CE7DDA" w:rsidRPr="003A4D17">
        <w:rPr>
          <w:rFonts w:asciiTheme="minorHAnsi" w:hAnsiTheme="minorHAnsi"/>
        </w:rPr>
        <w:t xml:space="preserve"> </w:t>
      </w:r>
      <w:r w:rsidR="00B6645B">
        <w:rPr>
          <w:rFonts w:asciiTheme="minorHAnsi" w:hAnsiTheme="minorHAnsi"/>
        </w:rPr>
        <w:t xml:space="preserve">fire </w:t>
      </w:r>
      <w:r w:rsidR="00CE7DDA" w:rsidRPr="003A4D17">
        <w:rPr>
          <w:rFonts w:asciiTheme="minorHAnsi" w:hAnsiTheme="minorHAnsi"/>
        </w:rPr>
        <w:t xml:space="preserve">sprinklers in new Class 2 and 3 buildings </w:t>
      </w:r>
      <w:r w:rsidR="000906C1" w:rsidRPr="003A4D17">
        <w:rPr>
          <w:rFonts w:asciiTheme="minorHAnsi" w:hAnsiTheme="minorHAnsi"/>
        </w:rPr>
        <w:t xml:space="preserve">having a rise in storeys of </w:t>
      </w:r>
      <w:r>
        <w:rPr>
          <w:rFonts w:asciiTheme="minorHAnsi" w:hAnsiTheme="minorHAnsi"/>
        </w:rPr>
        <w:t>four</w:t>
      </w:r>
      <w:r w:rsidR="000906C1" w:rsidRPr="003A4D17">
        <w:rPr>
          <w:rFonts w:asciiTheme="minorHAnsi" w:hAnsiTheme="minorHAnsi"/>
        </w:rPr>
        <w:t xml:space="preserve"> or more and less than 25</w:t>
      </w:r>
      <w:r w:rsidR="00112230">
        <w:rPr>
          <w:rFonts w:asciiTheme="minorHAnsi" w:hAnsiTheme="minorHAnsi"/>
        </w:rPr>
        <w:t xml:space="preserve"> </w:t>
      </w:r>
      <w:r w:rsidR="000906C1" w:rsidRPr="003A4D17">
        <w:rPr>
          <w:rFonts w:asciiTheme="minorHAnsi" w:hAnsiTheme="minorHAnsi"/>
        </w:rPr>
        <w:t>m</w:t>
      </w:r>
      <w:r w:rsidR="00906CE0">
        <w:rPr>
          <w:rFonts w:asciiTheme="minorHAnsi" w:hAnsiTheme="minorHAnsi"/>
        </w:rPr>
        <w:t>etres</w:t>
      </w:r>
      <w:r w:rsidR="000906C1" w:rsidRPr="003A4D17">
        <w:rPr>
          <w:rFonts w:asciiTheme="minorHAnsi" w:hAnsiTheme="minorHAnsi"/>
        </w:rPr>
        <w:t xml:space="preserve"> in height </w:t>
      </w:r>
      <w:r w:rsidR="00CE7DDA" w:rsidRPr="003A4D17">
        <w:rPr>
          <w:rFonts w:asciiTheme="minorHAnsi" w:hAnsiTheme="minorHAnsi"/>
        </w:rPr>
        <w:t xml:space="preserve">- and allow </w:t>
      </w:r>
      <w:r w:rsidR="0010774F" w:rsidRPr="003A4D17">
        <w:rPr>
          <w:rFonts w:asciiTheme="minorHAnsi" w:hAnsiTheme="minorHAnsi"/>
        </w:rPr>
        <w:t>proportional concessions</w:t>
      </w:r>
      <w:r w:rsidR="00C236E4">
        <w:rPr>
          <w:rFonts w:asciiTheme="minorHAnsi" w:hAnsiTheme="minorHAnsi"/>
        </w:rPr>
        <w:t xml:space="preserve"> (</w:t>
      </w:r>
      <w:r w:rsidR="00917092">
        <w:rPr>
          <w:rFonts w:asciiTheme="minorHAnsi" w:hAnsiTheme="minorHAnsi"/>
        </w:rPr>
        <w:t>T</w:t>
      </w:r>
      <w:r w:rsidR="00C236E4">
        <w:rPr>
          <w:rFonts w:asciiTheme="minorHAnsi" w:hAnsiTheme="minorHAnsi"/>
        </w:rPr>
        <w:t xml:space="preserve">able </w:t>
      </w:r>
      <w:r w:rsidR="00B44B23">
        <w:rPr>
          <w:rFonts w:asciiTheme="minorHAnsi" w:hAnsiTheme="minorHAnsi"/>
        </w:rPr>
        <w:t>5</w:t>
      </w:r>
      <w:r w:rsidR="00C236E4">
        <w:rPr>
          <w:rFonts w:asciiTheme="minorHAnsi" w:hAnsiTheme="minorHAnsi"/>
        </w:rPr>
        <w:t>)</w:t>
      </w:r>
      <w:r w:rsidR="00906CE0">
        <w:rPr>
          <w:rFonts w:asciiTheme="minorHAnsi" w:hAnsiTheme="minorHAnsi"/>
        </w:rPr>
        <w:t xml:space="preserve"> </w:t>
      </w:r>
      <w:r w:rsidR="0010774F" w:rsidRPr="003A4D17">
        <w:rPr>
          <w:rFonts w:asciiTheme="minorHAnsi" w:hAnsiTheme="minorHAnsi"/>
        </w:rPr>
        <w:t xml:space="preserve">for </w:t>
      </w:r>
      <w:r w:rsidR="00CE7DDA" w:rsidRPr="003A4D17">
        <w:rPr>
          <w:rFonts w:asciiTheme="minorHAnsi" w:hAnsiTheme="minorHAnsi"/>
        </w:rPr>
        <w:t>other fire safety measures</w:t>
      </w:r>
      <w:r w:rsidR="0010774F" w:rsidRPr="003A4D17">
        <w:rPr>
          <w:rFonts w:asciiTheme="minorHAnsi" w:hAnsiTheme="minorHAnsi"/>
        </w:rPr>
        <w:t>.</w:t>
      </w:r>
    </w:p>
    <w:p w:rsidR="00441935" w:rsidRPr="0029475C" w:rsidRDefault="009601D3" w:rsidP="00441935">
      <w:r>
        <w:rPr>
          <w:rFonts w:asciiTheme="minorHAnsi" w:hAnsiTheme="minorHAnsi"/>
        </w:rPr>
        <w:t xml:space="preserve">Other </w:t>
      </w:r>
      <w:r w:rsidR="00C816BD">
        <w:rPr>
          <w:rFonts w:asciiTheme="minorHAnsi" w:hAnsiTheme="minorHAnsi"/>
        </w:rPr>
        <w:t>c</w:t>
      </w:r>
      <w:r w:rsidR="003A4D17">
        <w:rPr>
          <w:rFonts w:asciiTheme="minorHAnsi" w:hAnsiTheme="minorHAnsi"/>
        </w:rPr>
        <w:t>lassifications</w:t>
      </w:r>
      <w:r>
        <w:rPr>
          <w:rFonts w:asciiTheme="minorHAnsi" w:hAnsiTheme="minorHAnsi"/>
        </w:rPr>
        <w:t xml:space="preserve"> that </w:t>
      </w:r>
      <w:r w:rsidRPr="0084486E">
        <w:rPr>
          <w:rFonts w:asciiTheme="minorHAnsi" w:hAnsiTheme="minorHAnsi"/>
        </w:rPr>
        <w:t>occupy</w:t>
      </w:r>
      <w:r>
        <w:rPr>
          <w:rFonts w:asciiTheme="minorHAnsi" w:hAnsiTheme="minorHAnsi"/>
        </w:rPr>
        <w:t xml:space="preserve"> </w:t>
      </w:r>
      <w:r w:rsidR="00BC3284">
        <w:rPr>
          <w:rFonts w:asciiTheme="minorHAnsi" w:hAnsiTheme="minorHAnsi"/>
        </w:rPr>
        <w:t>storeys in</w:t>
      </w:r>
      <w:r>
        <w:rPr>
          <w:rFonts w:asciiTheme="minorHAnsi" w:hAnsiTheme="minorHAnsi"/>
        </w:rPr>
        <w:t xml:space="preserve"> an otherwise Class 2 or 3 building would also require sprinkler protection, due to </w:t>
      </w:r>
      <w:r w:rsidRPr="09633BE5">
        <w:rPr>
          <w:rFonts w:asciiTheme="minorHAnsi" w:eastAsiaTheme="minorEastAsia" w:hAnsiTheme="minorHAnsi"/>
        </w:rPr>
        <w:t xml:space="preserve">the heavy reliance on </w:t>
      </w:r>
      <w:r w:rsidR="00B6645B">
        <w:rPr>
          <w:rFonts w:asciiTheme="minorHAnsi" w:eastAsiaTheme="minorEastAsia" w:hAnsiTheme="minorHAnsi"/>
        </w:rPr>
        <w:t xml:space="preserve">fire </w:t>
      </w:r>
      <w:r w:rsidRPr="09633BE5">
        <w:rPr>
          <w:rFonts w:asciiTheme="minorHAnsi" w:eastAsiaTheme="minorEastAsia" w:hAnsiTheme="minorHAnsi"/>
        </w:rPr>
        <w:t xml:space="preserve">sprinklers to maintain exit pathways that pass through or pass by these </w:t>
      </w:r>
      <w:r w:rsidR="00112230">
        <w:rPr>
          <w:rFonts w:asciiTheme="minorHAnsi" w:hAnsiTheme="minorHAnsi"/>
        </w:rPr>
        <w:t>other classifications</w:t>
      </w:r>
      <w:r>
        <w:t>.</w:t>
      </w:r>
      <w:r w:rsidR="003A4D17" w:rsidRPr="003A4D17">
        <w:rPr>
          <w:rStyle w:val="FootnoteReference"/>
          <w:rFonts w:asciiTheme="minorHAnsi" w:hAnsiTheme="minorHAnsi"/>
        </w:rPr>
        <w:footnoteReference w:id="18"/>
      </w:r>
    </w:p>
    <w:p w:rsidR="00F31B5E" w:rsidRPr="009601D3" w:rsidRDefault="00003D47" w:rsidP="00CE7DDA">
      <w:pPr>
        <w:rPr>
          <w:rFonts w:asciiTheme="minorHAnsi" w:hAnsiTheme="minorHAnsi"/>
        </w:rPr>
      </w:pPr>
      <w:r>
        <w:rPr>
          <w:rFonts w:asciiTheme="minorHAnsi" w:hAnsiTheme="minorHAnsi"/>
        </w:rPr>
        <w:t xml:space="preserve">Compliance with the </w:t>
      </w:r>
      <w:r w:rsidR="004A09E7" w:rsidRPr="009601D3">
        <w:rPr>
          <w:rFonts w:asciiTheme="minorHAnsi" w:hAnsiTheme="minorHAnsi"/>
        </w:rPr>
        <w:t>DtS</w:t>
      </w:r>
      <w:r w:rsidR="00F31B5E" w:rsidRPr="009601D3">
        <w:rPr>
          <w:rFonts w:asciiTheme="minorHAnsi" w:hAnsiTheme="minorHAnsi"/>
        </w:rPr>
        <w:t xml:space="preserve"> </w:t>
      </w:r>
      <w:r w:rsidR="007C7D89">
        <w:rPr>
          <w:rFonts w:asciiTheme="minorHAnsi" w:hAnsiTheme="minorHAnsi"/>
        </w:rPr>
        <w:t>Provisions</w:t>
      </w:r>
      <w:r w:rsidR="00F31B5E" w:rsidRPr="009601D3">
        <w:rPr>
          <w:rFonts w:asciiTheme="minorHAnsi" w:hAnsiTheme="minorHAnsi"/>
        </w:rPr>
        <w:t xml:space="preserve"> </w:t>
      </w:r>
      <w:r w:rsidR="00112230">
        <w:rPr>
          <w:rFonts w:asciiTheme="minorHAnsi" w:hAnsiTheme="minorHAnsi"/>
        </w:rPr>
        <w:t xml:space="preserve">(described below) </w:t>
      </w:r>
      <w:r>
        <w:rPr>
          <w:rFonts w:asciiTheme="minorHAnsi" w:hAnsiTheme="minorHAnsi"/>
        </w:rPr>
        <w:t>attract</w:t>
      </w:r>
      <w:r w:rsidRPr="009601D3">
        <w:rPr>
          <w:rFonts w:asciiTheme="minorHAnsi" w:hAnsiTheme="minorHAnsi"/>
        </w:rPr>
        <w:t xml:space="preserve"> </w:t>
      </w:r>
      <w:r w:rsidR="00F31B5E" w:rsidRPr="009601D3">
        <w:rPr>
          <w:rFonts w:asciiTheme="minorHAnsi" w:hAnsiTheme="minorHAnsi"/>
        </w:rPr>
        <w:t>similar fire safety concessions.</w:t>
      </w:r>
      <w:r w:rsidR="00C71D25">
        <w:rPr>
          <w:rFonts w:asciiTheme="minorHAnsi" w:hAnsiTheme="minorHAnsi"/>
        </w:rPr>
        <w:t xml:space="preserve"> Th</w:t>
      </w:r>
      <w:r w:rsidR="00FA11CC">
        <w:rPr>
          <w:rFonts w:asciiTheme="minorHAnsi" w:hAnsiTheme="minorHAnsi"/>
        </w:rPr>
        <w:t>ese options</w:t>
      </w:r>
      <w:r w:rsidR="00C236E4">
        <w:rPr>
          <w:rFonts w:asciiTheme="minorHAnsi" w:hAnsiTheme="minorHAnsi"/>
        </w:rPr>
        <w:t xml:space="preserve"> are intended to be introduced as a package</w:t>
      </w:r>
      <w:r w:rsidR="00FA11CC">
        <w:rPr>
          <w:rFonts w:asciiTheme="minorHAnsi" w:hAnsiTheme="minorHAnsi"/>
        </w:rPr>
        <w:t xml:space="preserve"> that encompass a</w:t>
      </w:r>
      <w:r w:rsidR="00C71D25">
        <w:rPr>
          <w:rFonts w:asciiTheme="minorHAnsi" w:hAnsiTheme="minorHAnsi"/>
        </w:rPr>
        <w:t xml:space="preserve"> range of </w:t>
      </w:r>
      <w:r w:rsidR="00C236E4">
        <w:rPr>
          <w:rFonts w:asciiTheme="minorHAnsi" w:hAnsiTheme="minorHAnsi"/>
        </w:rPr>
        <w:t>alternative sprinkler specifications</w:t>
      </w:r>
      <w:r w:rsidR="00FA11CC">
        <w:rPr>
          <w:rFonts w:asciiTheme="minorHAnsi" w:hAnsiTheme="minorHAnsi"/>
        </w:rPr>
        <w:t xml:space="preserve">. They are </w:t>
      </w:r>
      <w:r w:rsidR="00C71D25">
        <w:rPr>
          <w:rFonts w:asciiTheme="minorHAnsi" w:hAnsiTheme="minorHAnsi"/>
        </w:rPr>
        <w:t>provided in recognition of the limitations of the domestic system</w:t>
      </w:r>
      <w:r w:rsidR="00C71D25" w:rsidRPr="003A4D17">
        <w:rPr>
          <w:rStyle w:val="FootnoteReference"/>
          <w:rFonts w:asciiTheme="minorHAnsi" w:hAnsiTheme="minorHAnsi"/>
        </w:rPr>
        <w:footnoteReference w:id="19"/>
      </w:r>
      <w:r w:rsidR="00C71D25" w:rsidRPr="003A4D17">
        <w:rPr>
          <w:rStyle w:val="FootnoteReference"/>
          <w:rFonts w:asciiTheme="minorHAnsi" w:hAnsiTheme="minorHAnsi"/>
        </w:rPr>
        <w:t xml:space="preserve"> </w:t>
      </w:r>
      <w:r w:rsidR="00C71D25">
        <w:t xml:space="preserve"> </w:t>
      </w:r>
      <w:r w:rsidR="00C71D25" w:rsidRPr="00F22156">
        <w:rPr>
          <w:rFonts w:asciiTheme="minorHAnsi" w:hAnsiTheme="minorHAnsi"/>
        </w:rPr>
        <w:t xml:space="preserve">and the potential for </w:t>
      </w:r>
      <w:r w:rsidR="00F22156">
        <w:rPr>
          <w:rFonts w:asciiTheme="minorHAnsi" w:hAnsiTheme="minorHAnsi"/>
        </w:rPr>
        <w:t xml:space="preserve">buildings of mixed classification or unique </w:t>
      </w:r>
      <w:r w:rsidR="00C71D25" w:rsidRPr="00F22156">
        <w:rPr>
          <w:rFonts w:asciiTheme="minorHAnsi" w:hAnsiTheme="minorHAnsi"/>
        </w:rPr>
        <w:t>configurations</w:t>
      </w:r>
      <w:r w:rsidR="00FA11CC">
        <w:rPr>
          <w:rFonts w:asciiTheme="minorHAnsi" w:hAnsiTheme="minorHAnsi"/>
        </w:rPr>
        <w:t xml:space="preserve"> </w:t>
      </w:r>
      <w:r w:rsidR="00F22156">
        <w:rPr>
          <w:rFonts w:asciiTheme="minorHAnsi" w:hAnsiTheme="minorHAnsi"/>
        </w:rPr>
        <w:t>require alternative</w:t>
      </w:r>
      <w:r w:rsidR="00FA11CC">
        <w:rPr>
          <w:rFonts w:asciiTheme="minorHAnsi" w:hAnsiTheme="minorHAnsi"/>
        </w:rPr>
        <w:t xml:space="preserve"> options</w:t>
      </w:r>
      <w:r w:rsidR="007A1CC0">
        <w:rPr>
          <w:rFonts w:asciiTheme="minorHAnsi" w:hAnsiTheme="minorHAnsi"/>
        </w:rPr>
        <w:t xml:space="preserve"> be provided</w:t>
      </w:r>
      <w:r w:rsidR="00F22156">
        <w:rPr>
          <w:rFonts w:asciiTheme="minorHAnsi" w:hAnsiTheme="minorHAnsi"/>
        </w:rPr>
        <w:t>. Th</w:t>
      </w:r>
      <w:r w:rsidR="009C42A3">
        <w:rPr>
          <w:rFonts w:asciiTheme="minorHAnsi" w:hAnsiTheme="minorHAnsi"/>
        </w:rPr>
        <w:t>is</w:t>
      </w:r>
      <w:r w:rsidR="00F22156">
        <w:rPr>
          <w:rFonts w:asciiTheme="minorHAnsi" w:hAnsiTheme="minorHAnsi"/>
        </w:rPr>
        <w:t xml:space="preserve"> analysis considers all options individually, before </w:t>
      </w:r>
      <w:r w:rsidR="00FA11CC">
        <w:rPr>
          <w:rFonts w:asciiTheme="minorHAnsi" w:hAnsiTheme="minorHAnsi"/>
        </w:rPr>
        <w:t>examining</w:t>
      </w:r>
      <w:r w:rsidR="00F22156">
        <w:rPr>
          <w:rFonts w:asciiTheme="minorHAnsi" w:hAnsiTheme="minorHAnsi"/>
        </w:rPr>
        <w:t xml:space="preserve"> the aggregate impact based on the assumed uptake of</w:t>
      </w:r>
      <w:r w:rsidR="009C42A3">
        <w:rPr>
          <w:rFonts w:asciiTheme="minorHAnsi" w:hAnsiTheme="minorHAnsi"/>
        </w:rPr>
        <w:t xml:space="preserve"> the</w:t>
      </w:r>
      <w:r w:rsidR="00F22156">
        <w:rPr>
          <w:rFonts w:asciiTheme="minorHAnsi" w:hAnsiTheme="minorHAnsi"/>
        </w:rPr>
        <w:t xml:space="preserve"> </w:t>
      </w:r>
      <w:r w:rsidR="00840E76">
        <w:rPr>
          <w:rFonts w:asciiTheme="minorHAnsi" w:hAnsiTheme="minorHAnsi"/>
        </w:rPr>
        <w:t>alternative specifications</w:t>
      </w:r>
      <w:r w:rsidR="00CD7733">
        <w:rPr>
          <w:rFonts w:asciiTheme="minorHAnsi" w:hAnsiTheme="minorHAnsi"/>
        </w:rPr>
        <w:t xml:space="preserve"> below</w:t>
      </w:r>
      <w:r w:rsidR="00F22156">
        <w:rPr>
          <w:rFonts w:asciiTheme="minorHAnsi" w:hAnsiTheme="minorHAnsi"/>
        </w:rPr>
        <w:t>.</w:t>
      </w:r>
    </w:p>
    <w:p w:rsidR="00294FD0" w:rsidRPr="00E7305D" w:rsidRDefault="00A20D77" w:rsidP="00664BD0">
      <w:pPr>
        <w:pStyle w:val="Heading3"/>
        <w:rPr>
          <w:rStyle w:val="Heading2Char"/>
          <w:b/>
          <w:bCs/>
        </w:rPr>
      </w:pPr>
      <w:bookmarkStart w:id="34" w:name="_Toc505333478"/>
      <w:r w:rsidRPr="001D006B">
        <w:rPr>
          <w:rStyle w:val="Heading2Char"/>
        </w:rPr>
        <w:lastRenderedPageBreak/>
        <w:t xml:space="preserve">AS </w:t>
      </w:r>
      <w:r w:rsidR="009C42A3" w:rsidRPr="001D006B">
        <w:rPr>
          <w:rStyle w:val="Heading2Char"/>
        </w:rPr>
        <w:t>2118.1:</w:t>
      </w:r>
      <w:r w:rsidR="001D006B" w:rsidRPr="001D006B">
        <w:rPr>
          <w:rStyle w:val="Heading2Char"/>
        </w:rPr>
        <w:t xml:space="preserve"> </w:t>
      </w:r>
      <w:r w:rsidR="00294FD0" w:rsidRPr="001D006B">
        <w:rPr>
          <w:rStyle w:val="Heading2Char"/>
        </w:rPr>
        <w:t xml:space="preserve">Automatic </w:t>
      </w:r>
      <w:r w:rsidR="008D1131" w:rsidRPr="001D006B">
        <w:rPr>
          <w:rStyle w:val="Heading2Char"/>
        </w:rPr>
        <w:t>F</w:t>
      </w:r>
      <w:r w:rsidR="00294FD0" w:rsidRPr="001D006B">
        <w:rPr>
          <w:rStyle w:val="Heading2Char"/>
        </w:rPr>
        <w:t xml:space="preserve">ire Sprinkler </w:t>
      </w:r>
      <w:r w:rsidR="008D1131" w:rsidRPr="001D006B">
        <w:rPr>
          <w:rStyle w:val="Heading2Char"/>
        </w:rPr>
        <w:t>S</w:t>
      </w:r>
      <w:r w:rsidR="00294FD0" w:rsidRPr="001D006B">
        <w:rPr>
          <w:rStyle w:val="Heading2Char"/>
        </w:rPr>
        <w:t>ystems General Requirements Amendment 1: 1999</w:t>
      </w:r>
      <w:bookmarkEnd w:id="34"/>
    </w:p>
    <w:p w:rsidR="005460C9" w:rsidRPr="008D1131" w:rsidRDefault="00F31B5E" w:rsidP="008D1131">
      <w:pPr>
        <w:rPr>
          <w:rFonts w:asciiTheme="minorHAnsi" w:hAnsiTheme="minorHAnsi"/>
        </w:rPr>
      </w:pPr>
      <w:r w:rsidRPr="009601D3">
        <w:rPr>
          <w:rFonts w:asciiTheme="minorHAnsi" w:hAnsiTheme="minorHAnsi"/>
        </w:rPr>
        <w:t>Th</w:t>
      </w:r>
      <w:r w:rsidR="005460C9" w:rsidRPr="009601D3">
        <w:rPr>
          <w:rFonts w:asciiTheme="minorHAnsi" w:hAnsiTheme="minorHAnsi"/>
        </w:rPr>
        <w:t xml:space="preserve">is </w:t>
      </w:r>
      <w:r w:rsidR="001D006B">
        <w:rPr>
          <w:rFonts w:asciiTheme="minorHAnsi" w:hAnsiTheme="minorHAnsi"/>
        </w:rPr>
        <w:t>specification</w:t>
      </w:r>
      <w:r w:rsidR="005460C9" w:rsidRPr="009601D3">
        <w:rPr>
          <w:rFonts w:asciiTheme="minorHAnsi" w:hAnsiTheme="minorHAnsi"/>
        </w:rPr>
        <w:t xml:space="preserve"> provides for the installation of an AS 2118.1 </w:t>
      </w:r>
      <w:r w:rsidR="009C42A3">
        <w:rPr>
          <w:rFonts w:asciiTheme="minorHAnsi" w:hAnsiTheme="minorHAnsi"/>
        </w:rPr>
        <w:t xml:space="preserve">fire </w:t>
      </w:r>
      <w:r w:rsidR="005460C9" w:rsidRPr="009601D3">
        <w:rPr>
          <w:rFonts w:asciiTheme="minorHAnsi" w:hAnsiTheme="minorHAnsi"/>
        </w:rPr>
        <w:t xml:space="preserve">sprinkler system in new Class 2 </w:t>
      </w:r>
      <w:r w:rsidR="009C42A3">
        <w:rPr>
          <w:rFonts w:asciiTheme="minorHAnsi" w:hAnsiTheme="minorHAnsi"/>
        </w:rPr>
        <w:t xml:space="preserve">and </w:t>
      </w:r>
      <w:r w:rsidR="005460C9" w:rsidRPr="009601D3">
        <w:rPr>
          <w:rFonts w:asciiTheme="minorHAnsi" w:hAnsiTheme="minorHAnsi"/>
        </w:rPr>
        <w:t xml:space="preserve">3 buildings having a rise in storeys of </w:t>
      </w:r>
      <w:r w:rsidR="007A1CC0">
        <w:rPr>
          <w:rFonts w:asciiTheme="minorHAnsi" w:hAnsiTheme="minorHAnsi"/>
        </w:rPr>
        <w:t>four</w:t>
      </w:r>
      <w:r w:rsidR="007A1CC0" w:rsidRPr="009601D3">
        <w:rPr>
          <w:rFonts w:asciiTheme="minorHAnsi" w:hAnsiTheme="minorHAnsi"/>
        </w:rPr>
        <w:t xml:space="preserve"> </w:t>
      </w:r>
      <w:r w:rsidR="005460C9" w:rsidRPr="009601D3">
        <w:rPr>
          <w:rFonts w:asciiTheme="minorHAnsi" w:hAnsiTheme="minorHAnsi"/>
        </w:rPr>
        <w:t>or more and less than 25</w:t>
      </w:r>
      <w:r w:rsidR="00112230">
        <w:rPr>
          <w:rFonts w:asciiTheme="minorHAnsi" w:hAnsiTheme="minorHAnsi"/>
        </w:rPr>
        <w:t xml:space="preserve"> </w:t>
      </w:r>
      <w:r w:rsidR="005460C9" w:rsidRPr="009601D3">
        <w:rPr>
          <w:rFonts w:asciiTheme="minorHAnsi" w:hAnsiTheme="minorHAnsi"/>
        </w:rPr>
        <w:t>m</w:t>
      </w:r>
      <w:r w:rsidR="009C42A3">
        <w:rPr>
          <w:rFonts w:asciiTheme="minorHAnsi" w:hAnsiTheme="minorHAnsi"/>
        </w:rPr>
        <w:t>etres</w:t>
      </w:r>
      <w:r w:rsidR="005460C9" w:rsidRPr="009601D3">
        <w:rPr>
          <w:rFonts w:asciiTheme="minorHAnsi" w:hAnsiTheme="minorHAnsi"/>
        </w:rPr>
        <w:t xml:space="preserve"> in effective height. </w:t>
      </w:r>
      <w:r w:rsidR="00884694" w:rsidRPr="009601D3">
        <w:rPr>
          <w:rFonts w:asciiTheme="minorHAnsi" w:hAnsiTheme="minorHAnsi"/>
        </w:rPr>
        <w:t xml:space="preserve">Subject to the </w:t>
      </w:r>
      <w:r w:rsidR="00C236E4">
        <w:rPr>
          <w:rFonts w:asciiTheme="minorHAnsi" w:hAnsiTheme="minorHAnsi"/>
        </w:rPr>
        <w:t xml:space="preserve">inclusion of </w:t>
      </w:r>
      <w:r w:rsidR="009C42A3">
        <w:rPr>
          <w:rFonts w:asciiTheme="minorHAnsi" w:hAnsiTheme="minorHAnsi"/>
        </w:rPr>
        <w:t xml:space="preserve">fire </w:t>
      </w:r>
      <w:r w:rsidR="00884694" w:rsidRPr="009601D3">
        <w:rPr>
          <w:rFonts w:asciiTheme="minorHAnsi" w:hAnsiTheme="minorHAnsi"/>
        </w:rPr>
        <w:t>sprinkler</w:t>
      </w:r>
      <w:r w:rsidR="00C236E4">
        <w:rPr>
          <w:rFonts w:asciiTheme="minorHAnsi" w:hAnsiTheme="minorHAnsi"/>
        </w:rPr>
        <w:t>s to this specification</w:t>
      </w:r>
      <w:r w:rsidR="009C42A3">
        <w:rPr>
          <w:rFonts w:asciiTheme="minorHAnsi" w:hAnsiTheme="minorHAnsi"/>
        </w:rPr>
        <w:t>,</w:t>
      </w:r>
      <w:r w:rsidR="00C236E4">
        <w:rPr>
          <w:rFonts w:asciiTheme="minorHAnsi" w:hAnsiTheme="minorHAnsi"/>
        </w:rPr>
        <w:t xml:space="preserve"> the </w:t>
      </w:r>
      <w:r w:rsidR="00884694" w:rsidRPr="009601D3">
        <w:rPr>
          <w:rFonts w:asciiTheme="minorHAnsi" w:hAnsiTheme="minorHAnsi"/>
        </w:rPr>
        <w:t xml:space="preserve">nominated </w:t>
      </w:r>
      <w:r w:rsidR="00C236E4">
        <w:rPr>
          <w:rFonts w:asciiTheme="minorHAnsi" w:hAnsiTheme="minorHAnsi"/>
        </w:rPr>
        <w:t xml:space="preserve">concessions to other DtS </w:t>
      </w:r>
      <w:r w:rsidR="00917092">
        <w:rPr>
          <w:rFonts w:asciiTheme="minorHAnsi" w:hAnsiTheme="minorHAnsi"/>
        </w:rPr>
        <w:t>P</w:t>
      </w:r>
      <w:r w:rsidR="00C236E4">
        <w:rPr>
          <w:rFonts w:asciiTheme="minorHAnsi" w:hAnsiTheme="minorHAnsi"/>
        </w:rPr>
        <w:t xml:space="preserve">rovisions listed </w:t>
      </w:r>
      <w:r w:rsidR="00884694" w:rsidRPr="009601D3">
        <w:rPr>
          <w:rFonts w:asciiTheme="minorHAnsi" w:hAnsiTheme="minorHAnsi"/>
        </w:rPr>
        <w:t xml:space="preserve">in </w:t>
      </w:r>
      <w:bookmarkStart w:id="35" w:name="Executive_Summary"/>
      <w:bookmarkStart w:id="36" w:name="bookmark0"/>
      <w:bookmarkEnd w:id="35"/>
      <w:bookmarkEnd w:id="36"/>
      <w:r w:rsidR="00917092">
        <w:rPr>
          <w:rFonts w:asciiTheme="minorHAnsi" w:hAnsiTheme="minorHAnsi"/>
        </w:rPr>
        <w:t>T</w:t>
      </w:r>
      <w:r w:rsidR="00884694" w:rsidRPr="009601D3">
        <w:rPr>
          <w:rFonts w:asciiTheme="minorHAnsi" w:hAnsiTheme="minorHAnsi"/>
        </w:rPr>
        <w:t>able</w:t>
      </w:r>
      <w:r w:rsidR="00EF09AF">
        <w:rPr>
          <w:rFonts w:asciiTheme="minorHAnsi" w:hAnsiTheme="minorHAnsi"/>
        </w:rPr>
        <w:t xml:space="preserve"> </w:t>
      </w:r>
      <w:r w:rsidR="00B44B23">
        <w:rPr>
          <w:rFonts w:asciiTheme="minorHAnsi" w:hAnsiTheme="minorHAnsi"/>
        </w:rPr>
        <w:t>5</w:t>
      </w:r>
      <w:r w:rsidR="00C236E4">
        <w:rPr>
          <w:rFonts w:asciiTheme="minorHAnsi" w:hAnsiTheme="minorHAnsi"/>
        </w:rPr>
        <w:t xml:space="preserve"> </w:t>
      </w:r>
      <w:r w:rsidR="006118A5">
        <w:rPr>
          <w:rFonts w:asciiTheme="minorHAnsi" w:hAnsiTheme="minorHAnsi"/>
        </w:rPr>
        <w:t>above</w:t>
      </w:r>
      <w:r w:rsidR="00C236E4">
        <w:rPr>
          <w:rFonts w:asciiTheme="minorHAnsi" w:hAnsiTheme="minorHAnsi"/>
        </w:rPr>
        <w:t xml:space="preserve"> would </w:t>
      </w:r>
      <w:r w:rsidR="009C42A3">
        <w:rPr>
          <w:rFonts w:asciiTheme="minorHAnsi" w:hAnsiTheme="minorHAnsi"/>
        </w:rPr>
        <w:t xml:space="preserve">also </w:t>
      </w:r>
      <w:r w:rsidR="00C236E4">
        <w:rPr>
          <w:rFonts w:asciiTheme="minorHAnsi" w:hAnsiTheme="minorHAnsi"/>
        </w:rPr>
        <w:t>apply.</w:t>
      </w:r>
    </w:p>
    <w:p w:rsidR="00A20D77" w:rsidRPr="00E7305D" w:rsidRDefault="0010774F" w:rsidP="00664BD0">
      <w:pPr>
        <w:pStyle w:val="Heading3"/>
        <w:rPr>
          <w:rStyle w:val="Heading2Char"/>
          <w:b/>
          <w:bCs/>
        </w:rPr>
      </w:pPr>
      <w:bookmarkStart w:id="37" w:name="_Toc505333479"/>
      <w:r w:rsidRPr="001D006B">
        <w:rPr>
          <w:rStyle w:val="Heading2Char"/>
        </w:rPr>
        <w:t xml:space="preserve">FPAA 101D Sprinkler </w:t>
      </w:r>
      <w:r w:rsidR="00112230" w:rsidRPr="001D006B">
        <w:rPr>
          <w:rStyle w:val="Heading2Char"/>
        </w:rPr>
        <w:t>S</w:t>
      </w:r>
      <w:r w:rsidRPr="001D006B">
        <w:rPr>
          <w:rStyle w:val="Heading2Char"/>
        </w:rPr>
        <w:t>ystem Design and Installation - Domestic Water Supply</w:t>
      </w:r>
      <w:bookmarkEnd w:id="37"/>
    </w:p>
    <w:p w:rsidR="00884694" w:rsidRPr="009601D3" w:rsidRDefault="004A09E7" w:rsidP="00166559">
      <w:pPr>
        <w:rPr>
          <w:rFonts w:asciiTheme="minorHAnsi" w:hAnsiTheme="minorHAnsi"/>
        </w:rPr>
      </w:pPr>
      <w:r w:rsidRPr="009601D3">
        <w:rPr>
          <w:rFonts w:asciiTheme="minorHAnsi" w:hAnsiTheme="minorHAnsi"/>
        </w:rPr>
        <w:t xml:space="preserve">This </w:t>
      </w:r>
      <w:r w:rsidR="001D006B">
        <w:rPr>
          <w:rFonts w:asciiTheme="minorHAnsi" w:hAnsiTheme="minorHAnsi"/>
        </w:rPr>
        <w:t>specification</w:t>
      </w:r>
      <w:r w:rsidRPr="009601D3">
        <w:rPr>
          <w:rFonts w:asciiTheme="minorHAnsi" w:hAnsiTheme="minorHAnsi"/>
        </w:rPr>
        <w:t xml:space="preserve"> provides for the installation of a FPAA 101D </w:t>
      </w:r>
      <w:r w:rsidR="009C42A3">
        <w:rPr>
          <w:rFonts w:asciiTheme="minorHAnsi" w:hAnsiTheme="minorHAnsi"/>
        </w:rPr>
        <w:t xml:space="preserve">fire </w:t>
      </w:r>
      <w:r w:rsidRPr="009601D3">
        <w:rPr>
          <w:rFonts w:asciiTheme="minorHAnsi" w:hAnsiTheme="minorHAnsi"/>
        </w:rPr>
        <w:t>s</w:t>
      </w:r>
      <w:r w:rsidR="009C42A3">
        <w:rPr>
          <w:rFonts w:asciiTheme="minorHAnsi" w:hAnsiTheme="minorHAnsi"/>
        </w:rPr>
        <w:t>prinkler system in new Class 2 and 3</w:t>
      </w:r>
      <w:r w:rsidRPr="009601D3">
        <w:rPr>
          <w:rFonts w:asciiTheme="minorHAnsi" w:hAnsiTheme="minorHAnsi"/>
        </w:rPr>
        <w:t xml:space="preserve"> buildings having a rise in storeys of </w:t>
      </w:r>
      <w:r w:rsidR="007A1CC0">
        <w:rPr>
          <w:rFonts w:asciiTheme="minorHAnsi" w:hAnsiTheme="minorHAnsi"/>
        </w:rPr>
        <w:t>four</w:t>
      </w:r>
      <w:r w:rsidR="007A1CC0" w:rsidRPr="009601D3">
        <w:rPr>
          <w:rFonts w:asciiTheme="minorHAnsi" w:hAnsiTheme="minorHAnsi"/>
        </w:rPr>
        <w:t xml:space="preserve"> </w:t>
      </w:r>
      <w:r w:rsidRPr="009601D3">
        <w:rPr>
          <w:rFonts w:asciiTheme="minorHAnsi" w:hAnsiTheme="minorHAnsi"/>
        </w:rPr>
        <w:t>or more and less than 25</w:t>
      </w:r>
      <w:r w:rsidR="00112230">
        <w:rPr>
          <w:rFonts w:asciiTheme="minorHAnsi" w:hAnsiTheme="minorHAnsi"/>
        </w:rPr>
        <w:t xml:space="preserve"> </w:t>
      </w:r>
      <w:r w:rsidRPr="009601D3">
        <w:rPr>
          <w:rFonts w:asciiTheme="minorHAnsi" w:hAnsiTheme="minorHAnsi"/>
        </w:rPr>
        <w:t>m</w:t>
      </w:r>
      <w:r w:rsidR="009C42A3">
        <w:rPr>
          <w:rFonts w:asciiTheme="minorHAnsi" w:hAnsiTheme="minorHAnsi"/>
        </w:rPr>
        <w:t>etres</w:t>
      </w:r>
      <w:r w:rsidRPr="009601D3">
        <w:rPr>
          <w:rFonts w:asciiTheme="minorHAnsi" w:hAnsiTheme="minorHAnsi"/>
        </w:rPr>
        <w:t xml:space="preserve"> in effective height</w:t>
      </w:r>
      <w:r w:rsidR="00917092">
        <w:rPr>
          <w:rFonts w:asciiTheme="minorHAnsi" w:hAnsiTheme="minorHAnsi"/>
        </w:rPr>
        <w:t>,</w:t>
      </w:r>
      <w:r w:rsidR="000F5568">
        <w:rPr>
          <w:rFonts w:asciiTheme="minorHAnsi" w:hAnsiTheme="minorHAnsi"/>
        </w:rPr>
        <w:t xml:space="preserve"> subject to the limitations listed under Table 5</w:t>
      </w:r>
      <w:r w:rsidRPr="009601D3">
        <w:rPr>
          <w:rFonts w:asciiTheme="minorHAnsi" w:hAnsiTheme="minorHAnsi"/>
        </w:rPr>
        <w:t xml:space="preserve">.  </w:t>
      </w:r>
      <w:r w:rsidR="00917092">
        <w:rPr>
          <w:rFonts w:asciiTheme="minorHAnsi" w:hAnsiTheme="minorHAnsi"/>
        </w:rPr>
        <w:t>In addition, s</w:t>
      </w:r>
      <w:r w:rsidR="00C236E4" w:rsidRPr="009601D3">
        <w:rPr>
          <w:rFonts w:asciiTheme="minorHAnsi" w:hAnsiTheme="minorHAnsi"/>
        </w:rPr>
        <w:t xml:space="preserve">ubject to the </w:t>
      </w:r>
      <w:r w:rsidR="00C236E4">
        <w:rPr>
          <w:rFonts w:asciiTheme="minorHAnsi" w:hAnsiTheme="minorHAnsi"/>
        </w:rPr>
        <w:t xml:space="preserve">inclusion of </w:t>
      </w:r>
      <w:r w:rsidR="009C42A3">
        <w:rPr>
          <w:rFonts w:asciiTheme="minorHAnsi" w:hAnsiTheme="minorHAnsi"/>
        </w:rPr>
        <w:t xml:space="preserve">fire </w:t>
      </w:r>
      <w:r w:rsidR="00C236E4" w:rsidRPr="009601D3">
        <w:rPr>
          <w:rFonts w:asciiTheme="minorHAnsi" w:hAnsiTheme="minorHAnsi"/>
        </w:rPr>
        <w:t>sprinkler</w:t>
      </w:r>
      <w:r w:rsidR="00C236E4">
        <w:rPr>
          <w:rFonts w:asciiTheme="minorHAnsi" w:hAnsiTheme="minorHAnsi"/>
        </w:rPr>
        <w:t>s to this specification</w:t>
      </w:r>
      <w:r w:rsidR="009C42A3">
        <w:rPr>
          <w:rFonts w:asciiTheme="minorHAnsi" w:hAnsiTheme="minorHAnsi"/>
        </w:rPr>
        <w:t>,</w:t>
      </w:r>
      <w:r w:rsidR="00C236E4">
        <w:rPr>
          <w:rFonts w:asciiTheme="minorHAnsi" w:hAnsiTheme="minorHAnsi"/>
        </w:rPr>
        <w:t xml:space="preserve"> the </w:t>
      </w:r>
      <w:r w:rsidR="00C236E4" w:rsidRPr="009601D3">
        <w:rPr>
          <w:rFonts w:asciiTheme="minorHAnsi" w:hAnsiTheme="minorHAnsi"/>
        </w:rPr>
        <w:t xml:space="preserve">nominated </w:t>
      </w:r>
      <w:r w:rsidR="00C236E4">
        <w:rPr>
          <w:rFonts w:asciiTheme="minorHAnsi" w:hAnsiTheme="minorHAnsi"/>
        </w:rPr>
        <w:t xml:space="preserve">concessions to other DtS </w:t>
      </w:r>
      <w:r w:rsidR="00917092">
        <w:rPr>
          <w:rFonts w:asciiTheme="minorHAnsi" w:hAnsiTheme="minorHAnsi"/>
        </w:rPr>
        <w:t>P</w:t>
      </w:r>
      <w:r w:rsidR="00C236E4">
        <w:rPr>
          <w:rFonts w:asciiTheme="minorHAnsi" w:hAnsiTheme="minorHAnsi"/>
        </w:rPr>
        <w:t xml:space="preserve">rovisions listed </w:t>
      </w:r>
      <w:r w:rsidR="00C236E4" w:rsidRPr="009601D3">
        <w:rPr>
          <w:rFonts w:asciiTheme="minorHAnsi" w:hAnsiTheme="minorHAnsi"/>
        </w:rPr>
        <w:t xml:space="preserve">in </w:t>
      </w:r>
      <w:r w:rsidR="00917092">
        <w:rPr>
          <w:rFonts w:asciiTheme="minorHAnsi" w:hAnsiTheme="minorHAnsi"/>
        </w:rPr>
        <w:t>T</w:t>
      </w:r>
      <w:r w:rsidR="00C236E4" w:rsidRPr="009601D3">
        <w:rPr>
          <w:rFonts w:asciiTheme="minorHAnsi" w:hAnsiTheme="minorHAnsi"/>
        </w:rPr>
        <w:t>able</w:t>
      </w:r>
      <w:r w:rsidR="00C236E4">
        <w:rPr>
          <w:rFonts w:asciiTheme="minorHAnsi" w:hAnsiTheme="minorHAnsi"/>
        </w:rPr>
        <w:t xml:space="preserve"> </w:t>
      </w:r>
      <w:r w:rsidR="00B44B23">
        <w:rPr>
          <w:rFonts w:asciiTheme="minorHAnsi" w:hAnsiTheme="minorHAnsi"/>
        </w:rPr>
        <w:t>5</w:t>
      </w:r>
      <w:r w:rsidR="00C236E4">
        <w:rPr>
          <w:rFonts w:asciiTheme="minorHAnsi" w:hAnsiTheme="minorHAnsi"/>
        </w:rPr>
        <w:t xml:space="preserve"> </w:t>
      </w:r>
      <w:r w:rsidR="006118A5">
        <w:rPr>
          <w:rFonts w:asciiTheme="minorHAnsi" w:hAnsiTheme="minorHAnsi"/>
        </w:rPr>
        <w:t>above</w:t>
      </w:r>
      <w:r w:rsidR="00A92188">
        <w:rPr>
          <w:rFonts w:asciiTheme="minorHAnsi" w:hAnsiTheme="minorHAnsi"/>
        </w:rPr>
        <w:t xml:space="preserve"> would</w:t>
      </w:r>
      <w:r w:rsidR="009C42A3">
        <w:rPr>
          <w:rFonts w:asciiTheme="minorHAnsi" w:hAnsiTheme="minorHAnsi"/>
        </w:rPr>
        <w:t xml:space="preserve"> also</w:t>
      </w:r>
      <w:r w:rsidR="00A92188">
        <w:rPr>
          <w:rFonts w:asciiTheme="minorHAnsi" w:hAnsiTheme="minorHAnsi"/>
        </w:rPr>
        <w:t xml:space="preserve"> apply. </w:t>
      </w:r>
    </w:p>
    <w:p w:rsidR="00CE7DDA" w:rsidRPr="00E7305D" w:rsidRDefault="0010774F" w:rsidP="00664BD0">
      <w:pPr>
        <w:pStyle w:val="Heading3"/>
        <w:rPr>
          <w:rStyle w:val="Heading2Char"/>
          <w:b/>
          <w:bCs/>
        </w:rPr>
      </w:pPr>
      <w:bookmarkStart w:id="38" w:name="_Toc505333480"/>
      <w:r w:rsidRPr="001D006B">
        <w:rPr>
          <w:rStyle w:val="Heading2Char"/>
        </w:rPr>
        <w:t xml:space="preserve">FPAA 101H Sprinkler </w:t>
      </w:r>
      <w:r w:rsidR="00915B0A" w:rsidRPr="001D006B">
        <w:rPr>
          <w:rStyle w:val="Heading2Char"/>
        </w:rPr>
        <w:t>S</w:t>
      </w:r>
      <w:r w:rsidRPr="001D006B">
        <w:rPr>
          <w:rStyle w:val="Heading2Char"/>
        </w:rPr>
        <w:t>ystem Design and Installation - Hydrant Water Supply</w:t>
      </w:r>
      <w:bookmarkEnd w:id="33"/>
      <w:bookmarkEnd w:id="38"/>
    </w:p>
    <w:p w:rsidR="00EF09AF" w:rsidRDefault="009C42A3" w:rsidP="00166559">
      <w:pPr>
        <w:rPr>
          <w:rFonts w:asciiTheme="minorHAnsi" w:hAnsiTheme="minorHAnsi"/>
        </w:rPr>
      </w:pPr>
      <w:r>
        <w:rPr>
          <w:rFonts w:asciiTheme="minorHAnsi" w:hAnsiTheme="minorHAnsi"/>
        </w:rPr>
        <w:t>This specification</w:t>
      </w:r>
      <w:r w:rsidR="00EF09AF" w:rsidRPr="009601D3">
        <w:rPr>
          <w:rFonts w:asciiTheme="minorHAnsi" w:hAnsiTheme="minorHAnsi"/>
        </w:rPr>
        <w:t xml:space="preserve"> provides for the installation of a FPAA 101H </w:t>
      </w:r>
      <w:r>
        <w:rPr>
          <w:rFonts w:asciiTheme="minorHAnsi" w:hAnsiTheme="minorHAnsi"/>
        </w:rPr>
        <w:t xml:space="preserve">fire </w:t>
      </w:r>
      <w:r w:rsidR="00EF09AF" w:rsidRPr="009601D3">
        <w:rPr>
          <w:rFonts w:asciiTheme="minorHAnsi" w:hAnsiTheme="minorHAnsi"/>
        </w:rPr>
        <w:t xml:space="preserve">sprinkler system in new Class 2 and 3 buildings having a rise in storeys of </w:t>
      </w:r>
      <w:r w:rsidR="007A1CC0">
        <w:rPr>
          <w:rFonts w:asciiTheme="minorHAnsi" w:hAnsiTheme="minorHAnsi"/>
        </w:rPr>
        <w:t>four</w:t>
      </w:r>
      <w:r w:rsidR="007A1CC0" w:rsidRPr="009601D3">
        <w:rPr>
          <w:rFonts w:asciiTheme="minorHAnsi" w:hAnsiTheme="minorHAnsi"/>
        </w:rPr>
        <w:t xml:space="preserve"> </w:t>
      </w:r>
      <w:r w:rsidR="00EF09AF" w:rsidRPr="009601D3">
        <w:rPr>
          <w:rFonts w:asciiTheme="minorHAnsi" w:hAnsiTheme="minorHAnsi"/>
        </w:rPr>
        <w:t>or more and less</w:t>
      </w:r>
      <w:r w:rsidR="00EF09AF">
        <w:rPr>
          <w:rFonts w:asciiTheme="minorHAnsi" w:hAnsiTheme="minorHAnsi"/>
        </w:rPr>
        <w:t xml:space="preserve"> than 25</w:t>
      </w:r>
      <w:r w:rsidR="00915B0A">
        <w:rPr>
          <w:rFonts w:asciiTheme="minorHAnsi" w:hAnsiTheme="minorHAnsi"/>
        </w:rPr>
        <w:t xml:space="preserve"> </w:t>
      </w:r>
      <w:r w:rsidR="00EF09AF">
        <w:rPr>
          <w:rFonts w:asciiTheme="minorHAnsi" w:hAnsiTheme="minorHAnsi"/>
        </w:rPr>
        <w:t>m in effective height.</w:t>
      </w:r>
      <w:r w:rsidR="00C236E4">
        <w:rPr>
          <w:rFonts w:asciiTheme="minorHAnsi" w:hAnsiTheme="minorHAnsi"/>
        </w:rPr>
        <w:t xml:space="preserve"> </w:t>
      </w:r>
      <w:r w:rsidR="00C236E4" w:rsidRPr="009601D3">
        <w:rPr>
          <w:rFonts w:asciiTheme="minorHAnsi" w:hAnsiTheme="minorHAnsi"/>
        </w:rPr>
        <w:t xml:space="preserve">Subject to the </w:t>
      </w:r>
      <w:r w:rsidR="00C236E4">
        <w:rPr>
          <w:rFonts w:asciiTheme="minorHAnsi" w:hAnsiTheme="minorHAnsi"/>
        </w:rPr>
        <w:t xml:space="preserve">inclusion of </w:t>
      </w:r>
      <w:r w:rsidR="00B6645B">
        <w:rPr>
          <w:rFonts w:asciiTheme="minorHAnsi" w:hAnsiTheme="minorHAnsi"/>
        </w:rPr>
        <w:t xml:space="preserve">fire </w:t>
      </w:r>
      <w:r w:rsidR="00C236E4" w:rsidRPr="009601D3">
        <w:rPr>
          <w:rFonts w:asciiTheme="minorHAnsi" w:hAnsiTheme="minorHAnsi"/>
        </w:rPr>
        <w:t>sprinkler</w:t>
      </w:r>
      <w:r w:rsidR="00C236E4">
        <w:rPr>
          <w:rFonts w:asciiTheme="minorHAnsi" w:hAnsiTheme="minorHAnsi"/>
        </w:rPr>
        <w:t>s to this specification</w:t>
      </w:r>
      <w:r>
        <w:rPr>
          <w:rFonts w:asciiTheme="minorHAnsi" w:hAnsiTheme="minorHAnsi"/>
        </w:rPr>
        <w:t>,</w:t>
      </w:r>
      <w:r w:rsidR="00C236E4">
        <w:rPr>
          <w:rFonts w:asciiTheme="minorHAnsi" w:hAnsiTheme="minorHAnsi"/>
        </w:rPr>
        <w:t xml:space="preserve"> the </w:t>
      </w:r>
      <w:r w:rsidR="00C236E4" w:rsidRPr="009601D3">
        <w:rPr>
          <w:rFonts w:asciiTheme="minorHAnsi" w:hAnsiTheme="minorHAnsi"/>
        </w:rPr>
        <w:t xml:space="preserve">nominated </w:t>
      </w:r>
      <w:r w:rsidR="00C236E4">
        <w:rPr>
          <w:rFonts w:asciiTheme="minorHAnsi" w:hAnsiTheme="minorHAnsi"/>
        </w:rPr>
        <w:t xml:space="preserve">concessions to other DtS </w:t>
      </w:r>
      <w:r w:rsidR="00917092">
        <w:rPr>
          <w:rFonts w:asciiTheme="minorHAnsi" w:hAnsiTheme="minorHAnsi"/>
        </w:rPr>
        <w:t>P</w:t>
      </w:r>
      <w:r w:rsidR="00C236E4">
        <w:rPr>
          <w:rFonts w:asciiTheme="minorHAnsi" w:hAnsiTheme="minorHAnsi"/>
        </w:rPr>
        <w:t xml:space="preserve">rovisions listed </w:t>
      </w:r>
      <w:r w:rsidR="00C236E4" w:rsidRPr="009601D3">
        <w:rPr>
          <w:rFonts w:asciiTheme="minorHAnsi" w:hAnsiTheme="minorHAnsi"/>
        </w:rPr>
        <w:t xml:space="preserve">in </w:t>
      </w:r>
      <w:r w:rsidR="00917092">
        <w:rPr>
          <w:rFonts w:asciiTheme="minorHAnsi" w:hAnsiTheme="minorHAnsi"/>
        </w:rPr>
        <w:t>T</w:t>
      </w:r>
      <w:r w:rsidR="00C236E4" w:rsidRPr="009601D3">
        <w:rPr>
          <w:rFonts w:asciiTheme="minorHAnsi" w:hAnsiTheme="minorHAnsi"/>
        </w:rPr>
        <w:t>able</w:t>
      </w:r>
      <w:r w:rsidR="00C236E4">
        <w:rPr>
          <w:rFonts w:asciiTheme="minorHAnsi" w:hAnsiTheme="minorHAnsi"/>
        </w:rPr>
        <w:t xml:space="preserve"> </w:t>
      </w:r>
      <w:r w:rsidR="00B44B23">
        <w:rPr>
          <w:rFonts w:asciiTheme="minorHAnsi" w:hAnsiTheme="minorHAnsi"/>
        </w:rPr>
        <w:t>5</w:t>
      </w:r>
      <w:r w:rsidR="00C236E4">
        <w:rPr>
          <w:rFonts w:asciiTheme="minorHAnsi" w:hAnsiTheme="minorHAnsi"/>
        </w:rPr>
        <w:t xml:space="preserve"> </w:t>
      </w:r>
      <w:r w:rsidR="006118A5">
        <w:rPr>
          <w:rFonts w:asciiTheme="minorHAnsi" w:hAnsiTheme="minorHAnsi"/>
        </w:rPr>
        <w:t>above</w:t>
      </w:r>
      <w:r w:rsidR="00C236E4">
        <w:rPr>
          <w:rFonts w:asciiTheme="minorHAnsi" w:hAnsiTheme="minorHAnsi"/>
        </w:rPr>
        <w:t xml:space="preserve"> would</w:t>
      </w:r>
      <w:r>
        <w:rPr>
          <w:rFonts w:asciiTheme="minorHAnsi" w:hAnsiTheme="minorHAnsi"/>
        </w:rPr>
        <w:t xml:space="preserve"> also</w:t>
      </w:r>
      <w:r w:rsidR="00C236E4">
        <w:rPr>
          <w:rFonts w:asciiTheme="minorHAnsi" w:hAnsiTheme="minorHAnsi"/>
        </w:rPr>
        <w:t xml:space="preserve"> apply.</w:t>
      </w:r>
    </w:p>
    <w:p w:rsidR="00CE7DDA" w:rsidRPr="00E7305D" w:rsidRDefault="00A20D77" w:rsidP="0062442C">
      <w:pPr>
        <w:pStyle w:val="Heading2"/>
        <w:jc w:val="left"/>
        <w:rPr>
          <w:rStyle w:val="Heading2Char"/>
          <w:b/>
          <w:bCs/>
        </w:rPr>
      </w:pPr>
      <w:bookmarkStart w:id="39" w:name="_Toc505333481"/>
      <w:r w:rsidRPr="00E7305D">
        <w:rPr>
          <w:rStyle w:val="Heading2Char"/>
          <w:b/>
        </w:rPr>
        <w:t>Option 2</w:t>
      </w:r>
      <w:r w:rsidR="00CE7DDA" w:rsidRPr="00E7305D">
        <w:rPr>
          <w:rStyle w:val="Heading2Char"/>
          <w:b/>
        </w:rPr>
        <w:t xml:space="preserve"> – </w:t>
      </w:r>
      <w:r w:rsidR="00CE7DDA" w:rsidRPr="00E7305D">
        <w:rPr>
          <w:rStyle w:val="Heading2Char"/>
          <w:b/>
        </w:rPr>
        <w:tab/>
      </w:r>
      <w:r w:rsidR="00317CFE">
        <w:rPr>
          <w:rStyle w:val="Heading2Char"/>
          <w:b/>
        </w:rPr>
        <w:t xml:space="preserve">DtS </w:t>
      </w:r>
      <w:r w:rsidR="00941D28">
        <w:rPr>
          <w:rStyle w:val="Heading2Char"/>
          <w:b/>
        </w:rPr>
        <w:t>Compliance</w:t>
      </w:r>
      <w:r w:rsidR="00317CFE">
        <w:rPr>
          <w:rStyle w:val="Heading2Char"/>
          <w:b/>
        </w:rPr>
        <w:t xml:space="preserve"> </w:t>
      </w:r>
      <w:r w:rsidR="00507C63">
        <w:rPr>
          <w:rStyle w:val="Heading2Char"/>
          <w:b/>
        </w:rPr>
        <w:t>U</w:t>
      </w:r>
      <w:r w:rsidR="00317CFE">
        <w:rPr>
          <w:rStyle w:val="Heading2Char"/>
          <w:b/>
        </w:rPr>
        <w:t xml:space="preserve">sing </w:t>
      </w:r>
      <w:r w:rsidR="00915B0A">
        <w:rPr>
          <w:rStyle w:val="Heading2Char"/>
          <w:b/>
        </w:rPr>
        <w:t>S</w:t>
      </w:r>
      <w:r w:rsidR="00CE7DDA" w:rsidRPr="00E7305D">
        <w:rPr>
          <w:rStyle w:val="Heading2Char"/>
          <w:b/>
        </w:rPr>
        <w:t xml:space="preserve">prinkler </w:t>
      </w:r>
      <w:r w:rsidR="00915B0A">
        <w:rPr>
          <w:rStyle w:val="Heading2Char"/>
          <w:b/>
        </w:rPr>
        <w:t>P</w:t>
      </w:r>
      <w:r w:rsidR="00CE7DDA" w:rsidRPr="00E7305D">
        <w:rPr>
          <w:rStyle w:val="Heading2Char"/>
          <w:b/>
        </w:rPr>
        <w:t>rotection</w:t>
      </w:r>
      <w:bookmarkEnd w:id="39"/>
      <w:r w:rsidR="007A1CC0" w:rsidRPr="007A1CC0">
        <w:rPr>
          <w:rStyle w:val="Heading2Char"/>
          <w:b/>
        </w:rPr>
        <w:t xml:space="preserve"> </w:t>
      </w:r>
      <w:r w:rsidR="007A1CC0">
        <w:rPr>
          <w:rStyle w:val="Heading2Char"/>
          <w:b/>
        </w:rPr>
        <w:t>as an Alternative</w:t>
      </w:r>
    </w:p>
    <w:p w:rsidR="00D67600" w:rsidRDefault="00EF09AF" w:rsidP="0062442C">
      <w:pPr>
        <w:spacing w:before="240"/>
        <w:rPr>
          <w:rFonts w:asciiTheme="minorHAnsi" w:hAnsiTheme="minorHAnsi"/>
        </w:rPr>
      </w:pPr>
      <w:r>
        <w:rPr>
          <w:rFonts w:asciiTheme="minorHAnsi" w:hAnsiTheme="minorHAnsi"/>
        </w:rPr>
        <w:t xml:space="preserve">This option would amend the current DtS </w:t>
      </w:r>
      <w:r w:rsidR="00917092">
        <w:rPr>
          <w:rFonts w:asciiTheme="minorHAnsi" w:hAnsiTheme="minorHAnsi"/>
        </w:rPr>
        <w:t>P</w:t>
      </w:r>
      <w:r>
        <w:rPr>
          <w:rFonts w:asciiTheme="minorHAnsi" w:hAnsiTheme="minorHAnsi"/>
        </w:rPr>
        <w:t>rovisions to i</w:t>
      </w:r>
      <w:r w:rsidR="00CE7DDA" w:rsidRPr="009601D3">
        <w:rPr>
          <w:rFonts w:asciiTheme="minorHAnsi" w:hAnsiTheme="minorHAnsi"/>
        </w:rPr>
        <w:t xml:space="preserve">nclude </w:t>
      </w:r>
      <w:r w:rsidR="00F72B94" w:rsidRPr="009601D3">
        <w:rPr>
          <w:rFonts w:asciiTheme="minorHAnsi" w:hAnsiTheme="minorHAnsi"/>
        </w:rPr>
        <w:t>as a</w:t>
      </w:r>
      <w:r w:rsidR="003A4D17">
        <w:rPr>
          <w:rFonts w:asciiTheme="minorHAnsi" w:hAnsiTheme="minorHAnsi"/>
        </w:rPr>
        <w:t xml:space="preserve"> new </w:t>
      </w:r>
      <w:r w:rsidR="00003D47">
        <w:rPr>
          <w:rFonts w:asciiTheme="minorHAnsi" w:hAnsiTheme="minorHAnsi"/>
        </w:rPr>
        <w:t>(</w:t>
      </w:r>
      <w:r w:rsidR="00F72B94" w:rsidRPr="009601D3">
        <w:rPr>
          <w:rFonts w:asciiTheme="minorHAnsi" w:hAnsiTheme="minorHAnsi"/>
        </w:rPr>
        <w:t>alternative</w:t>
      </w:r>
      <w:r w:rsidR="003A4D17" w:rsidRPr="003A4D17">
        <w:rPr>
          <w:rFonts w:asciiTheme="minorHAnsi" w:hAnsiTheme="minorHAnsi"/>
        </w:rPr>
        <w:t xml:space="preserve"> </w:t>
      </w:r>
      <w:r w:rsidR="003A4D17" w:rsidRPr="009601D3">
        <w:rPr>
          <w:rFonts w:asciiTheme="minorHAnsi" w:hAnsiTheme="minorHAnsi"/>
        </w:rPr>
        <w:t>DtS</w:t>
      </w:r>
      <w:r w:rsidR="00003D47">
        <w:rPr>
          <w:rFonts w:asciiTheme="minorHAnsi" w:hAnsiTheme="minorHAnsi"/>
        </w:rPr>
        <w:t>)</w:t>
      </w:r>
      <w:r w:rsidR="009C42A3">
        <w:rPr>
          <w:rFonts w:asciiTheme="minorHAnsi" w:hAnsiTheme="minorHAnsi"/>
        </w:rPr>
        <w:t>,</w:t>
      </w:r>
      <w:r w:rsidR="004E2F40">
        <w:rPr>
          <w:rFonts w:asciiTheme="minorHAnsi" w:hAnsiTheme="minorHAnsi"/>
        </w:rPr>
        <w:t xml:space="preserve"> </w:t>
      </w:r>
      <w:r w:rsidR="009C42A3">
        <w:rPr>
          <w:rFonts w:asciiTheme="minorHAnsi" w:hAnsiTheme="minorHAnsi"/>
        </w:rPr>
        <w:t>the option</w:t>
      </w:r>
      <w:r w:rsidR="003A4D17">
        <w:rPr>
          <w:rFonts w:asciiTheme="minorHAnsi" w:hAnsiTheme="minorHAnsi"/>
        </w:rPr>
        <w:t xml:space="preserve"> </w:t>
      </w:r>
      <w:r w:rsidR="009C42A3">
        <w:rPr>
          <w:rFonts w:asciiTheme="minorHAnsi" w:hAnsiTheme="minorHAnsi"/>
        </w:rPr>
        <w:t xml:space="preserve">to fire </w:t>
      </w:r>
      <w:r w:rsidR="00F72B94" w:rsidRPr="009601D3">
        <w:rPr>
          <w:rFonts w:asciiTheme="minorHAnsi" w:hAnsiTheme="minorHAnsi"/>
        </w:rPr>
        <w:t>sprinkler protect Class 2 and 3 buildings below 25</w:t>
      </w:r>
      <w:r w:rsidR="00915B0A">
        <w:rPr>
          <w:rFonts w:asciiTheme="minorHAnsi" w:hAnsiTheme="minorHAnsi"/>
        </w:rPr>
        <w:t xml:space="preserve"> </w:t>
      </w:r>
      <w:r w:rsidR="00F72B94" w:rsidRPr="009601D3">
        <w:rPr>
          <w:rFonts w:asciiTheme="minorHAnsi" w:hAnsiTheme="minorHAnsi"/>
        </w:rPr>
        <w:t xml:space="preserve">m in effective height to </w:t>
      </w:r>
      <w:r w:rsidR="0010774F" w:rsidRPr="009601D3">
        <w:rPr>
          <w:rFonts w:asciiTheme="minorHAnsi" w:hAnsiTheme="minorHAnsi"/>
        </w:rPr>
        <w:t xml:space="preserve">AS 2118.1, FPAA 101D and FPAA 101H, </w:t>
      </w:r>
      <w:r w:rsidR="00F72B94" w:rsidRPr="009601D3">
        <w:rPr>
          <w:rFonts w:asciiTheme="minorHAnsi" w:hAnsiTheme="minorHAnsi"/>
        </w:rPr>
        <w:t>with proportional concessions to o</w:t>
      </w:r>
      <w:r w:rsidR="00CE7DDA" w:rsidRPr="009601D3">
        <w:rPr>
          <w:rFonts w:asciiTheme="minorHAnsi" w:hAnsiTheme="minorHAnsi"/>
        </w:rPr>
        <w:t>ther fire safety features (offsets)</w:t>
      </w:r>
      <w:r w:rsidR="0065033A">
        <w:rPr>
          <w:rFonts w:asciiTheme="minorHAnsi" w:hAnsiTheme="minorHAnsi"/>
        </w:rPr>
        <w:t xml:space="preserve"> in accordance with </w:t>
      </w:r>
      <w:r w:rsidR="001D006B">
        <w:rPr>
          <w:rFonts w:asciiTheme="minorHAnsi" w:hAnsiTheme="minorHAnsi"/>
        </w:rPr>
        <w:t>the specifications</w:t>
      </w:r>
      <w:r w:rsidR="00D67600">
        <w:rPr>
          <w:rFonts w:asciiTheme="minorHAnsi" w:hAnsiTheme="minorHAnsi"/>
        </w:rPr>
        <w:t xml:space="preserve"> and </w:t>
      </w:r>
      <w:r w:rsidR="0065033A">
        <w:rPr>
          <w:rFonts w:asciiTheme="minorHAnsi" w:hAnsiTheme="minorHAnsi"/>
        </w:rPr>
        <w:t>any conditions</w:t>
      </w:r>
      <w:r w:rsidR="002C6A47">
        <w:rPr>
          <w:rFonts w:asciiTheme="minorHAnsi" w:hAnsiTheme="minorHAnsi"/>
        </w:rPr>
        <w:t xml:space="preserve"> described in Table 5</w:t>
      </w:r>
      <w:r w:rsidR="00CE7DDA" w:rsidRPr="009601D3">
        <w:rPr>
          <w:rFonts w:asciiTheme="minorHAnsi" w:hAnsiTheme="minorHAnsi"/>
        </w:rPr>
        <w:t>.</w:t>
      </w:r>
      <w:r>
        <w:rPr>
          <w:rFonts w:asciiTheme="minorHAnsi" w:hAnsiTheme="minorHAnsi"/>
        </w:rPr>
        <w:t xml:space="preserve"> </w:t>
      </w:r>
    </w:p>
    <w:p w:rsidR="00884694" w:rsidRDefault="00915B0A" w:rsidP="00274AF1">
      <w:pPr>
        <w:rPr>
          <w:rFonts w:asciiTheme="minorHAnsi" w:hAnsiTheme="minorHAnsi"/>
        </w:rPr>
      </w:pPr>
      <w:r>
        <w:rPr>
          <w:rFonts w:asciiTheme="minorHAnsi" w:hAnsiTheme="minorHAnsi"/>
        </w:rPr>
        <w:t>Under this option, t</w:t>
      </w:r>
      <w:r w:rsidR="00EF09AF">
        <w:rPr>
          <w:rFonts w:asciiTheme="minorHAnsi" w:hAnsiTheme="minorHAnsi"/>
        </w:rPr>
        <w:t xml:space="preserve">he current DtS </w:t>
      </w:r>
      <w:r w:rsidR="0067076F">
        <w:rPr>
          <w:rFonts w:asciiTheme="minorHAnsi" w:hAnsiTheme="minorHAnsi"/>
        </w:rPr>
        <w:t>P</w:t>
      </w:r>
      <w:r w:rsidR="00EF09AF">
        <w:rPr>
          <w:rFonts w:asciiTheme="minorHAnsi" w:hAnsiTheme="minorHAnsi"/>
        </w:rPr>
        <w:t>rovisions</w:t>
      </w:r>
      <w:r w:rsidR="006118A5">
        <w:rPr>
          <w:rFonts w:asciiTheme="minorHAnsi" w:hAnsiTheme="minorHAnsi"/>
        </w:rPr>
        <w:t xml:space="preserve"> </w:t>
      </w:r>
      <w:r>
        <w:rPr>
          <w:rFonts w:asciiTheme="minorHAnsi" w:hAnsiTheme="minorHAnsi"/>
        </w:rPr>
        <w:t>(no sprinkler protection)</w:t>
      </w:r>
      <w:r w:rsidR="00EF09AF">
        <w:rPr>
          <w:rFonts w:asciiTheme="minorHAnsi" w:hAnsiTheme="minorHAnsi"/>
        </w:rPr>
        <w:t xml:space="preserve"> would be retained as an option to meet the NCC </w:t>
      </w:r>
      <w:r w:rsidR="0067076F">
        <w:rPr>
          <w:rFonts w:asciiTheme="minorHAnsi" w:hAnsiTheme="minorHAnsi"/>
        </w:rPr>
        <w:t>Performance R</w:t>
      </w:r>
      <w:r w:rsidR="00EF09AF">
        <w:rPr>
          <w:rFonts w:asciiTheme="minorHAnsi" w:hAnsiTheme="minorHAnsi"/>
        </w:rPr>
        <w:t>equirements relating to fire safety.</w:t>
      </w:r>
    </w:p>
    <w:tbl>
      <w:tblPr>
        <w:tblStyle w:val="TableGrid"/>
        <w:tblW w:w="0" w:type="auto"/>
        <w:tblBorders>
          <w:insideH w:val="none" w:sz="0" w:space="0" w:color="auto"/>
          <w:insideV w:val="none" w:sz="0" w:space="0" w:color="auto"/>
        </w:tblBorders>
        <w:shd w:val="clear" w:color="auto" w:fill="BFBFBF" w:themeFill="background1" w:themeFillShade="BF"/>
        <w:tblLook w:val="0480" w:firstRow="0" w:lastRow="0" w:firstColumn="1" w:lastColumn="0" w:noHBand="0" w:noVBand="1"/>
        <w:tblCaption w:val="Consultation Question"/>
      </w:tblPr>
      <w:tblGrid>
        <w:gridCol w:w="9016"/>
      </w:tblGrid>
      <w:tr w:rsidR="00F25003" w:rsidTr="00CF155C">
        <w:trPr>
          <w:tblHeader/>
        </w:trPr>
        <w:tc>
          <w:tcPr>
            <w:tcW w:w="9016" w:type="dxa"/>
            <w:shd w:val="clear" w:color="auto" w:fill="BFBFBF" w:themeFill="background1" w:themeFillShade="BF"/>
          </w:tcPr>
          <w:p w:rsidR="00F25003" w:rsidRPr="00F25003" w:rsidRDefault="00122A8E" w:rsidP="00122A8E">
            <w:pPr>
              <w:pStyle w:val="ListParagraph"/>
              <w:spacing w:before="120" w:after="120"/>
              <w:ind w:left="0"/>
              <w:rPr>
                <w:rFonts w:asciiTheme="majorHAnsi" w:eastAsiaTheme="majorEastAsia" w:hAnsiTheme="majorHAnsi" w:cstheme="majorBidi"/>
                <w:b/>
                <w:bCs/>
                <w:color w:val="002060"/>
                <w:sz w:val="40"/>
                <w:szCs w:val="28"/>
              </w:rPr>
            </w:pPr>
            <w:r w:rsidRPr="00122A8E">
              <w:rPr>
                <w:rFonts w:asciiTheme="minorHAnsi" w:hAnsiTheme="minorHAnsi"/>
              </w:rPr>
              <w:t xml:space="preserve">The Consultation RIS asked stakeholders whether they believed there were any other feasible options. </w:t>
            </w:r>
          </w:p>
        </w:tc>
      </w:tr>
    </w:tbl>
    <w:p w:rsidR="009747E2" w:rsidRDefault="009747E2" w:rsidP="009747E2">
      <w:pPr>
        <w:spacing w:after="0"/>
        <w:rPr>
          <w:rFonts w:asciiTheme="minorHAnsi" w:hAnsiTheme="minorHAnsi"/>
        </w:rPr>
      </w:pPr>
      <w:bookmarkStart w:id="40" w:name="_Toc505333482"/>
    </w:p>
    <w:p w:rsidR="00971FDA" w:rsidRPr="00FD39C2" w:rsidRDefault="00122A8E" w:rsidP="00971FDA">
      <w:pPr>
        <w:rPr>
          <w:rFonts w:asciiTheme="minorHAnsi" w:hAnsiTheme="minorHAnsi"/>
        </w:rPr>
      </w:pPr>
      <w:r w:rsidRPr="00FD39C2">
        <w:rPr>
          <w:rFonts w:asciiTheme="minorHAnsi" w:hAnsiTheme="minorHAnsi"/>
        </w:rPr>
        <w:t>Three stakeholders advocated</w:t>
      </w:r>
      <w:r w:rsidR="00CE32BF">
        <w:rPr>
          <w:rFonts w:asciiTheme="minorHAnsi" w:hAnsiTheme="minorHAnsi"/>
        </w:rPr>
        <w:t xml:space="preserve"> for referencing </w:t>
      </w:r>
      <w:r w:rsidR="001D006B">
        <w:rPr>
          <w:rFonts w:asciiTheme="minorHAnsi" w:hAnsiTheme="minorHAnsi"/>
        </w:rPr>
        <w:t xml:space="preserve">AS </w:t>
      </w:r>
      <w:r w:rsidR="001D006B" w:rsidRPr="00FD39C2">
        <w:rPr>
          <w:rFonts w:asciiTheme="minorHAnsi" w:hAnsiTheme="minorHAnsi"/>
        </w:rPr>
        <w:t xml:space="preserve">2118 </w:t>
      </w:r>
      <w:r w:rsidR="001D006B">
        <w:rPr>
          <w:rFonts w:asciiTheme="minorHAnsi" w:hAnsiTheme="minorHAnsi"/>
        </w:rPr>
        <w:t xml:space="preserve">Parts 4 and 6 as alternatives to </w:t>
      </w:r>
      <w:r w:rsidR="009C42A3">
        <w:rPr>
          <w:rFonts w:asciiTheme="minorHAnsi" w:hAnsiTheme="minorHAnsi"/>
        </w:rPr>
        <w:t xml:space="preserve">the </w:t>
      </w:r>
      <w:r w:rsidR="001D006B">
        <w:rPr>
          <w:rFonts w:asciiTheme="minorHAnsi" w:hAnsiTheme="minorHAnsi"/>
        </w:rPr>
        <w:t xml:space="preserve">FPAA </w:t>
      </w:r>
      <w:r w:rsidR="009C42A3">
        <w:rPr>
          <w:rFonts w:asciiTheme="minorHAnsi" w:hAnsiTheme="minorHAnsi"/>
        </w:rPr>
        <w:t xml:space="preserve">fire </w:t>
      </w:r>
      <w:r w:rsidR="001D006B">
        <w:rPr>
          <w:rFonts w:asciiTheme="minorHAnsi" w:hAnsiTheme="minorHAnsi"/>
        </w:rPr>
        <w:t>sprinkler specifications</w:t>
      </w:r>
      <w:r w:rsidR="00971FDA" w:rsidRPr="00FD39C2">
        <w:rPr>
          <w:rFonts w:asciiTheme="minorHAnsi" w:hAnsiTheme="minorHAnsi"/>
        </w:rPr>
        <w:t xml:space="preserve">. </w:t>
      </w:r>
      <w:r w:rsidR="009E4108">
        <w:rPr>
          <w:rFonts w:asciiTheme="minorHAnsi" w:hAnsiTheme="minorHAnsi"/>
        </w:rPr>
        <w:t xml:space="preserve">These Australian Standards </w:t>
      </w:r>
      <w:r w:rsidR="00E764BF">
        <w:rPr>
          <w:rFonts w:asciiTheme="minorHAnsi" w:hAnsiTheme="minorHAnsi"/>
        </w:rPr>
        <w:t xml:space="preserve">pertain to </w:t>
      </w:r>
      <w:r w:rsidR="009C42A3">
        <w:rPr>
          <w:rFonts w:asciiTheme="minorHAnsi" w:hAnsiTheme="minorHAnsi"/>
        </w:rPr>
        <w:t xml:space="preserve">fire </w:t>
      </w:r>
      <w:r w:rsidR="00041CE0">
        <w:rPr>
          <w:rFonts w:asciiTheme="minorHAnsi" w:hAnsiTheme="minorHAnsi"/>
        </w:rPr>
        <w:t xml:space="preserve">sprinkler protection for accommodation buildings not exceeding four storeys in height (AS 2118.4-2012) and combined </w:t>
      </w:r>
      <w:r w:rsidR="00694D66">
        <w:rPr>
          <w:rFonts w:asciiTheme="minorHAnsi" w:hAnsiTheme="minorHAnsi"/>
        </w:rPr>
        <w:t xml:space="preserve">fire </w:t>
      </w:r>
      <w:r w:rsidR="00041CE0">
        <w:rPr>
          <w:rFonts w:asciiTheme="minorHAnsi" w:hAnsiTheme="minorHAnsi"/>
        </w:rPr>
        <w:t>sprinkler and hydrant systems in multi</w:t>
      </w:r>
      <w:r w:rsidR="00694D66">
        <w:rPr>
          <w:rFonts w:asciiTheme="minorHAnsi" w:hAnsiTheme="minorHAnsi"/>
        </w:rPr>
        <w:t>-</w:t>
      </w:r>
      <w:r w:rsidR="00041CE0">
        <w:rPr>
          <w:rFonts w:asciiTheme="minorHAnsi" w:hAnsiTheme="minorHAnsi"/>
        </w:rPr>
        <w:t xml:space="preserve">storey buildings (AS 2118.6-2012).  </w:t>
      </w:r>
    </w:p>
    <w:p w:rsidR="007B26E2" w:rsidRDefault="00971FDA" w:rsidP="00971FDA">
      <w:pPr>
        <w:rPr>
          <w:rFonts w:asciiTheme="minorHAnsi" w:hAnsiTheme="minorHAnsi"/>
        </w:rPr>
      </w:pPr>
      <w:r w:rsidRPr="00FD39C2">
        <w:rPr>
          <w:rFonts w:asciiTheme="minorHAnsi" w:hAnsiTheme="minorHAnsi"/>
        </w:rPr>
        <w:t xml:space="preserve">Two </w:t>
      </w:r>
      <w:r w:rsidR="006E38E9">
        <w:rPr>
          <w:rFonts w:asciiTheme="minorHAnsi" w:hAnsiTheme="minorHAnsi"/>
        </w:rPr>
        <w:t>f</w:t>
      </w:r>
      <w:r w:rsidRPr="00FD39C2">
        <w:rPr>
          <w:rFonts w:asciiTheme="minorHAnsi" w:hAnsiTheme="minorHAnsi"/>
        </w:rPr>
        <w:t xml:space="preserve">ire </w:t>
      </w:r>
      <w:r w:rsidR="006E38E9">
        <w:rPr>
          <w:rFonts w:asciiTheme="minorHAnsi" w:hAnsiTheme="minorHAnsi"/>
        </w:rPr>
        <w:t>s</w:t>
      </w:r>
      <w:r w:rsidRPr="00FD39C2">
        <w:rPr>
          <w:rFonts w:asciiTheme="minorHAnsi" w:hAnsiTheme="minorHAnsi"/>
        </w:rPr>
        <w:t xml:space="preserve">afety </w:t>
      </w:r>
      <w:r w:rsidR="006E38E9">
        <w:rPr>
          <w:rFonts w:asciiTheme="minorHAnsi" w:hAnsiTheme="minorHAnsi"/>
        </w:rPr>
        <w:t>e</w:t>
      </w:r>
      <w:r w:rsidRPr="00FD39C2">
        <w:rPr>
          <w:rFonts w:asciiTheme="minorHAnsi" w:hAnsiTheme="minorHAnsi"/>
        </w:rPr>
        <w:t xml:space="preserve">ngineers </w:t>
      </w:r>
      <w:r w:rsidR="006E38E9">
        <w:rPr>
          <w:rFonts w:asciiTheme="minorHAnsi" w:hAnsiTheme="minorHAnsi"/>
        </w:rPr>
        <w:t xml:space="preserve">separately </w:t>
      </w:r>
      <w:r w:rsidRPr="00FD39C2">
        <w:rPr>
          <w:rFonts w:asciiTheme="minorHAnsi" w:hAnsiTheme="minorHAnsi"/>
        </w:rPr>
        <w:t xml:space="preserve">suggested intervention relating to increased </w:t>
      </w:r>
      <w:r w:rsidRPr="00971FDA">
        <w:rPr>
          <w:rFonts w:asciiTheme="minorHAnsi" w:hAnsiTheme="minorHAnsi"/>
        </w:rPr>
        <w:t>ear</w:t>
      </w:r>
      <w:r>
        <w:rPr>
          <w:rFonts w:asciiTheme="minorHAnsi" w:hAnsiTheme="minorHAnsi"/>
        </w:rPr>
        <w:t>ly</w:t>
      </w:r>
      <w:r w:rsidRPr="00FD39C2">
        <w:rPr>
          <w:rFonts w:asciiTheme="minorHAnsi" w:hAnsiTheme="minorHAnsi"/>
        </w:rPr>
        <w:t xml:space="preserve"> warning and evacuation measures</w:t>
      </w:r>
      <w:r>
        <w:rPr>
          <w:rFonts w:asciiTheme="minorHAnsi" w:hAnsiTheme="minorHAnsi"/>
        </w:rPr>
        <w:t xml:space="preserve"> could be implemented</w:t>
      </w:r>
      <w:r w:rsidR="00694D66">
        <w:rPr>
          <w:rFonts w:asciiTheme="minorHAnsi" w:hAnsiTheme="minorHAnsi"/>
        </w:rPr>
        <w:t>. This would</w:t>
      </w:r>
      <w:r>
        <w:rPr>
          <w:rFonts w:asciiTheme="minorHAnsi" w:hAnsiTheme="minorHAnsi"/>
        </w:rPr>
        <w:t xml:space="preserve"> plac</w:t>
      </w:r>
      <w:r w:rsidR="00694D66">
        <w:rPr>
          <w:rFonts w:asciiTheme="minorHAnsi" w:hAnsiTheme="minorHAnsi"/>
        </w:rPr>
        <w:t>e</w:t>
      </w:r>
      <w:r>
        <w:rPr>
          <w:rFonts w:asciiTheme="minorHAnsi" w:hAnsiTheme="minorHAnsi"/>
        </w:rPr>
        <w:t xml:space="preserve"> greater emphasis </w:t>
      </w:r>
      <w:r w:rsidR="00C72E52">
        <w:rPr>
          <w:rFonts w:asciiTheme="minorHAnsi" w:hAnsiTheme="minorHAnsi"/>
        </w:rPr>
        <w:t xml:space="preserve">on fire detection and </w:t>
      </w:r>
      <w:r w:rsidR="00C72E52">
        <w:rPr>
          <w:rFonts w:asciiTheme="minorHAnsi" w:hAnsiTheme="minorHAnsi"/>
        </w:rPr>
        <w:lastRenderedPageBreak/>
        <w:t>fire brigade monitoring</w:t>
      </w:r>
      <w:r w:rsidR="006E38E9">
        <w:rPr>
          <w:rFonts w:asciiTheme="minorHAnsi" w:hAnsiTheme="minorHAnsi"/>
        </w:rPr>
        <w:t>. It was</w:t>
      </w:r>
      <w:r w:rsidR="002D60DA">
        <w:rPr>
          <w:rFonts w:asciiTheme="minorHAnsi" w:hAnsiTheme="minorHAnsi"/>
        </w:rPr>
        <w:t xml:space="preserve"> also </w:t>
      </w:r>
      <w:r w:rsidR="0066137C">
        <w:rPr>
          <w:rFonts w:asciiTheme="minorHAnsi" w:hAnsiTheme="minorHAnsi"/>
        </w:rPr>
        <w:t>propos</w:t>
      </w:r>
      <w:r w:rsidR="006E38E9">
        <w:rPr>
          <w:rFonts w:asciiTheme="minorHAnsi" w:hAnsiTheme="minorHAnsi"/>
        </w:rPr>
        <w:t>ed</w:t>
      </w:r>
      <w:r w:rsidR="004215B0">
        <w:rPr>
          <w:rFonts w:asciiTheme="minorHAnsi" w:hAnsiTheme="minorHAnsi"/>
        </w:rPr>
        <w:t xml:space="preserve"> that this could be combined with emergency evacuation and training requirements for occupants of Class 2</w:t>
      </w:r>
      <w:r w:rsidR="00694D66">
        <w:rPr>
          <w:rFonts w:asciiTheme="minorHAnsi" w:hAnsiTheme="minorHAnsi"/>
        </w:rPr>
        <w:t xml:space="preserve"> and 3</w:t>
      </w:r>
      <w:r w:rsidR="004215B0">
        <w:rPr>
          <w:rFonts w:asciiTheme="minorHAnsi" w:hAnsiTheme="minorHAnsi"/>
        </w:rPr>
        <w:t xml:space="preserve"> buildings. </w:t>
      </w:r>
    </w:p>
    <w:p w:rsidR="00CC3058" w:rsidRDefault="00CC3058" w:rsidP="00971FDA">
      <w:pPr>
        <w:rPr>
          <w:rFonts w:asciiTheme="minorHAnsi" w:hAnsiTheme="minorHAnsi"/>
        </w:rPr>
      </w:pPr>
      <w:r>
        <w:rPr>
          <w:rFonts w:asciiTheme="minorHAnsi" w:hAnsiTheme="minorHAnsi"/>
        </w:rPr>
        <w:t xml:space="preserve">Referencing AS 2118 Part 4 is not possible due to its limited application to residential buildings of up to </w:t>
      </w:r>
      <w:r w:rsidR="007A1CC0">
        <w:rPr>
          <w:rFonts w:asciiTheme="minorHAnsi" w:hAnsiTheme="minorHAnsi"/>
        </w:rPr>
        <w:t>four</w:t>
      </w:r>
      <w:r>
        <w:rPr>
          <w:rFonts w:asciiTheme="minorHAnsi" w:hAnsiTheme="minorHAnsi"/>
        </w:rPr>
        <w:t xml:space="preserve"> storeys in height. This </w:t>
      </w:r>
      <w:r w:rsidR="007A1CC0">
        <w:rPr>
          <w:rFonts w:asciiTheme="minorHAnsi" w:hAnsiTheme="minorHAnsi"/>
        </w:rPr>
        <w:t xml:space="preserve">limitation </w:t>
      </w:r>
      <w:r>
        <w:rPr>
          <w:rFonts w:asciiTheme="minorHAnsi" w:hAnsiTheme="minorHAnsi"/>
        </w:rPr>
        <w:t xml:space="preserve">would </w:t>
      </w:r>
      <w:r w:rsidR="007A1CC0">
        <w:rPr>
          <w:rFonts w:asciiTheme="minorHAnsi" w:hAnsiTheme="minorHAnsi"/>
        </w:rPr>
        <w:t xml:space="preserve">prevent </w:t>
      </w:r>
      <w:r>
        <w:rPr>
          <w:rFonts w:asciiTheme="minorHAnsi" w:hAnsiTheme="minorHAnsi"/>
        </w:rPr>
        <w:t xml:space="preserve">its use in the majority of Class 2 and 3 buildings within scope of this proposal. </w:t>
      </w:r>
    </w:p>
    <w:p w:rsidR="009E4108" w:rsidRDefault="009E4108" w:rsidP="00971FDA">
      <w:pPr>
        <w:rPr>
          <w:rFonts w:asciiTheme="minorHAnsi" w:hAnsiTheme="minorHAnsi"/>
        </w:rPr>
      </w:pPr>
      <w:r>
        <w:rPr>
          <w:rFonts w:asciiTheme="minorHAnsi" w:hAnsiTheme="minorHAnsi"/>
        </w:rPr>
        <w:t>The proposed referencing</w:t>
      </w:r>
      <w:r w:rsidR="00694D66">
        <w:rPr>
          <w:rFonts w:asciiTheme="minorHAnsi" w:hAnsiTheme="minorHAnsi"/>
        </w:rPr>
        <w:t xml:space="preserve"> of AS 2118 Part</w:t>
      </w:r>
      <w:r>
        <w:rPr>
          <w:rFonts w:asciiTheme="minorHAnsi" w:hAnsiTheme="minorHAnsi"/>
        </w:rPr>
        <w:t xml:space="preserve"> 6 does not acknowledge the evidence in the Consultation RIS that </w:t>
      </w:r>
      <w:r w:rsidR="00E01633">
        <w:rPr>
          <w:rFonts w:asciiTheme="minorHAnsi" w:hAnsiTheme="minorHAnsi"/>
        </w:rPr>
        <w:t xml:space="preserve">AS </w:t>
      </w:r>
      <w:r w:rsidR="00E01633" w:rsidRPr="006E38E9">
        <w:rPr>
          <w:rFonts w:asciiTheme="minorHAnsi" w:hAnsiTheme="minorHAnsi"/>
        </w:rPr>
        <w:t xml:space="preserve">2118 Part </w:t>
      </w:r>
      <w:r w:rsidR="002D60DA" w:rsidRPr="006E38E9">
        <w:rPr>
          <w:rFonts w:asciiTheme="minorHAnsi" w:hAnsiTheme="minorHAnsi"/>
        </w:rPr>
        <w:t>1 is</w:t>
      </w:r>
      <w:r w:rsidRPr="006E38E9">
        <w:rPr>
          <w:rFonts w:asciiTheme="minorHAnsi" w:hAnsiTheme="minorHAnsi"/>
        </w:rPr>
        <w:t xml:space="preserve"> cost prohibitive to install and routinely service for buildings less than 25 metres in height. </w:t>
      </w:r>
      <w:r w:rsidR="006E38E9" w:rsidRPr="006E38E9">
        <w:rPr>
          <w:rFonts w:asciiTheme="minorHAnsi" w:hAnsiTheme="minorHAnsi"/>
        </w:rPr>
        <w:t>The</w:t>
      </w:r>
      <w:r w:rsidR="00E01633" w:rsidRPr="006E38E9">
        <w:rPr>
          <w:rFonts w:asciiTheme="minorHAnsi" w:hAnsiTheme="minorHAnsi"/>
        </w:rPr>
        <w:t xml:space="preserve"> costs of requiring fire sprinklers in accordance with AS 2118.6 </w:t>
      </w:r>
      <w:r w:rsidR="00B63F2D" w:rsidRPr="006E38E9">
        <w:rPr>
          <w:rFonts w:asciiTheme="minorHAnsi" w:hAnsiTheme="minorHAnsi"/>
        </w:rPr>
        <w:t>are</w:t>
      </w:r>
      <w:r w:rsidR="00E01633" w:rsidRPr="006E38E9">
        <w:rPr>
          <w:rFonts w:asciiTheme="minorHAnsi" w:hAnsiTheme="minorHAnsi"/>
        </w:rPr>
        <w:t xml:space="preserve"> </w:t>
      </w:r>
      <w:r w:rsidR="006E38E9" w:rsidRPr="006E38E9">
        <w:rPr>
          <w:rFonts w:asciiTheme="minorHAnsi" w:hAnsiTheme="minorHAnsi"/>
        </w:rPr>
        <w:t xml:space="preserve">driven to a large extent </w:t>
      </w:r>
      <w:r w:rsidR="00694D66">
        <w:rPr>
          <w:rFonts w:asciiTheme="minorHAnsi" w:hAnsiTheme="minorHAnsi"/>
        </w:rPr>
        <w:t>by</w:t>
      </w:r>
      <w:r w:rsidR="006E38E9" w:rsidRPr="006E38E9">
        <w:rPr>
          <w:rFonts w:asciiTheme="minorHAnsi" w:hAnsiTheme="minorHAnsi"/>
        </w:rPr>
        <w:t xml:space="preserve"> the reliance on steel pipe. Therefore, </w:t>
      </w:r>
      <w:r w:rsidR="00401CE1">
        <w:rPr>
          <w:rFonts w:asciiTheme="minorHAnsi" w:hAnsiTheme="minorHAnsi"/>
        </w:rPr>
        <w:t>al</w:t>
      </w:r>
      <w:r w:rsidR="006E38E9" w:rsidRPr="006E38E9">
        <w:rPr>
          <w:rFonts w:asciiTheme="minorHAnsi" w:hAnsiTheme="minorHAnsi"/>
        </w:rPr>
        <w:t>though this option has not been explicitly examined by this Final RIS</w:t>
      </w:r>
      <w:r w:rsidR="00694D66">
        <w:rPr>
          <w:rFonts w:asciiTheme="minorHAnsi" w:hAnsiTheme="minorHAnsi"/>
        </w:rPr>
        <w:t>,</w:t>
      </w:r>
      <w:r w:rsidR="006E38E9" w:rsidRPr="006E38E9">
        <w:rPr>
          <w:rFonts w:asciiTheme="minorHAnsi" w:hAnsiTheme="minorHAnsi"/>
        </w:rPr>
        <w:t xml:space="preserve"> it is </w:t>
      </w:r>
      <w:r w:rsidR="00E01633" w:rsidRPr="006E38E9">
        <w:rPr>
          <w:rFonts w:asciiTheme="minorHAnsi" w:hAnsiTheme="minorHAnsi"/>
        </w:rPr>
        <w:t xml:space="preserve">likely to be comparable to the costs associated with </w:t>
      </w:r>
      <w:r w:rsidR="00694D66">
        <w:rPr>
          <w:rFonts w:asciiTheme="minorHAnsi" w:hAnsiTheme="minorHAnsi"/>
        </w:rPr>
        <w:t xml:space="preserve">the </w:t>
      </w:r>
      <w:r w:rsidR="00E01633" w:rsidRPr="006E38E9">
        <w:rPr>
          <w:rFonts w:asciiTheme="minorHAnsi" w:hAnsiTheme="minorHAnsi"/>
        </w:rPr>
        <w:t>AS 2</w:t>
      </w:r>
      <w:r w:rsidR="006E38E9" w:rsidRPr="006E38E9">
        <w:rPr>
          <w:rFonts w:asciiTheme="minorHAnsi" w:hAnsiTheme="minorHAnsi"/>
        </w:rPr>
        <w:t>1</w:t>
      </w:r>
      <w:r w:rsidR="00E01633" w:rsidRPr="006E38E9">
        <w:rPr>
          <w:rFonts w:asciiTheme="minorHAnsi" w:hAnsiTheme="minorHAnsi"/>
        </w:rPr>
        <w:t>18</w:t>
      </w:r>
      <w:r w:rsidR="006E38E9" w:rsidRPr="006E38E9">
        <w:rPr>
          <w:rFonts w:asciiTheme="minorHAnsi" w:hAnsiTheme="minorHAnsi"/>
        </w:rPr>
        <w:t xml:space="preserve"> Part 1 system</w:t>
      </w:r>
      <w:r w:rsidR="00E01633" w:rsidRPr="006E38E9" w:rsidDel="006E38E9">
        <w:rPr>
          <w:rFonts w:asciiTheme="minorHAnsi" w:hAnsiTheme="minorHAnsi"/>
        </w:rPr>
        <w:t>.</w:t>
      </w:r>
      <w:r w:rsidR="00E01633">
        <w:rPr>
          <w:rFonts w:asciiTheme="minorHAnsi" w:hAnsiTheme="minorHAnsi"/>
        </w:rPr>
        <w:t xml:space="preserve"> </w:t>
      </w:r>
    </w:p>
    <w:p w:rsidR="009747E2" w:rsidRDefault="00C72E52" w:rsidP="00971FDA">
      <w:pPr>
        <w:rPr>
          <w:rFonts w:asciiTheme="minorHAnsi" w:hAnsiTheme="minorHAnsi"/>
        </w:rPr>
      </w:pPr>
      <w:r>
        <w:rPr>
          <w:rFonts w:asciiTheme="minorHAnsi" w:hAnsiTheme="minorHAnsi"/>
        </w:rPr>
        <w:t>The alternative option</w:t>
      </w:r>
      <w:r w:rsidR="009E4108">
        <w:rPr>
          <w:rFonts w:asciiTheme="minorHAnsi" w:hAnsiTheme="minorHAnsi"/>
        </w:rPr>
        <w:t xml:space="preserve"> to include greater early warning and evacuation measures</w:t>
      </w:r>
      <w:r w:rsidR="00286151">
        <w:rPr>
          <w:rFonts w:asciiTheme="minorHAnsi" w:hAnsiTheme="minorHAnsi"/>
        </w:rPr>
        <w:t xml:space="preserve"> is likely</w:t>
      </w:r>
      <w:r>
        <w:rPr>
          <w:rFonts w:asciiTheme="minorHAnsi" w:hAnsiTheme="minorHAnsi"/>
        </w:rPr>
        <w:t xml:space="preserve"> to demonstrate few</w:t>
      </w:r>
      <w:r w:rsidR="007B102F">
        <w:rPr>
          <w:rFonts w:asciiTheme="minorHAnsi" w:hAnsiTheme="minorHAnsi"/>
        </w:rPr>
        <w:t>er</w:t>
      </w:r>
      <w:r>
        <w:rPr>
          <w:rFonts w:asciiTheme="minorHAnsi" w:hAnsiTheme="minorHAnsi"/>
        </w:rPr>
        <w:t xml:space="preserve"> benefits than the options tested and therefore </w:t>
      </w:r>
      <w:r w:rsidR="002A5868">
        <w:rPr>
          <w:rFonts w:asciiTheme="minorHAnsi" w:hAnsiTheme="minorHAnsi"/>
        </w:rPr>
        <w:t xml:space="preserve">have </w:t>
      </w:r>
      <w:r w:rsidR="002D60DA">
        <w:rPr>
          <w:rFonts w:asciiTheme="minorHAnsi" w:hAnsiTheme="minorHAnsi"/>
        </w:rPr>
        <w:t xml:space="preserve">also </w:t>
      </w:r>
      <w:r>
        <w:rPr>
          <w:rFonts w:asciiTheme="minorHAnsi" w:hAnsiTheme="minorHAnsi"/>
        </w:rPr>
        <w:t>not been examined</w:t>
      </w:r>
      <w:r w:rsidR="00A41DEC">
        <w:rPr>
          <w:rFonts w:asciiTheme="minorHAnsi" w:hAnsiTheme="minorHAnsi"/>
        </w:rPr>
        <w:t xml:space="preserve"> by this </w:t>
      </w:r>
      <w:r w:rsidR="002A5868">
        <w:rPr>
          <w:rFonts w:asciiTheme="minorHAnsi" w:hAnsiTheme="minorHAnsi"/>
        </w:rPr>
        <w:t>RIS</w:t>
      </w:r>
      <w:r>
        <w:rPr>
          <w:rFonts w:asciiTheme="minorHAnsi" w:hAnsiTheme="minorHAnsi"/>
        </w:rPr>
        <w:t xml:space="preserve">. </w:t>
      </w:r>
      <w:r w:rsidR="009747E2">
        <w:rPr>
          <w:rFonts w:asciiTheme="minorHAnsi" w:hAnsiTheme="minorHAnsi"/>
        </w:rPr>
        <w:br w:type="page"/>
      </w:r>
    </w:p>
    <w:p w:rsidR="00EB19C9" w:rsidRDefault="00EB19C9" w:rsidP="00EB19C9">
      <w:pPr>
        <w:pStyle w:val="Heading1"/>
      </w:pPr>
      <w:bookmarkStart w:id="41" w:name="_Toc527709100"/>
      <w:r w:rsidRPr="00C63369">
        <w:lastRenderedPageBreak/>
        <w:t>Impact Analysis</w:t>
      </w:r>
      <w:bookmarkEnd w:id="41"/>
    </w:p>
    <w:p w:rsidR="00EB19C9" w:rsidRPr="004639DE" w:rsidRDefault="00EB19C9" w:rsidP="00EB19C9">
      <w:pPr>
        <w:rPr>
          <w:rFonts w:asciiTheme="minorHAnsi" w:hAnsiTheme="minorHAnsi"/>
        </w:rPr>
      </w:pPr>
      <w:r w:rsidRPr="004639DE">
        <w:rPr>
          <w:rFonts w:asciiTheme="minorHAnsi" w:hAnsiTheme="minorHAnsi"/>
        </w:rPr>
        <w:t>This section provides a</w:t>
      </w:r>
      <w:r>
        <w:rPr>
          <w:rFonts w:asciiTheme="minorHAnsi" w:hAnsiTheme="minorHAnsi"/>
        </w:rPr>
        <w:t>n</w:t>
      </w:r>
      <w:r w:rsidRPr="004639DE">
        <w:rPr>
          <w:rFonts w:asciiTheme="minorHAnsi" w:hAnsiTheme="minorHAnsi"/>
        </w:rPr>
        <w:t xml:space="preserve"> assessment of the incremental costs and benefi</w:t>
      </w:r>
      <w:r>
        <w:rPr>
          <w:rFonts w:asciiTheme="minorHAnsi" w:hAnsiTheme="minorHAnsi"/>
        </w:rPr>
        <w:t xml:space="preserve">ts associated with each option when </w:t>
      </w:r>
      <w:r w:rsidRPr="004639DE">
        <w:rPr>
          <w:rFonts w:asciiTheme="minorHAnsi" w:hAnsiTheme="minorHAnsi"/>
        </w:rPr>
        <w:t xml:space="preserve">compared with the status quo baseline. </w:t>
      </w:r>
    </w:p>
    <w:p w:rsidR="00EB19C9" w:rsidRPr="00940260" w:rsidRDefault="00EB19C9" w:rsidP="00EB19C9">
      <w:pPr>
        <w:pStyle w:val="Heading2"/>
        <w:rPr>
          <w:b w:val="0"/>
        </w:rPr>
      </w:pPr>
      <w:r w:rsidRPr="00940260">
        <w:t>Groups Impacted by the Options</w:t>
      </w:r>
    </w:p>
    <w:p w:rsidR="00EB19C9" w:rsidRPr="004639DE" w:rsidRDefault="00EB19C9" w:rsidP="00EB19C9">
      <w:pPr>
        <w:rPr>
          <w:rFonts w:asciiTheme="minorHAnsi" w:hAnsiTheme="minorHAnsi"/>
        </w:rPr>
      </w:pPr>
      <w:r w:rsidRPr="004639DE">
        <w:rPr>
          <w:rFonts w:asciiTheme="minorHAnsi" w:hAnsiTheme="minorHAnsi"/>
        </w:rPr>
        <w:t>Th</w:t>
      </w:r>
      <w:r>
        <w:rPr>
          <w:rFonts w:asciiTheme="minorHAnsi" w:hAnsiTheme="minorHAnsi"/>
        </w:rPr>
        <w:t>e</w:t>
      </w:r>
      <w:r w:rsidRPr="004639DE">
        <w:rPr>
          <w:rFonts w:asciiTheme="minorHAnsi" w:hAnsiTheme="minorHAnsi"/>
        </w:rPr>
        <w:t xml:space="preserve"> </w:t>
      </w:r>
      <w:r>
        <w:rPr>
          <w:rFonts w:asciiTheme="minorHAnsi" w:hAnsiTheme="minorHAnsi"/>
        </w:rPr>
        <w:t>Final</w:t>
      </w:r>
      <w:r w:rsidRPr="004639DE">
        <w:rPr>
          <w:rFonts w:asciiTheme="minorHAnsi" w:hAnsiTheme="minorHAnsi"/>
        </w:rPr>
        <w:t xml:space="preserve"> RIS identifies </w:t>
      </w:r>
      <w:r>
        <w:rPr>
          <w:rFonts w:asciiTheme="minorHAnsi" w:hAnsiTheme="minorHAnsi"/>
        </w:rPr>
        <w:t>the following impacted</w:t>
      </w:r>
      <w:r w:rsidRPr="004639DE">
        <w:rPr>
          <w:rFonts w:asciiTheme="minorHAnsi" w:hAnsiTheme="minorHAnsi"/>
        </w:rPr>
        <w:t xml:space="preserve"> stakeholder groups</w:t>
      </w:r>
      <w:r w:rsidR="007A1CC0">
        <w:rPr>
          <w:rFonts w:asciiTheme="minorHAnsi" w:hAnsiTheme="minorHAnsi"/>
        </w:rPr>
        <w:t>–</w:t>
      </w:r>
    </w:p>
    <w:p w:rsidR="00EB19C9" w:rsidRPr="00A85536" w:rsidRDefault="00EB19C9" w:rsidP="00EB19C9">
      <w:pPr>
        <w:pStyle w:val="ListParagraph"/>
        <w:numPr>
          <w:ilvl w:val="0"/>
          <w:numId w:val="11"/>
        </w:numPr>
        <w:spacing w:after="120" w:line="259" w:lineRule="auto"/>
        <w:rPr>
          <w:rFonts w:asciiTheme="minorHAnsi" w:hAnsiTheme="minorHAnsi"/>
        </w:rPr>
      </w:pPr>
      <w:r w:rsidRPr="004639DE">
        <w:rPr>
          <w:rFonts w:asciiTheme="minorHAnsi" w:hAnsiTheme="minorHAnsi"/>
        </w:rPr>
        <w:t xml:space="preserve">Individuals, e.g. owners and occupiers of </w:t>
      </w:r>
      <w:r>
        <w:rPr>
          <w:rFonts w:asciiTheme="minorHAnsi" w:hAnsiTheme="minorHAnsi"/>
        </w:rPr>
        <w:t>sole-occupancy units</w:t>
      </w:r>
      <w:r w:rsidRPr="004639DE">
        <w:rPr>
          <w:rFonts w:asciiTheme="minorHAnsi" w:hAnsiTheme="minorHAnsi"/>
        </w:rPr>
        <w:t xml:space="preserve"> in new Class 2</w:t>
      </w:r>
      <w:r>
        <w:rPr>
          <w:rFonts w:asciiTheme="minorHAnsi" w:hAnsiTheme="minorHAnsi"/>
        </w:rPr>
        <w:t xml:space="preserve"> and 3</w:t>
      </w:r>
      <w:r w:rsidRPr="004639DE">
        <w:rPr>
          <w:rFonts w:asciiTheme="minorHAnsi" w:hAnsiTheme="minorHAnsi"/>
        </w:rPr>
        <w:t xml:space="preserve"> buildings constructed between </w:t>
      </w:r>
      <w:r>
        <w:rPr>
          <w:rFonts w:asciiTheme="minorHAnsi" w:hAnsiTheme="minorHAnsi"/>
        </w:rPr>
        <w:t xml:space="preserve">four </w:t>
      </w:r>
      <w:r w:rsidRPr="004639DE">
        <w:rPr>
          <w:rFonts w:asciiTheme="minorHAnsi" w:hAnsiTheme="minorHAnsi"/>
        </w:rPr>
        <w:t xml:space="preserve">and </w:t>
      </w:r>
      <w:r>
        <w:rPr>
          <w:rFonts w:asciiTheme="minorHAnsi" w:hAnsiTheme="minorHAnsi"/>
        </w:rPr>
        <w:t>eight</w:t>
      </w:r>
      <w:r w:rsidRPr="004639DE">
        <w:rPr>
          <w:rFonts w:asciiTheme="minorHAnsi" w:hAnsiTheme="minorHAnsi"/>
        </w:rPr>
        <w:t xml:space="preserve"> storeys in height;</w:t>
      </w:r>
    </w:p>
    <w:p w:rsidR="00EB19C9" w:rsidRPr="00A85536" w:rsidRDefault="00EB19C9" w:rsidP="00EB19C9">
      <w:pPr>
        <w:pStyle w:val="ListParagraph"/>
        <w:numPr>
          <w:ilvl w:val="0"/>
          <w:numId w:val="11"/>
        </w:numPr>
        <w:spacing w:after="120" w:line="259" w:lineRule="auto"/>
        <w:rPr>
          <w:rFonts w:asciiTheme="minorHAnsi" w:hAnsiTheme="minorHAnsi"/>
        </w:rPr>
      </w:pPr>
      <w:r w:rsidRPr="004639DE">
        <w:rPr>
          <w:rFonts w:asciiTheme="minorHAnsi" w:hAnsiTheme="minorHAnsi"/>
        </w:rPr>
        <w:t xml:space="preserve">businesses, e.g. </w:t>
      </w:r>
      <w:r>
        <w:rPr>
          <w:rFonts w:asciiTheme="minorHAnsi" w:hAnsiTheme="minorHAnsi"/>
        </w:rPr>
        <w:t xml:space="preserve">developers, builders, </w:t>
      </w:r>
      <w:r w:rsidRPr="004639DE">
        <w:rPr>
          <w:rFonts w:asciiTheme="minorHAnsi" w:hAnsiTheme="minorHAnsi"/>
        </w:rPr>
        <w:t>building practitioners and the fire safety industry; and</w:t>
      </w:r>
    </w:p>
    <w:p w:rsidR="00EB19C9" w:rsidRPr="004639DE" w:rsidRDefault="00EB19C9" w:rsidP="00EB19C9">
      <w:pPr>
        <w:pStyle w:val="ListParagraph"/>
        <w:numPr>
          <w:ilvl w:val="0"/>
          <w:numId w:val="11"/>
        </w:numPr>
        <w:spacing w:after="120" w:line="259" w:lineRule="auto"/>
        <w:rPr>
          <w:rFonts w:asciiTheme="minorHAnsi" w:hAnsiTheme="minorHAnsi"/>
        </w:rPr>
      </w:pPr>
      <w:r w:rsidRPr="004639DE">
        <w:rPr>
          <w:rFonts w:asciiTheme="minorHAnsi" w:hAnsiTheme="minorHAnsi"/>
        </w:rPr>
        <w:t>government, e.g. State and Territory building authorities</w:t>
      </w:r>
      <w:r>
        <w:rPr>
          <w:rFonts w:asciiTheme="minorHAnsi" w:hAnsiTheme="minorHAnsi"/>
        </w:rPr>
        <w:t xml:space="preserve"> and fire authorities</w:t>
      </w:r>
      <w:r w:rsidRPr="004639DE">
        <w:rPr>
          <w:rFonts w:asciiTheme="minorHAnsi" w:hAnsiTheme="minorHAnsi"/>
        </w:rPr>
        <w:t xml:space="preserve">. </w:t>
      </w:r>
    </w:p>
    <w:p w:rsidR="00EB19C9" w:rsidRPr="00940260" w:rsidRDefault="00EB19C9" w:rsidP="00EB19C9">
      <w:pPr>
        <w:pStyle w:val="Heading2"/>
        <w:rPr>
          <w:b w:val="0"/>
        </w:rPr>
      </w:pPr>
      <w:r w:rsidRPr="00940260">
        <w:t>Assumptions and Parameters</w:t>
      </w:r>
    </w:p>
    <w:p w:rsidR="00EB19C9" w:rsidRPr="004639DE" w:rsidRDefault="00EB19C9" w:rsidP="00EB19C9">
      <w:pPr>
        <w:rPr>
          <w:rFonts w:asciiTheme="minorHAnsi" w:hAnsiTheme="minorHAnsi"/>
        </w:rPr>
      </w:pPr>
      <w:r w:rsidRPr="004639DE">
        <w:rPr>
          <w:rFonts w:asciiTheme="minorHAnsi" w:hAnsiTheme="minorHAnsi"/>
        </w:rPr>
        <w:t>The following assumptions and parameters have been used in preparation of this impact analysis:</w:t>
      </w:r>
    </w:p>
    <w:p w:rsidR="00EB19C9" w:rsidRPr="004639DE" w:rsidRDefault="00EB19C9" w:rsidP="00EB19C9">
      <w:pPr>
        <w:pStyle w:val="ListParagraph"/>
        <w:numPr>
          <w:ilvl w:val="0"/>
          <w:numId w:val="12"/>
        </w:numPr>
        <w:spacing w:after="160" w:line="259" w:lineRule="auto"/>
        <w:ind w:left="1069"/>
        <w:rPr>
          <w:rFonts w:asciiTheme="minorHAnsi" w:hAnsiTheme="minorHAnsi"/>
        </w:rPr>
      </w:pPr>
      <w:r w:rsidRPr="004639DE">
        <w:rPr>
          <w:rFonts w:asciiTheme="minorHAnsi" w:hAnsiTheme="minorHAnsi"/>
        </w:rPr>
        <w:t xml:space="preserve">The </w:t>
      </w:r>
      <w:r>
        <w:rPr>
          <w:rFonts w:asciiTheme="minorHAnsi" w:hAnsiTheme="minorHAnsi"/>
        </w:rPr>
        <w:t xml:space="preserve">annual </w:t>
      </w:r>
      <w:r w:rsidRPr="004639DE">
        <w:rPr>
          <w:rFonts w:asciiTheme="minorHAnsi" w:hAnsiTheme="minorHAnsi"/>
        </w:rPr>
        <w:t>number of Class 2 and 3 building</w:t>
      </w:r>
      <w:r>
        <w:rPr>
          <w:rFonts w:asciiTheme="minorHAnsi" w:hAnsiTheme="minorHAnsi"/>
        </w:rPr>
        <w:t>s</w:t>
      </w:r>
      <w:r w:rsidRPr="004639DE">
        <w:rPr>
          <w:rFonts w:asciiTheme="minorHAnsi" w:hAnsiTheme="minorHAnsi"/>
        </w:rPr>
        <w:t xml:space="preserve"> approv</w:t>
      </w:r>
      <w:r>
        <w:rPr>
          <w:rFonts w:asciiTheme="minorHAnsi" w:hAnsiTheme="minorHAnsi"/>
        </w:rPr>
        <w:t>ed</w:t>
      </w:r>
      <w:r w:rsidRPr="004639DE">
        <w:rPr>
          <w:rFonts w:asciiTheme="minorHAnsi" w:hAnsiTheme="minorHAnsi"/>
        </w:rPr>
        <w:t xml:space="preserve"> is not collected nationally. Victoria collects data on the number of approvals issued each year. It is known through ABS comparisons that Victoria accounts for approximately 25% of all building activity occurring annually. </w:t>
      </w:r>
    </w:p>
    <w:p w:rsidR="00EB19C9" w:rsidRPr="004639DE" w:rsidRDefault="00EB19C9" w:rsidP="00EB19C9">
      <w:pPr>
        <w:ind w:left="709"/>
        <w:rPr>
          <w:rFonts w:asciiTheme="minorHAnsi" w:hAnsiTheme="minorHAnsi"/>
        </w:rPr>
      </w:pPr>
      <w:r w:rsidRPr="004639DE">
        <w:rPr>
          <w:rFonts w:asciiTheme="minorHAnsi" w:hAnsiTheme="minorHAnsi"/>
        </w:rPr>
        <w:t>This has been verified in the following ways:</w:t>
      </w:r>
    </w:p>
    <w:p w:rsidR="00EB19C9" w:rsidRPr="004639DE" w:rsidRDefault="00EB19C9" w:rsidP="00EB19C9">
      <w:pPr>
        <w:pStyle w:val="ListParagraph"/>
        <w:numPr>
          <w:ilvl w:val="0"/>
          <w:numId w:val="13"/>
        </w:numPr>
        <w:jc w:val="both"/>
        <w:rPr>
          <w:rFonts w:asciiTheme="minorHAnsi" w:hAnsiTheme="minorHAnsi"/>
        </w:rPr>
      </w:pPr>
      <w:r w:rsidRPr="004639DE">
        <w:rPr>
          <w:rFonts w:asciiTheme="minorHAnsi" w:hAnsiTheme="minorHAnsi"/>
        </w:rPr>
        <w:t>Value of non-residential work completed 2003</w:t>
      </w:r>
      <w:r w:rsidR="00694D66">
        <w:rPr>
          <w:rFonts w:asciiTheme="minorHAnsi" w:hAnsiTheme="minorHAnsi"/>
        </w:rPr>
        <w:t xml:space="preserve"> – </w:t>
      </w:r>
      <w:r w:rsidRPr="004639DE">
        <w:rPr>
          <w:rFonts w:asciiTheme="minorHAnsi" w:hAnsiTheme="minorHAnsi"/>
        </w:rPr>
        <w:t>2013</w:t>
      </w:r>
      <w:r w:rsidR="00694D66">
        <w:rPr>
          <w:rFonts w:asciiTheme="minorHAnsi" w:hAnsiTheme="minorHAnsi"/>
        </w:rPr>
        <w:t xml:space="preserve">: </w:t>
      </w:r>
      <w:r>
        <w:rPr>
          <w:rFonts w:asciiTheme="minorHAnsi" w:hAnsiTheme="minorHAnsi"/>
        </w:rPr>
        <w:t>Victoria</w:t>
      </w:r>
      <w:r w:rsidRPr="004639DE">
        <w:rPr>
          <w:rFonts w:asciiTheme="minorHAnsi" w:hAnsiTheme="minorHAnsi"/>
        </w:rPr>
        <w:t xml:space="preserve"> account</w:t>
      </w:r>
      <w:r>
        <w:rPr>
          <w:rFonts w:asciiTheme="minorHAnsi" w:hAnsiTheme="minorHAnsi"/>
        </w:rPr>
        <w:t>ed</w:t>
      </w:r>
      <w:r w:rsidRPr="004639DE">
        <w:rPr>
          <w:rFonts w:asciiTheme="minorHAnsi" w:hAnsiTheme="minorHAnsi"/>
        </w:rPr>
        <w:t xml:space="preserve"> for 24.7% of all activity</w:t>
      </w:r>
      <w:r>
        <w:rPr>
          <w:rFonts w:asciiTheme="minorHAnsi" w:hAnsiTheme="minorHAnsi"/>
        </w:rPr>
        <w:t xml:space="preserve"> (</w:t>
      </w:r>
      <w:r w:rsidRPr="004639DE">
        <w:rPr>
          <w:rFonts w:asciiTheme="minorHAnsi" w:hAnsiTheme="minorHAnsi"/>
        </w:rPr>
        <w:t>Catalogue 8752.0 Tables 71 and 72</w:t>
      </w:r>
      <w:r>
        <w:rPr>
          <w:rFonts w:asciiTheme="minorHAnsi" w:hAnsiTheme="minorHAnsi"/>
        </w:rPr>
        <w:t>).</w:t>
      </w:r>
    </w:p>
    <w:p w:rsidR="00EB19C9" w:rsidRPr="00A56C99" w:rsidRDefault="00EB19C9" w:rsidP="00EB19C9">
      <w:pPr>
        <w:pStyle w:val="ListParagraph"/>
        <w:numPr>
          <w:ilvl w:val="0"/>
          <w:numId w:val="13"/>
        </w:numPr>
        <w:jc w:val="both"/>
        <w:rPr>
          <w:rFonts w:asciiTheme="minorHAnsi" w:hAnsiTheme="minorHAnsi"/>
        </w:rPr>
      </w:pPr>
      <w:r w:rsidRPr="00A56C99">
        <w:rPr>
          <w:rFonts w:asciiTheme="minorHAnsi" w:hAnsiTheme="minorHAnsi"/>
        </w:rPr>
        <w:t>The number of other residential units completed 2003</w:t>
      </w:r>
      <w:r w:rsidR="00694D66">
        <w:rPr>
          <w:rFonts w:asciiTheme="minorHAnsi" w:hAnsiTheme="minorHAnsi"/>
        </w:rPr>
        <w:t xml:space="preserve"> – </w:t>
      </w:r>
      <w:r w:rsidRPr="00A56C99">
        <w:rPr>
          <w:rFonts w:asciiTheme="minorHAnsi" w:hAnsiTheme="minorHAnsi"/>
        </w:rPr>
        <w:t>2013</w:t>
      </w:r>
      <w:r w:rsidR="00694D66">
        <w:rPr>
          <w:rFonts w:asciiTheme="minorHAnsi" w:hAnsiTheme="minorHAnsi"/>
        </w:rPr>
        <w:t>:</w:t>
      </w:r>
      <w:r w:rsidRPr="00A56C99">
        <w:rPr>
          <w:rFonts w:asciiTheme="minorHAnsi" w:hAnsiTheme="minorHAnsi"/>
        </w:rPr>
        <w:t xml:space="preserve"> Victoria accounted for 25.9% of all activity</w:t>
      </w:r>
      <w:r>
        <w:rPr>
          <w:rFonts w:asciiTheme="minorHAnsi" w:hAnsiTheme="minorHAnsi"/>
        </w:rPr>
        <w:t xml:space="preserve"> (ABS </w:t>
      </w:r>
      <w:r w:rsidRPr="004639DE">
        <w:rPr>
          <w:rFonts w:asciiTheme="minorHAnsi" w:hAnsiTheme="minorHAnsi"/>
        </w:rPr>
        <w:t>Catalogue 8752.0 Tables 37 and 39</w:t>
      </w:r>
      <w:r>
        <w:rPr>
          <w:rFonts w:asciiTheme="minorHAnsi" w:hAnsiTheme="minorHAnsi"/>
        </w:rPr>
        <w:t>)</w:t>
      </w:r>
      <w:r w:rsidRPr="00A56C99">
        <w:rPr>
          <w:rFonts w:asciiTheme="minorHAnsi" w:hAnsiTheme="minorHAnsi"/>
        </w:rPr>
        <w:t>.</w:t>
      </w:r>
    </w:p>
    <w:p w:rsidR="00EB19C9" w:rsidRPr="00BF3EC5" w:rsidRDefault="00EB19C9" w:rsidP="00EB19C9">
      <w:pPr>
        <w:ind w:left="720"/>
        <w:rPr>
          <w:rFonts w:asciiTheme="minorHAnsi" w:hAnsiTheme="minorHAnsi"/>
        </w:rPr>
      </w:pPr>
      <w:r w:rsidRPr="003F18D2">
        <w:rPr>
          <w:rFonts w:asciiTheme="minorHAnsi" w:hAnsiTheme="minorHAnsi"/>
        </w:rPr>
        <w:t xml:space="preserve">The estimated </w:t>
      </w:r>
      <w:r w:rsidRPr="00E75D9A">
        <w:rPr>
          <w:rFonts w:asciiTheme="minorHAnsi" w:hAnsiTheme="minorHAnsi"/>
        </w:rPr>
        <w:t xml:space="preserve">national number of Class 2 and 3 buildings constructed between </w:t>
      </w:r>
      <w:r>
        <w:rPr>
          <w:rFonts w:asciiTheme="minorHAnsi" w:hAnsiTheme="minorHAnsi"/>
        </w:rPr>
        <w:t>four</w:t>
      </w:r>
      <w:r w:rsidRPr="00BF3EC5">
        <w:rPr>
          <w:rFonts w:asciiTheme="minorHAnsi" w:hAnsiTheme="minorHAnsi"/>
        </w:rPr>
        <w:t xml:space="preserve"> and </w:t>
      </w:r>
      <w:r>
        <w:rPr>
          <w:rFonts w:asciiTheme="minorHAnsi" w:hAnsiTheme="minorHAnsi"/>
        </w:rPr>
        <w:t>eight</w:t>
      </w:r>
      <w:r w:rsidRPr="00BF3EC5">
        <w:rPr>
          <w:rFonts w:asciiTheme="minorHAnsi" w:hAnsiTheme="minorHAnsi"/>
        </w:rPr>
        <w:t xml:space="preserve"> storeys in height approved annually is shown in Table </w:t>
      </w:r>
      <w:r w:rsidR="007A1CC0">
        <w:rPr>
          <w:rFonts w:asciiTheme="minorHAnsi" w:hAnsiTheme="minorHAnsi"/>
        </w:rPr>
        <w:t>6</w:t>
      </w:r>
      <w:r w:rsidRPr="00BF3EC5">
        <w:rPr>
          <w:rFonts w:asciiTheme="minorHAnsi" w:hAnsiTheme="minorHAnsi"/>
        </w:rPr>
        <w:t xml:space="preserve">. </w:t>
      </w:r>
    </w:p>
    <w:p w:rsidR="00EB19C9" w:rsidRPr="0033220C" w:rsidRDefault="00DB5B4C" w:rsidP="00401CE1">
      <w:pPr>
        <w:spacing w:after="0"/>
        <w:ind w:left="720"/>
        <w:jc w:val="center"/>
        <w:rPr>
          <w:rFonts w:asciiTheme="minorHAnsi" w:hAnsiTheme="minorHAnsi"/>
          <w:iCs/>
          <w:color w:val="002060"/>
          <w:sz w:val="24"/>
          <w:szCs w:val="24"/>
        </w:rPr>
      </w:pPr>
      <w:r w:rsidRPr="0033220C">
        <w:rPr>
          <w:rFonts w:asciiTheme="minorHAnsi" w:hAnsiTheme="minorHAnsi"/>
          <w:iCs/>
          <w:color w:val="002060"/>
          <w:sz w:val="24"/>
          <w:szCs w:val="24"/>
        </w:rPr>
        <w:t xml:space="preserve">Table </w:t>
      </w:r>
      <w:r w:rsidR="00694D66">
        <w:rPr>
          <w:rFonts w:asciiTheme="minorHAnsi" w:hAnsiTheme="minorHAnsi"/>
          <w:iCs/>
          <w:color w:val="002060"/>
          <w:sz w:val="24"/>
          <w:szCs w:val="24"/>
        </w:rPr>
        <w:t>6:</w:t>
      </w:r>
      <w:r w:rsidRPr="0033220C">
        <w:rPr>
          <w:rFonts w:asciiTheme="minorHAnsi" w:hAnsiTheme="minorHAnsi"/>
          <w:iCs/>
          <w:color w:val="002060"/>
          <w:sz w:val="24"/>
          <w:szCs w:val="24"/>
        </w:rPr>
        <w:t xml:space="preserve"> Number of new Class 2 and 3 buildings </w:t>
      </w:r>
      <w:r>
        <w:rPr>
          <w:rFonts w:asciiTheme="minorHAnsi" w:hAnsiTheme="minorHAnsi"/>
          <w:iCs/>
          <w:color w:val="002060"/>
          <w:sz w:val="24"/>
          <w:szCs w:val="24"/>
        </w:rPr>
        <w:t>approved</w:t>
      </w:r>
      <w:r w:rsidRPr="0033220C">
        <w:rPr>
          <w:rFonts w:asciiTheme="minorHAnsi" w:hAnsiTheme="minorHAnsi"/>
          <w:iCs/>
          <w:color w:val="002060"/>
          <w:sz w:val="24"/>
          <w:szCs w:val="24"/>
        </w:rPr>
        <w:t xml:space="preserve"> annually </w:t>
      </w:r>
      <w:r>
        <w:rPr>
          <w:rFonts w:asciiTheme="minorHAnsi" w:hAnsiTheme="minorHAnsi"/>
          <w:iCs/>
          <w:color w:val="002060"/>
          <w:sz w:val="24"/>
          <w:szCs w:val="24"/>
        </w:rPr>
        <w:t>more than</w:t>
      </w:r>
      <w:r w:rsidRPr="0033220C">
        <w:rPr>
          <w:rFonts w:asciiTheme="minorHAnsi" w:hAnsiTheme="minorHAnsi"/>
          <w:iCs/>
          <w:color w:val="002060"/>
          <w:sz w:val="24"/>
          <w:szCs w:val="24"/>
        </w:rPr>
        <w:t xml:space="preserve"> </w:t>
      </w:r>
      <w:r>
        <w:rPr>
          <w:rFonts w:asciiTheme="minorHAnsi" w:hAnsiTheme="minorHAnsi"/>
          <w:iCs/>
          <w:color w:val="002060"/>
          <w:sz w:val="24"/>
          <w:szCs w:val="24"/>
        </w:rPr>
        <w:t xml:space="preserve">four </w:t>
      </w:r>
      <w:r w:rsidR="00401CE1">
        <w:rPr>
          <w:rFonts w:asciiTheme="minorHAnsi" w:hAnsiTheme="minorHAnsi"/>
          <w:iCs/>
          <w:color w:val="002060"/>
          <w:sz w:val="24"/>
          <w:szCs w:val="24"/>
        </w:rPr>
        <w:t xml:space="preserve">storeys </w:t>
      </w:r>
      <w:r>
        <w:rPr>
          <w:rFonts w:asciiTheme="minorHAnsi" w:hAnsiTheme="minorHAnsi"/>
          <w:iCs/>
          <w:color w:val="002060"/>
          <w:sz w:val="24"/>
          <w:szCs w:val="24"/>
        </w:rPr>
        <w:t xml:space="preserve">and less than 25m in effective </w:t>
      </w:r>
      <w:r w:rsidR="00694D66">
        <w:rPr>
          <w:rFonts w:asciiTheme="minorHAnsi" w:hAnsiTheme="minorHAnsi"/>
          <w:iCs/>
          <w:color w:val="002060"/>
          <w:sz w:val="24"/>
          <w:szCs w:val="24"/>
        </w:rPr>
        <w:t>height</w:t>
      </w:r>
    </w:p>
    <w:tbl>
      <w:tblPr>
        <w:tblStyle w:val="TableGrid"/>
        <w:tblW w:w="0" w:type="auto"/>
        <w:jc w:val="center"/>
        <w:tblLook w:val="0480" w:firstRow="0" w:lastRow="0" w:firstColumn="1" w:lastColumn="0" w:noHBand="0" w:noVBand="1"/>
        <w:tblCaption w:val="Table shwing Number of new Class 2 and 3 buildings constructed annually between 4 and 8 storeys in height. "/>
      </w:tblPr>
      <w:tblGrid>
        <w:gridCol w:w="3379"/>
        <w:gridCol w:w="3142"/>
      </w:tblGrid>
      <w:tr w:rsidR="00EB19C9" w:rsidRPr="004639DE" w:rsidTr="00EB19C9">
        <w:trPr>
          <w:tblHeader/>
          <w:jc w:val="center"/>
        </w:trPr>
        <w:tc>
          <w:tcPr>
            <w:tcW w:w="3379" w:type="dxa"/>
            <w:shd w:val="clear" w:color="auto" w:fill="002060"/>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Building Class</w:t>
            </w:r>
          </w:p>
        </w:tc>
        <w:tc>
          <w:tcPr>
            <w:tcW w:w="3142" w:type="dxa"/>
            <w:shd w:val="clear" w:color="auto" w:fill="002060"/>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Number</w:t>
            </w:r>
          </w:p>
        </w:tc>
      </w:tr>
      <w:tr w:rsidR="00EB19C9" w:rsidRPr="004639DE" w:rsidTr="00EB19C9">
        <w:trPr>
          <w:jc w:val="center"/>
        </w:trPr>
        <w:tc>
          <w:tcPr>
            <w:tcW w:w="3379"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Class 2</w:t>
            </w:r>
            <w:r>
              <w:rPr>
                <w:rStyle w:val="FootnoteReference"/>
                <w:rFonts w:asciiTheme="minorHAnsi" w:hAnsiTheme="minorHAnsi"/>
              </w:rPr>
              <w:footnoteReference w:id="20"/>
            </w:r>
          </w:p>
        </w:tc>
        <w:tc>
          <w:tcPr>
            <w:tcW w:w="3142" w:type="dxa"/>
          </w:tcPr>
          <w:p w:rsidR="00EB19C9" w:rsidRPr="004639DE" w:rsidRDefault="00EB19C9" w:rsidP="00EB19C9">
            <w:pPr>
              <w:spacing w:before="120" w:after="120"/>
              <w:jc w:val="center"/>
              <w:rPr>
                <w:rFonts w:asciiTheme="minorHAnsi" w:hAnsiTheme="minorHAnsi"/>
              </w:rPr>
            </w:pPr>
            <w:r>
              <w:rPr>
                <w:rFonts w:asciiTheme="minorHAnsi" w:hAnsiTheme="minorHAnsi"/>
              </w:rPr>
              <w:t>897</w:t>
            </w:r>
          </w:p>
        </w:tc>
      </w:tr>
      <w:tr w:rsidR="00EB19C9" w:rsidRPr="004639DE" w:rsidTr="00EB19C9">
        <w:trPr>
          <w:jc w:val="center"/>
        </w:trPr>
        <w:tc>
          <w:tcPr>
            <w:tcW w:w="3379"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Class 3</w:t>
            </w:r>
            <w:r w:rsidRPr="004639DE">
              <w:rPr>
                <w:rStyle w:val="FootnoteReference"/>
                <w:rFonts w:asciiTheme="minorHAnsi" w:hAnsiTheme="minorHAnsi"/>
              </w:rPr>
              <w:footnoteReference w:id="21"/>
            </w:r>
          </w:p>
        </w:tc>
        <w:tc>
          <w:tcPr>
            <w:tcW w:w="3142"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9</w:t>
            </w:r>
          </w:p>
        </w:tc>
      </w:tr>
    </w:tbl>
    <w:p w:rsidR="00EB19C9" w:rsidRDefault="00EB19C9" w:rsidP="00EB19C9">
      <w:pPr>
        <w:pStyle w:val="ListParagraph"/>
        <w:spacing w:line="259" w:lineRule="auto"/>
        <w:rPr>
          <w:rFonts w:asciiTheme="minorHAnsi" w:hAnsiTheme="minorHAnsi"/>
        </w:rPr>
      </w:pPr>
    </w:p>
    <w:p w:rsidR="00EB19C9" w:rsidRPr="00C60724" w:rsidRDefault="00EB19C9" w:rsidP="00EB19C9">
      <w:pPr>
        <w:pStyle w:val="ListParagraph"/>
        <w:numPr>
          <w:ilvl w:val="0"/>
          <w:numId w:val="12"/>
        </w:numPr>
        <w:spacing w:before="120" w:after="120" w:line="259" w:lineRule="auto"/>
        <w:ind w:left="1069"/>
        <w:rPr>
          <w:rFonts w:asciiTheme="minorHAnsi" w:hAnsiTheme="minorHAnsi"/>
        </w:rPr>
      </w:pPr>
      <w:r w:rsidRPr="00C60724">
        <w:rPr>
          <w:rFonts w:asciiTheme="minorHAnsi" w:hAnsiTheme="minorHAnsi"/>
        </w:rPr>
        <w:t>Based on an analysis of VBA approval data, two representative building sizes were identified; a multi-storey residential building with an average floor plate of 900 m</w:t>
      </w:r>
      <w:r w:rsidRPr="00C60724">
        <w:rPr>
          <w:rFonts w:asciiTheme="minorHAnsi" w:hAnsiTheme="minorHAnsi"/>
          <w:vertAlign w:val="superscript"/>
        </w:rPr>
        <w:t>2</w:t>
      </w:r>
      <w:r w:rsidRPr="00C60724">
        <w:rPr>
          <w:rFonts w:asciiTheme="minorHAnsi" w:hAnsiTheme="minorHAnsi"/>
        </w:rPr>
        <w:t xml:space="preserve"> per storey</w:t>
      </w:r>
      <w:r>
        <w:rPr>
          <w:rFonts w:asciiTheme="minorHAnsi" w:hAnsiTheme="minorHAnsi"/>
        </w:rPr>
        <w:t xml:space="preserve"> and</w:t>
      </w:r>
      <w:r w:rsidRPr="00C60724">
        <w:rPr>
          <w:rFonts w:asciiTheme="minorHAnsi" w:hAnsiTheme="minorHAnsi"/>
        </w:rPr>
        <w:t xml:space="preserve"> assumed to contain a single fire-isolated stair, and a larger multi-storey </w:t>
      </w:r>
      <w:r w:rsidRPr="00C60724">
        <w:rPr>
          <w:rFonts w:asciiTheme="minorHAnsi" w:hAnsiTheme="minorHAnsi"/>
        </w:rPr>
        <w:lastRenderedPageBreak/>
        <w:t>residential building with an average floor plate of 1200 m</w:t>
      </w:r>
      <w:r w:rsidRPr="00567792">
        <w:rPr>
          <w:rFonts w:asciiTheme="minorHAnsi" w:hAnsiTheme="minorHAnsi"/>
          <w:vertAlign w:val="superscript"/>
        </w:rPr>
        <w:t>2</w:t>
      </w:r>
      <w:r w:rsidRPr="00C60724">
        <w:rPr>
          <w:rFonts w:asciiTheme="minorHAnsi" w:hAnsiTheme="minorHAnsi"/>
        </w:rPr>
        <w:t xml:space="preserve"> </w:t>
      </w:r>
      <w:r>
        <w:rPr>
          <w:rFonts w:asciiTheme="minorHAnsi" w:hAnsiTheme="minorHAnsi"/>
        </w:rPr>
        <w:t xml:space="preserve">and </w:t>
      </w:r>
      <w:r w:rsidRPr="00C60724">
        <w:rPr>
          <w:rFonts w:asciiTheme="minorHAnsi" w:hAnsiTheme="minorHAnsi"/>
        </w:rPr>
        <w:t xml:space="preserve">assumed to contain more than one fire-isolated stair. </w:t>
      </w:r>
    </w:p>
    <w:p w:rsidR="00CE0B95" w:rsidRDefault="00CE0B95" w:rsidP="001C0D80">
      <w:pPr>
        <w:pStyle w:val="ListParagraph"/>
        <w:spacing w:before="120" w:after="120" w:line="259" w:lineRule="auto"/>
        <w:ind w:left="1069"/>
        <w:rPr>
          <w:rFonts w:asciiTheme="minorHAnsi" w:hAnsiTheme="minorHAnsi"/>
        </w:rPr>
      </w:pPr>
    </w:p>
    <w:p w:rsidR="00EB19C9" w:rsidRPr="001E0F23" w:rsidRDefault="00EB19C9" w:rsidP="00EB19C9">
      <w:pPr>
        <w:pStyle w:val="ListParagraph"/>
        <w:numPr>
          <w:ilvl w:val="0"/>
          <w:numId w:val="12"/>
        </w:numPr>
        <w:spacing w:before="120" w:after="120" w:line="259" w:lineRule="auto"/>
        <w:ind w:left="1069"/>
        <w:rPr>
          <w:rFonts w:asciiTheme="minorHAnsi" w:hAnsiTheme="minorHAnsi"/>
        </w:rPr>
      </w:pPr>
      <w:r w:rsidRPr="001E0F23">
        <w:rPr>
          <w:rFonts w:asciiTheme="minorHAnsi" w:hAnsiTheme="minorHAnsi"/>
        </w:rPr>
        <w:t>Data received from Phil</w:t>
      </w:r>
      <w:r w:rsidR="008A7DC4">
        <w:rPr>
          <w:rFonts w:asciiTheme="minorHAnsi" w:hAnsiTheme="minorHAnsi"/>
        </w:rPr>
        <w:t>l</w:t>
      </w:r>
      <w:r w:rsidRPr="001E0F23">
        <w:rPr>
          <w:rFonts w:asciiTheme="minorHAnsi" w:hAnsiTheme="minorHAnsi"/>
        </w:rPr>
        <w:t>ip Chun Building Compliance during the consultation period revealed:</w:t>
      </w:r>
    </w:p>
    <w:p w:rsidR="001C0D80" w:rsidRPr="001C0D80" w:rsidRDefault="00EB19C9" w:rsidP="001C0D80">
      <w:pPr>
        <w:pStyle w:val="ListParagraph"/>
        <w:numPr>
          <w:ilvl w:val="0"/>
          <w:numId w:val="113"/>
        </w:numPr>
        <w:spacing w:line="259" w:lineRule="auto"/>
        <w:rPr>
          <w:rFonts w:asciiTheme="minorHAnsi" w:hAnsiTheme="minorHAnsi"/>
        </w:rPr>
      </w:pPr>
      <w:r>
        <w:rPr>
          <w:rFonts w:asciiTheme="minorHAnsi" w:hAnsiTheme="minorHAnsi"/>
        </w:rPr>
        <w:t>the proportion of single fire-isolated stair buildings is 37% of all buildings constructed within the four to eight storey height range, while the proportion of buildings with two or more fire-isolated stairs represent 63%.</w:t>
      </w:r>
    </w:p>
    <w:p w:rsidR="00EB19C9" w:rsidRDefault="00EB19C9" w:rsidP="00EB19C9">
      <w:pPr>
        <w:pStyle w:val="ListParagraph"/>
        <w:numPr>
          <w:ilvl w:val="0"/>
          <w:numId w:val="113"/>
        </w:numPr>
        <w:spacing w:line="259" w:lineRule="auto"/>
        <w:rPr>
          <w:rFonts w:asciiTheme="minorHAnsi" w:hAnsiTheme="minorHAnsi"/>
        </w:rPr>
      </w:pPr>
      <w:r w:rsidRPr="00950F6F">
        <w:rPr>
          <w:rFonts w:asciiTheme="minorHAnsi" w:hAnsiTheme="minorHAnsi"/>
        </w:rPr>
        <w:t xml:space="preserve">the proportion of buildings using the </w:t>
      </w:r>
      <w:r w:rsidR="00C762FC">
        <w:rPr>
          <w:rFonts w:asciiTheme="minorHAnsi" w:hAnsiTheme="minorHAnsi"/>
        </w:rPr>
        <w:t>DtS</w:t>
      </w:r>
      <w:r w:rsidRPr="00950F6F">
        <w:rPr>
          <w:rFonts w:asciiTheme="minorHAnsi" w:hAnsiTheme="minorHAnsi"/>
        </w:rPr>
        <w:t xml:space="preserve"> Provisions</w:t>
      </w:r>
      <w:r w:rsidR="00333B32">
        <w:rPr>
          <w:rFonts w:asciiTheme="minorHAnsi" w:hAnsiTheme="minorHAnsi"/>
        </w:rPr>
        <w:t xml:space="preserve"> for travel distance</w:t>
      </w:r>
      <w:r w:rsidRPr="00950F6F">
        <w:rPr>
          <w:rFonts w:asciiTheme="minorHAnsi" w:hAnsiTheme="minorHAnsi"/>
        </w:rPr>
        <w:t xml:space="preserve"> is taken to be 47% of all approvals issued (i.e. 53% of new approvals use Performance Solutions relating to egress in multi-story residential buildings).</w:t>
      </w:r>
    </w:p>
    <w:p w:rsidR="00EB19C9" w:rsidRPr="00950F6F" w:rsidRDefault="00EB19C9" w:rsidP="00EB19C9">
      <w:pPr>
        <w:pStyle w:val="ListParagraph"/>
        <w:spacing w:line="259" w:lineRule="auto"/>
        <w:ind w:left="1484"/>
        <w:rPr>
          <w:rFonts w:asciiTheme="minorHAnsi" w:hAnsiTheme="minorHAnsi"/>
        </w:rPr>
      </w:pPr>
    </w:p>
    <w:p w:rsidR="00EB19C9" w:rsidRDefault="00EB19C9" w:rsidP="00EB19C9">
      <w:pPr>
        <w:pStyle w:val="ListParagraph"/>
        <w:numPr>
          <w:ilvl w:val="0"/>
          <w:numId w:val="12"/>
        </w:numPr>
        <w:spacing w:after="360"/>
        <w:ind w:left="1066" w:hanging="357"/>
        <w:jc w:val="both"/>
        <w:rPr>
          <w:rFonts w:asciiTheme="minorHAnsi" w:hAnsiTheme="minorHAnsi"/>
        </w:rPr>
      </w:pPr>
      <w:r w:rsidRPr="00950F6F">
        <w:rPr>
          <w:rFonts w:asciiTheme="minorHAnsi" w:hAnsiTheme="minorHAnsi"/>
        </w:rPr>
        <w:t xml:space="preserve">The analysis by EFT Consulting determined that where a Class 2 or 3 building is located above another class of building there is a need to sprinkler protect these other classes. Quantity surveying by Donald Cant Watts Corke (DCWC) suggests the practice of locating retail (Class 6 buildings) and offices (Class 5 buildings) below Class 2 or 3 buildings is not representative </w:t>
      </w:r>
      <w:r>
        <w:rPr>
          <w:rFonts w:asciiTheme="minorHAnsi" w:hAnsiTheme="minorHAnsi"/>
        </w:rPr>
        <w:t>of average</w:t>
      </w:r>
      <w:r w:rsidRPr="00950F6F">
        <w:rPr>
          <w:rFonts w:asciiTheme="minorHAnsi" w:hAnsiTheme="minorHAnsi"/>
        </w:rPr>
        <w:t xml:space="preserve"> buildings </w:t>
      </w:r>
      <w:r>
        <w:rPr>
          <w:rFonts w:asciiTheme="minorHAnsi" w:hAnsiTheme="minorHAnsi"/>
        </w:rPr>
        <w:t>within the concerned height range.</w:t>
      </w:r>
      <w:r w:rsidRPr="00950F6F">
        <w:rPr>
          <w:rFonts w:asciiTheme="minorHAnsi" w:hAnsiTheme="minorHAnsi"/>
        </w:rPr>
        <w:t xml:space="preserve"> </w:t>
      </w:r>
    </w:p>
    <w:p w:rsidR="007D701C" w:rsidRDefault="007D701C" w:rsidP="00333B32">
      <w:pPr>
        <w:pStyle w:val="ListParagraph"/>
        <w:spacing w:after="360"/>
        <w:ind w:left="1066"/>
        <w:jc w:val="both"/>
        <w:rPr>
          <w:rFonts w:asciiTheme="minorHAnsi" w:hAnsiTheme="minorHAnsi"/>
        </w:rPr>
      </w:pPr>
    </w:p>
    <w:p w:rsidR="007D701C" w:rsidRDefault="007D701C" w:rsidP="00EB19C9">
      <w:pPr>
        <w:pStyle w:val="ListParagraph"/>
        <w:numPr>
          <w:ilvl w:val="0"/>
          <w:numId w:val="12"/>
        </w:numPr>
        <w:spacing w:after="360"/>
        <w:ind w:left="1066" w:hanging="357"/>
        <w:jc w:val="both"/>
        <w:rPr>
          <w:rFonts w:asciiTheme="minorHAnsi" w:hAnsiTheme="minorHAnsi"/>
        </w:rPr>
      </w:pPr>
      <w:r>
        <w:rPr>
          <w:rFonts w:asciiTheme="minorHAnsi" w:hAnsiTheme="minorHAnsi"/>
        </w:rPr>
        <w:t xml:space="preserve">Consultation with FPAA and AFAC revealed that </w:t>
      </w:r>
      <w:r w:rsidR="00333B32">
        <w:rPr>
          <w:rFonts w:asciiTheme="minorHAnsi" w:hAnsiTheme="minorHAnsi"/>
        </w:rPr>
        <w:t>the Consultation RIS did not consider costs</w:t>
      </w:r>
      <w:r>
        <w:rPr>
          <w:rFonts w:asciiTheme="minorHAnsi" w:hAnsiTheme="minorHAnsi"/>
        </w:rPr>
        <w:t xml:space="preserve"> </w:t>
      </w:r>
      <w:r w:rsidR="00333B32">
        <w:rPr>
          <w:rFonts w:asciiTheme="minorHAnsi" w:hAnsiTheme="minorHAnsi"/>
        </w:rPr>
        <w:t>of</w:t>
      </w:r>
      <w:r>
        <w:rPr>
          <w:rFonts w:asciiTheme="minorHAnsi" w:hAnsiTheme="minorHAnsi"/>
        </w:rPr>
        <w:t xml:space="preserve"> pumps and associated maintenance</w:t>
      </w:r>
      <w:r w:rsidR="00333B32">
        <w:rPr>
          <w:rFonts w:asciiTheme="minorHAnsi" w:hAnsiTheme="minorHAnsi"/>
        </w:rPr>
        <w:t xml:space="preserve"> for</w:t>
      </w:r>
      <w:r w:rsidR="00DB5B4C">
        <w:rPr>
          <w:rFonts w:asciiTheme="minorHAnsi" w:hAnsiTheme="minorHAnsi"/>
        </w:rPr>
        <w:t xml:space="preserve"> hydrants</w:t>
      </w:r>
      <w:r>
        <w:rPr>
          <w:rFonts w:asciiTheme="minorHAnsi" w:hAnsiTheme="minorHAnsi"/>
        </w:rPr>
        <w:t xml:space="preserve"> under the status quo. DCWC were asked to </w:t>
      </w:r>
      <w:r w:rsidR="000179F4">
        <w:rPr>
          <w:rFonts w:asciiTheme="minorHAnsi" w:hAnsiTheme="minorHAnsi"/>
        </w:rPr>
        <w:t xml:space="preserve">consider the impact of these </w:t>
      </w:r>
      <w:r>
        <w:rPr>
          <w:rFonts w:asciiTheme="minorHAnsi" w:hAnsiTheme="minorHAnsi"/>
        </w:rPr>
        <w:t>components as part of the baseline</w:t>
      </w:r>
      <w:r w:rsidR="00FE5941">
        <w:rPr>
          <w:rFonts w:asciiTheme="minorHAnsi" w:hAnsiTheme="minorHAnsi"/>
        </w:rPr>
        <w:t xml:space="preserve">. </w:t>
      </w:r>
      <w:r w:rsidR="000179F4">
        <w:rPr>
          <w:rFonts w:asciiTheme="minorHAnsi" w:hAnsiTheme="minorHAnsi"/>
        </w:rPr>
        <w:t>T</w:t>
      </w:r>
      <w:r w:rsidR="00FE5941">
        <w:rPr>
          <w:rFonts w:asciiTheme="minorHAnsi" w:hAnsiTheme="minorHAnsi"/>
        </w:rPr>
        <w:t>h</w:t>
      </w:r>
      <w:r w:rsidR="00E72F46">
        <w:rPr>
          <w:rFonts w:asciiTheme="minorHAnsi" w:hAnsiTheme="minorHAnsi"/>
        </w:rPr>
        <w:t>is</w:t>
      </w:r>
      <w:r w:rsidR="00FE5941">
        <w:rPr>
          <w:rFonts w:asciiTheme="minorHAnsi" w:hAnsiTheme="minorHAnsi"/>
        </w:rPr>
        <w:t xml:space="preserve"> analysis has assumed 20% of all new buildings will </w:t>
      </w:r>
      <w:r w:rsidR="00333B32">
        <w:rPr>
          <w:rFonts w:asciiTheme="minorHAnsi" w:hAnsiTheme="minorHAnsi"/>
        </w:rPr>
        <w:t>avoid the need to install and maintain a pump through a concession where</w:t>
      </w:r>
      <w:r w:rsidR="00FE5941">
        <w:rPr>
          <w:rFonts w:asciiTheme="minorHAnsi" w:hAnsiTheme="minorHAnsi"/>
        </w:rPr>
        <w:t xml:space="preserve"> FPAA 101D </w:t>
      </w:r>
      <w:r w:rsidR="00333B32">
        <w:rPr>
          <w:rFonts w:asciiTheme="minorHAnsi" w:hAnsiTheme="minorHAnsi"/>
        </w:rPr>
        <w:t xml:space="preserve">or AS 2118.1 sprinkler specifications are </w:t>
      </w:r>
      <w:r w:rsidR="00E72F46">
        <w:rPr>
          <w:rFonts w:asciiTheme="minorHAnsi" w:hAnsiTheme="minorHAnsi"/>
        </w:rPr>
        <w:t xml:space="preserve">used. </w:t>
      </w:r>
      <w:r w:rsidR="00694D66">
        <w:rPr>
          <w:rStyle w:val="FootnoteReference"/>
          <w:rFonts w:asciiTheme="minorHAnsi" w:hAnsiTheme="minorHAnsi"/>
        </w:rPr>
        <w:footnoteReference w:id="22"/>
      </w:r>
    </w:p>
    <w:p w:rsidR="00CE0B95" w:rsidRPr="001E0F23" w:rsidRDefault="00CE0B95" w:rsidP="001C0D80">
      <w:pPr>
        <w:pStyle w:val="ListParagraph"/>
        <w:spacing w:after="360"/>
        <w:ind w:left="1066"/>
        <w:jc w:val="both"/>
        <w:rPr>
          <w:rFonts w:asciiTheme="minorHAnsi" w:hAnsiTheme="minorHAnsi"/>
        </w:rPr>
      </w:pPr>
    </w:p>
    <w:p w:rsidR="00EB19C9" w:rsidRPr="00530DE6" w:rsidRDefault="00EB19C9" w:rsidP="00EB19C9">
      <w:pPr>
        <w:pStyle w:val="ListParagraph"/>
        <w:numPr>
          <w:ilvl w:val="0"/>
          <w:numId w:val="12"/>
        </w:numPr>
        <w:spacing w:after="360"/>
        <w:ind w:left="1066" w:hanging="357"/>
        <w:jc w:val="both"/>
        <w:rPr>
          <w:rFonts w:asciiTheme="minorHAnsi" w:hAnsiTheme="minorHAnsi"/>
        </w:rPr>
      </w:pPr>
      <w:r w:rsidRPr="00950F6F">
        <w:rPr>
          <w:rFonts w:asciiTheme="minorHAnsi" w:hAnsiTheme="minorHAnsi"/>
        </w:rPr>
        <w:t xml:space="preserve">Ongoing maintenance and replacement costs were investigated as part of this analysis. Australian Standard AS 1851: 2012 – </w:t>
      </w:r>
      <w:r w:rsidRPr="00950F6F">
        <w:rPr>
          <w:rFonts w:asciiTheme="minorHAnsi" w:hAnsiTheme="minorHAnsi"/>
          <w:i/>
          <w:iCs/>
        </w:rPr>
        <w:t xml:space="preserve">‘Routine service of fire protection systems and equipment’ </w:t>
      </w:r>
      <w:r w:rsidRPr="00950F6F">
        <w:rPr>
          <w:rFonts w:asciiTheme="minorHAnsi" w:hAnsiTheme="minorHAnsi"/>
        </w:rPr>
        <w:t xml:space="preserve">establishes the frequency intervals for carrying out regular servicing of fire protection systems and equipment. As maintenance is a state and territory function, this </w:t>
      </w:r>
      <w:r>
        <w:rPr>
          <w:rFonts w:asciiTheme="minorHAnsi" w:hAnsiTheme="minorHAnsi"/>
        </w:rPr>
        <w:t>S</w:t>
      </w:r>
      <w:r w:rsidRPr="00950F6F">
        <w:rPr>
          <w:rFonts w:asciiTheme="minorHAnsi" w:hAnsiTheme="minorHAnsi"/>
        </w:rPr>
        <w:t xml:space="preserve">tandard is not referenced in the NCC, and not uniformly adopted by </w:t>
      </w:r>
      <w:r w:rsidR="001210FF">
        <w:rPr>
          <w:rFonts w:asciiTheme="minorHAnsi" w:hAnsiTheme="minorHAnsi"/>
        </w:rPr>
        <w:t>S</w:t>
      </w:r>
      <w:r w:rsidRPr="00950F6F">
        <w:rPr>
          <w:rFonts w:asciiTheme="minorHAnsi" w:hAnsiTheme="minorHAnsi"/>
        </w:rPr>
        <w:t xml:space="preserve">tates and </w:t>
      </w:r>
      <w:r w:rsidR="001210FF">
        <w:rPr>
          <w:rFonts w:asciiTheme="minorHAnsi" w:hAnsiTheme="minorHAnsi"/>
        </w:rPr>
        <w:t>T</w:t>
      </w:r>
      <w:r w:rsidRPr="00950F6F">
        <w:rPr>
          <w:rFonts w:asciiTheme="minorHAnsi" w:hAnsiTheme="minorHAnsi"/>
        </w:rPr>
        <w:t xml:space="preserve">erritories in maintenance legislation. This analysis assumes that the frequency intervals similar to those outlined in the </w:t>
      </w:r>
      <w:r>
        <w:rPr>
          <w:rFonts w:asciiTheme="minorHAnsi" w:hAnsiTheme="minorHAnsi"/>
        </w:rPr>
        <w:t>S</w:t>
      </w:r>
      <w:r w:rsidRPr="00950F6F">
        <w:rPr>
          <w:rFonts w:asciiTheme="minorHAnsi" w:hAnsiTheme="minorHAnsi"/>
        </w:rPr>
        <w:t>tandard are either obligations or applied voluntarily. For all systems with the exception of FPAA 101D, based on advice from FPAA, the analysis assumes an annual visual inspection.</w:t>
      </w:r>
    </w:p>
    <w:tbl>
      <w:tblPr>
        <w:tblStyle w:val="TableGrid"/>
        <w:tblW w:w="0" w:type="auto"/>
        <w:tblLook w:val="04A0" w:firstRow="1" w:lastRow="0" w:firstColumn="1" w:lastColumn="0" w:noHBand="0" w:noVBand="1"/>
        <w:tblCaption w:val="Consultation Text Box"/>
        <w:tblDescription w:val="The Consultation RIS asked stakholders whether they agreed with the assumptions used in the analysis. "/>
      </w:tblPr>
      <w:tblGrid>
        <w:gridCol w:w="9182"/>
      </w:tblGrid>
      <w:tr w:rsidR="00EB19C9" w:rsidTr="00FE3334">
        <w:trPr>
          <w:tblHeader/>
        </w:trPr>
        <w:tc>
          <w:tcPr>
            <w:tcW w:w="9182" w:type="dxa"/>
            <w:shd w:val="clear" w:color="auto" w:fill="BFBFBF" w:themeFill="background1" w:themeFillShade="BF"/>
          </w:tcPr>
          <w:p w:rsidR="00EB19C9" w:rsidRPr="00530DE6" w:rsidRDefault="00EB19C9" w:rsidP="00EB19C9">
            <w:pPr>
              <w:spacing w:line="259" w:lineRule="auto"/>
              <w:rPr>
                <w:rFonts w:asciiTheme="minorHAnsi" w:eastAsiaTheme="majorEastAsia" w:hAnsiTheme="minorHAnsi" w:cstheme="majorBidi"/>
                <w:color w:val="000000" w:themeColor="text1"/>
                <w:sz w:val="26"/>
                <w:szCs w:val="26"/>
              </w:rPr>
            </w:pPr>
            <w:r w:rsidRPr="00530DE6">
              <w:rPr>
                <w:rFonts w:asciiTheme="minorHAnsi" w:hAnsiTheme="minorHAnsi"/>
              </w:rPr>
              <w:t xml:space="preserve">The Consultation RIS asked stakeholders whether they agreed with the assumptions used in the analysis. </w:t>
            </w:r>
          </w:p>
        </w:tc>
      </w:tr>
    </w:tbl>
    <w:p w:rsidR="00EB19C9" w:rsidRDefault="00EB19C9" w:rsidP="00EB19C9">
      <w:pPr>
        <w:spacing w:before="120" w:after="120" w:line="259" w:lineRule="auto"/>
        <w:rPr>
          <w:rFonts w:asciiTheme="minorHAnsi" w:hAnsiTheme="minorHAnsi"/>
        </w:rPr>
      </w:pPr>
      <w:r w:rsidRPr="00A91412">
        <w:rPr>
          <w:rFonts w:asciiTheme="minorHAnsi" w:hAnsiTheme="minorHAnsi"/>
        </w:rPr>
        <w:t xml:space="preserve">One submitter raised a number of technical </w:t>
      </w:r>
      <w:r>
        <w:rPr>
          <w:rFonts w:asciiTheme="minorHAnsi" w:hAnsiTheme="minorHAnsi"/>
        </w:rPr>
        <w:t>concerns</w:t>
      </w:r>
      <w:r w:rsidRPr="00A91412">
        <w:rPr>
          <w:rFonts w:asciiTheme="minorHAnsi" w:hAnsiTheme="minorHAnsi"/>
        </w:rPr>
        <w:t xml:space="preserve"> relating to the effectiveness of the proposed fire sprinkler </w:t>
      </w:r>
      <w:r>
        <w:rPr>
          <w:rFonts w:asciiTheme="minorHAnsi" w:hAnsiTheme="minorHAnsi"/>
        </w:rPr>
        <w:t>specifications, namely:</w:t>
      </w:r>
    </w:p>
    <w:p w:rsidR="00EB19C9" w:rsidRPr="009747E2" w:rsidRDefault="00EB19C9" w:rsidP="009747E2">
      <w:pPr>
        <w:pStyle w:val="ListParagraph"/>
        <w:numPr>
          <w:ilvl w:val="0"/>
          <w:numId w:val="131"/>
        </w:numPr>
        <w:spacing w:line="259" w:lineRule="auto"/>
        <w:ind w:left="851"/>
        <w:rPr>
          <w:rFonts w:asciiTheme="minorHAnsi" w:hAnsiTheme="minorHAnsi"/>
        </w:rPr>
      </w:pPr>
      <w:r w:rsidRPr="009747E2">
        <w:rPr>
          <w:rFonts w:asciiTheme="minorHAnsi" w:hAnsiTheme="minorHAnsi"/>
        </w:rPr>
        <w:t>The robustness of FPAA 101D and FPAA 101H in assuring flows and absolute pressures</w:t>
      </w:r>
      <w:r w:rsidR="00437CF7">
        <w:rPr>
          <w:rFonts w:asciiTheme="minorHAnsi" w:hAnsiTheme="minorHAnsi"/>
        </w:rPr>
        <w:t>,</w:t>
      </w:r>
      <w:r w:rsidRPr="009747E2">
        <w:rPr>
          <w:rFonts w:asciiTheme="minorHAnsi" w:hAnsiTheme="minorHAnsi"/>
        </w:rPr>
        <w:t xml:space="preserve"> which appear to be based on opinion within the EFT report. </w:t>
      </w:r>
    </w:p>
    <w:p w:rsidR="00EB19C9" w:rsidRPr="009747E2" w:rsidRDefault="00EB19C9" w:rsidP="009747E2">
      <w:pPr>
        <w:pStyle w:val="ListParagraph"/>
        <w:numPr>
          <w:ilvl w:val="0"/>
          <w:numId w:val="131"/>
        </w:numPr>
        <w:spacing w:line="259" w:lineRule="auto"/>
        <w:ind w:left="851"/>
        <w:rPr>
          <w:rFonts w:asciiTheme="minorHAnsi" w:hAnsiTheme="minorHAnsi"/>
        </w:rPr>
      </w:pPr>
      <w:r w:rsidRPr="009747E2">
        <w:rPr>
          <w:rFonts w:asciiTheme="minorHAnsi" w:hAnsiTheme="minorHAnsi"/>
        </w:rPr>
        <w:lastRenderedPageBreak/>
        <w:t>The use of toilet systems in monitoring the reliability of supply. It is understood this concern is based on the view that some occupants may not realise there is a problem with their toilet re-filling.</w:t>
      </w:r>
    </w:p>
    <w:p w:rsidR="00EB19C9" w:rsidRPr="009747E2" w:rsidRDefault="00EB19C9" w:rsidP="009747E2">
      <w:pPr>
        <w:pStyle w:val="ListParagraph"/>
        <w:numPr>
          <w:ilvl w:val="0"/>
          <w:numId w:val="131"/>
        </w:numPr>
        <w:spacing w:line="259" w:lineRule="auto"/>
        <w:ind w:left="851"/>
        <w:rPr>
          <w:rFonts w:asciiTheme="minorHAnsi" w:hAnsiTheme="minorHAnsi"/>
        </w:rPr>
      </w:pPr>
      <w:r w:rsidRPr="009747E2">
        <w:rPr>
          <w:rFonts w:asciiTheme="minorHAnsi" w:hAnsiTheme="minorHAnsi"/>
        </w:rPr>
        <w:t xml:space="preserve">The consequences of simultaneous flow </w:t>
      </w:r>
      <w:r w:rsidR="00437CF7">
        <w:rPr>
          <w:rFonts w:asciiTheme="minorHAnsi" w:hAnsiTheme="minorHAnsi"/>
        </w:rPr>
        <w:t>(</w:t>
      </w:r>
      <w:r w:rsidRPr="009747E2">
        <w:rPr>
          <w:rFonts w:asciiTheme="minorHAnsi" w:hAnsiTheme="minorHAnsi"/>
        </w:rPr>
        <w:t>i.e. where mul</w:t>
      </w:r>
      <w:r w:rsidR="00CC6F28">
        <w:rPr>
          <w:rFonts w:asciiTheme="minorHAnsi" w:hAnsiTheme="minorHAnsi"/>
        </w:rPr>
        <w:t>tiple fires within the building</w:t>
      </w:r>
      <w:r w:rsidRPr="009747E2">
        <w:rPr>
          <w:rFonts w:asciiTheme="minorHAnsi" w:hAnsiTheme="minorHAnsi"/>
        </w:rPr>
        <w:t xml:space="preserve"> occur</w:t>
      </w:r>
      <w:r w:rsidR="00437CF7">
        <w:rPr>
          <w:rFonts w:asciiTheme="minorHAnsi" w:hAnsiTheme="minorHAnsi"/>
        </w:rPr>
        <w:t>)</w:t>
      </w:r>
      <w:r w:rsidRPr="009747E2">
        <w:rPr>
          <w:rFonts w:asciiTheme="minorHAnsi" w:hAnsiTheme="minorHAnsi"/>
        </w:rPr>
        <w:t>.</w:t>
      </w:r>
    </w:p>
    <w:p w:rsidR="00EB19C9" w:rsidRPr="009747E2" w:rsidRDefault="00EB19C9" w:rsidP="009747E2">
      <w:pPr>
        <w:pStyle w:val="ListParagraph"/>
        <w:numPr>
          <w:ilvl w:val="0"/>
          <w:numId w:val="131"/>
        </w:numPr>
        <w:spacing w:line="259" w:lineRule="auto"/>
        <w:ind w:left="851"/>
        <w:rPr>
          <w:rFonts w:asciiTheme="minorHAnsi" w:hAnsiTheme="minorHAnsi"/>
        </w:rPr>
      </w:pPr>
      <w:r w:rsidRPr="009747E2">
        <w:rPr>
          <w:rFonts w:asciiTheme="minorHAnsi" w:hAnsiTheme="minorHAnsi"/>
        </w:rPr>
        <w:t xml:space="preserve">The impact of the hydrant system on </w:t>
      </w:r>
      <w:r w:rsidR="00CC6F28">
        <w:rPr>
          <w:rFonts w:asciiTheme="minorHAnsi" w:hAnsiTheme="minorHAnsi"/>
        </w:rPr>
        <w:t>the fire brigades</w:t>
      </w:r>
      <w:r w:rsidRPr="009747E2">
        <w:rPr>
          <w:rFonts w:asciiTheme="minorHAnsi" w:hAnsiTheme="minorHAnsi"/>
        </w:rPr>
        <w:t xml:space="preserve"> ability to control</w:t>
      </w:r>
      <w:r w:rsidR="00CC6F28">
        <w:rPr>
          <w:rFonts w:asciiTheme="minorHAnsi" w:hAnsiTheme="minorHAnsi"/>
        </w:rPr>
        <w:t xml:space="preserve"> and direct water flows to fire-</w:t>
      </w:r>
      <w:r w:rsidRPr="009747E2">
        <w:rPr>
          <w:rFonts w:asciiTheme="minorHAnsi" w:hAnsiTheme="minorHAnsi"/>
        </w:rPr>
        <w:t xml:space="preserve">fighter activities. </w:t>
      </w:r>
    </w:p>
    <w:p w:rsidR="00EB19C9" w:rsidRPr="009747E2" w:rsidRDefault="00EB19C9" w:rsidP="009747E2">
      <w:pPr>
        <w:pStyle w:val="ListParagraph"/>
        <w:numPr>
          <w:ilvl w:val="0"/>
          <w:numId w:val="131"/>
        </w:numPr>
        <w:spacing w:line="259" w:lineRule="auto"/>
        <w:ind w:left="851"/>
        <w:rPr>
          <w:rFonts w:asciiTheme="minorHAnsi" w:hAnsiTheme="minorHAnsi" w:cstheme="minorHAnsi"/>
        </w:rPr>
      </w:pPr>
      <w:r w:rsidRPr="009747E2">
        <w:rPr>
          <w:rFonts w:asciiTheme="minorHAnsi" w:hAnsiTheme="minorHAnsi"/>
        </w:rPr>
        <w:t>The reliability of control valve assemblies in the FPAA 101H system and its impact on reliability.</w:t>
      </w:r>
    </w:p>
    <w:p w:rsidR="00EB19C9" w:rsidRDefault="00EB19C9" w:rsidP="00EB19C9">
      <w:pPr>
        <w:spacing w:line="259" w:lineRule="auto"/>
        <w:rPr>
          <w:rFonts w:asciiTheme="minorHAnsi" w:hAnsiTheme="minorHAnsi" w:cstheme="minorHAnsi"/>
        </w:rPr>
      </w:pPr>
      <w:r w:rsidRPr="00912E87">
        <w:rPr>
          <w:rFonts w:asciiTheme="minorHAnsi" w:hAnsiTheme="minorHAnsi"/>
        </w:rPr>
        <w:t xml:space="preserve">The </w:t>
      </w:r>
      <w:r>
        <w:rPr>
          <w:rFonts w:asciiTheme="minorHAnsi" w:hAnsiTheme="minorHAnsi"/>
        </w:rPr>
        <w:t xml:space="preserve">same submitter </w:t>
      </w:r>
      <w:r w:rsidRPr="00912E87">
        <w:rPr>
          <w:rFonts w:asciiTheme="minorHAnsi" w:hAnsiTheme="minorHAnsi" w:cstheme="minorHAnsi"/>
        </w:rPr>
        <w:t xml:space="preserve">considers the analysis and findings by EFT Consulting baseless; however, the respondent does not provide any alternative evidence to substantiate these claims. </w:t>
      </w:r>
    </w:p>
    <w:p w:rsidR="00EB19C9" w:rsidRDefault="00EB19C9" w:rsidP="00EB19C9">
      <w:pPr>
        <w:spacing w:line="259" w:lineRule="auto"/>
        <w:rPr>
          <w:rFonts w:asciiTheme="minorHAnsi" w:hAnsiTheme="minorHAnsi"/>
        </w:rPr>
      </w:pPr>
      <w:r>
        <w:rPr>
          <w:rFonts w:asciiTheme="minorHAnsi" w:hAnsiTheme="minorHAnsi"/>
        </w:rPr>
        <w:t>A building certification company also added the following methodological considerations for the Final RIS:</w:t>
      </w:r>
    </w:p>
    <w:p w:rsidR="00EB19C9" w:rsidRPr="009747E2" w:rsidRDefault="00EB19C9" w:rsidP="009747E2">
      <w:pPr>
        <w:pStyle w:val="ListParagraph"/>
        <w:numPr>
          <w:ilvl w:val="0"/>
          <w:numId w:val="130"/>
        </w:numPr>
        <w:spacing w:line="259" w:lineRule="auto"/>
        <w:rPr>
          <w:rFonts w:asciiTheme="minorHAnsi" w:hAnsiTheme="minorHAnsi"/>
        </w:rPr>
      </w:pPr>
      <w:r w:rsidRPr="009747E2">
        <w:rPr>
          <w:rFonts w:asciiTheme="minorHAnsi" w:hAnsiTheme="minorHAnsi"/>
        </w:rPr>
        <w:t xml:space="preserve">In their experience, a significant number of potential buildings in scope are currently subject to fire engineering </w:t>
      </w:r>
      <w:r w:rsidR="00437CF7">
        <w:rPr>
          <w:rFonts w:asciiTheme="minorHAnsi" w:hAnsiTheme="minorHAnsi"/>
        </w:rPr>
        <w:t>that</w:t>
      </w:r>
      <w:r w:rsidRPr="009747E2">
        <w:rPr>
          <w:rFonts w:asciiTheme="minorHAnsi" w:hAnsiTheme="minorHAnsi"/>
        </w:rPr>
        <w:t xml:space="preserve"> may result in fewer overall impacts than presented in the Consultation RIS. </w:t>
      </w:r>
    </w:p>
    <w:p w:rsidR="00EB19C9" w:rsidRPr="009747E2" w:rsidRDefault="00EB19C9" w:rsidP="009747E2">
      <w:pPr>
        <w:pStyle w:val="ListParagraph"/>
        <w:numPr>
          <w:ilvl w:val="0"/>
          <w:numId w:val="130"/>
        </w:numPr>
        <w:spacing w:line="259" w:lineRule="auto"/>
        <w:rPr>
          <w:rFonts w:asciiTheme="minorHAnsi" w:hAnsiTheme="minorHAnsi"/>
        </w:rPr>
      </w:pPr>
      <w:r w:rsidRPr="009747E2">
        <w:rPr>
          <w:rFonts w:asciiTheme="minorHAnsi" w:hAnsiTheme="minorHAnsi"/>
        </w:rPr>
        <w:t xml:space="preserve">Savings associated with penetrations and linings are unlikely to be realised as selection will be governed by the NCC’s acoustic requirements. </w:t>
      </w:r>
    </w:p>
    <w:p w:rsidR="00EB19C9" w:rsidRPr="009747E2" w:rsidRDefault="00EB19C9" w:rsidP="009747E2">
      <w:pPr>
        <w:pStyle w:val="ListParagraph"/>
        <w:numPr>
          <w:ilvl w:val="0"/>
          <w:numId w:val="130"/>
        </w:numPr>
        <w:spacing w:line="259" w:lineRule="auto"/>
        <w:rPr>
          <w:rFonts w:asciiTheme="minorHAnsi" w:hAnsiTheme="minorHAnsi"/>
        </w:rPr>
      </w:pPr>
      <w:r w:rsidRPr="009747E2">
        <w:rPr>
          <w:rFonts w:asciiTheme="minorHAnsi" w:hAnsiTheme="minorHAnsi"/>
        </w:rPr>
        <w:t>The largest</w:t>
      </w:r>
      <w:r>
        <w:t xml:space="preserve"> </w:t>
      </w:r>
      <w:r w:rsidRPr="009747E2">
        <w:rPr>
          <w:rFonts w:asciiTheme="minorHAnsi" w:hAnsiTheme="minorHAnsi"/>
        </w:rPr>
        <w:t xml:space="preserve">offset (the removal of a fire-isolated stair), will not be realised in many buildings resulting in Option 1 imposing a net cost in the majority of cases. </w:t>
      </w:r>
    </w:p>
    <w:p w:rsidR="00EB19C9" w:rsidRPr="00384E61" w:rsidRDefault="00EB19C9" w:rsidP="00EB19C9">
      <w:pPr>
        <w:spacing w:line="259" w:lineRule="auto"/>
        <w:rPr>
          <w:rFonts w:asciiTheme="minorHAnsi" w:hAnsiTheme="minorHAnsi"/>
        </w:rPr>
      </w:pPr>
      <w:r w:rsidRPr="00384E61">
        <w:rPr>
          <w:rFonts w:asciiTheme="minorHAnsi" w:hAnsiTheme="minorHAnsi"/>
        </w:rPr>
        <w:t>In response to the methodological concerns raised by the building certification company, the Final RIS has been updated where supported by data</w:t>
      </w:r>
      <w:r w:rsidRPr="00384E61" w:rsidDel="006C3DA2">
        <w:rPr>
          <w:rFonts w:asciiTheme="minorHAnsi" w:hAnsiTheme="minorHAnsi"/>
        </w:rPr>
        <w:t xml:space="preserve"> </w:t>
      </w:r>
      <w:r w:rsidRPr="00384E61">
        <w:rPr>
          <w:rFonts w:asciiTheme="minorHAnsi" w:hAnsiTheme="minorHAnsi"/>
        </w:rPr>
        <w:t xml:space="preserve">to reflect these observations. </w:t>
      </w:r>
    </w:p>
    <w:p w:rsidR="00EB19C9" w:rsidRPr="0022623A" w:rsidRDefault="00EB19C9" w:rsidP="00333B32">
      <w:pPr>
        <w:rPr>
          <w:rFonts w:asciiTheme="minorHAnsi" w:hAnsiTheme="minorHAnsi" w:cstheme="minorHAnsi"/>
        </w:rPr>
      </w:pPr>
      <w:r w:rsidRPr="00912E87">
        <w:rPr>
          <w:rFonts w:asciiTheme="minorHAnsi" w:hAnsiTheme="minorHAnsi" w:cstheme="minorHAnsi"/>
        </w:rPr>
        <w:t>AFAC and FPAA were asked to review thes</w:t>
      </w:r>
      <w:r>
        <w:rPr>
          <w:rFonts w:asciiTheme="minorHAnsi" w:hAnsiTheme="minorHAnsi" w:cstheme="minorHAnsi"/>
        </w:rPr>
        <w:t>e</w:t>
      </w:r>
      <w:r w:rsidRPr="00912E87">
        <w:rPr>
          <w:rFonts w:asciiTheme="minorHAnsi" w:hAnsiTheme="minorHAnsi" w:cstheme="minorHAnsi"/>
        </w:rPr>
        <w:t xml:space="preserve"> technical concerns and concluded that the FPAA </w:t>
      </w:r>
      <w:r>
        <w:rPr>
          <w:rFonts w:asciiTheme="minorHAnsi" w:hAnsiTheme="minorHAnsi" w:cstheme="minorHAnsi"/>
        </w:rPr>
        <w:t xml:space="preserve">101D </w:t>
      </w:r>
      <w:r w:rsidRPr="00912E87">
        <w:rPr>
          <w:rFonts w:asciiTheme="minorHAnsi" w:hAnsiTheme="minorHAnsi" w:cstheme="minorHAnsi"/>
        </w:rPr>
        <w:t>and FPPAA</w:t>
      </w:r>
      <w:r>
        <w:rPr>
          <w:rFonts w:asciiTheme="minorHAnsi" w:hAnsiTheme="minorHAnsi" w:cstheme="minorHAnsi"/>
        </w:rPr>
        <w:t xml:space="preserve"> 101H system </w:t>
      </w:r>
      <w:r w:rsidRPr="00912E87">
        <w:rPr>
          <w:rFonts w:asciiTheme="minorHAnsi" w:hAnsiTheme="minorHAnsi" w:cstheme="minorHAnsi"/>
        </w:rPr>
        <w:t>deliver</w:t>
      </w:r>
      <w:r>
        <w:rPr>
          <w:rFonts w:asciiTheme="minorHAnsi" w:hAnsiTheme="minorHAnsi" w:cstheme="minorHAnsi"/>
        </w:rPr>
        <w:t>s</w:t>
      </w:r>
      <w:r w:rsidRPr="00912E87">
        <w:rPr>
          <w:rFonts w:asciiTheme="minorHAnsi" w:hAnsiTheme="minorHAnsi" w:cstheme="minorHAnsi"/>
        </w:rPr>
        <w:t xml:space="preserve"> the required level of safety for occupants of</w:t>
      </w:r>
      <w:r w:rsidR="00CE0B95">
        <w:rPr>
          <w:rFonts w:asciiTheme="minorHAnsi" w:hAnsiTheme="minorHAnsi" w:cstheme="minorHAnsi"/>
        </w:rPr>
        <w:t xml:space="preserve"> Class 2 and 3 buildings citing </w:t>
      </w:r>
      <w:r w:rsidRPr="00912E87">
        <w:rPr>
          <w:rFonts w:asciiTheme="minorHAnsi" w:hAnsiTheme="minorHAnsi" w:cstheme="minorHAnsi"/>
        </w:rPr>
        <w:t xml:space="preserve">evidence from 13 full-scale tests by CSIRO and the EFT Consulting Report. </w:t>
      </w:r>
      <w:r w:rsidR="00CE0B95">
        <w:rPr>
          <w:rFonts w:asciiTheme="minorHAnsi" w:hAnsiTheme="minorHAnsi" w:cstheme="minorHAnsi"/>
        </w:rPr>
        <w:t xml:space="preserve"> </w:t>
      </w:r>
      <w:r>
        <w:rPr>
          <w:rFonts w:asciiTheme="minorHAnsi" w:hAnsiTheme="minorHAnsi"/>
        </w:rPr>
        <w:t xml:space="preserve">AFAC and FPAA consider that the reliability of both FPAA specifications are comparable </w:t>
      </w:r>
      <w:r w:rsidR="00437CF7">
        <w:rPr>
          <w:rFonts w:asciiTheme="minorHAnsi" w:hAnsiTheme="minorHAnsi"/>
        </w:rPr>
        <w:t xml:space="preserve">to </w:t>
      </w:r>
      <w:r>
        <w:rPr>
          <w:rFonts w:asciiTheme="minorHAnsi" w:hAnsiTheme="minorHAnsi"/>
        </w:rPr>
        <w:t>or better than existing systems and note the following comparative advantages:</w:t>
      </w:r>
    </w:p>
    <w:p w:rsidR="00EB19C9" w:rsidRPr="009747E2" w:rsidRDefault="00EB19C9" w:rsidP="009747E2">
      <w:pPr>
        <w:pStyle w:val="ListParagraph"/>
        <w:numPr>
          <w:ilvl w:val="0"/>
          <w:numId w:val="132"/>
        </w:numPr>
        <w:spacing w:line="259" w:lineRule="auto"/>
        <w:rPr>
          <w:rFonts w:asciiTheme="minorHAnsi" w:hAnsiTheme="minorHAnsi"/>
        </w:rPr>
      </w:pPr>
      <w:r w:rsidRPr="009747E2">
        <w:rPr>
          <w:rFonts w:asciiTheme="minorHAnsi" w:hAnsiTheme="minorHAnsi"/>
        </w:rPr>
        <w:t>a reduced number of components within the FPAA systems</w:t>
      </w:r>
      <w:r w:rsidR="00CC6F28">
        <w:rPr>
          <w:rFonts w:asciiTheme="minorHAnsi" w:hAnsiTheme="minorHAnsi"/>
        </w:rPr>
        <w:t xml:space="preserve"> </w:t>
      </w:r>
      <w:r w:rsidR="00437CF7">
        <w:rPr>
          <w:rFonts w:asciiTheme="minorHAnsi" w:hAnsiTheme="minorHAnsi"/>
        </w:rPr>
        <w:t>that</w:t>
      </w:r>
      <w:r w:rsidRPr="009747E2">
        <w:rPr>
          <w:rFonts w:asciiTheme="minorHAnsi" w:hAnsiTheme="minorHAnsi"/>
        </w:rPr>
        <w:t xml:space="preserve"> reduces points of failure; and, </w:t>
      </w:r>
    </w:p>
    <w:p w:rsidR="00EB19C9" w:rsidRPr="009747E2" w:rsidRDefault="00EB19C9" w:rsidP="009747E2">
      <w:pPr>
        <w:pStyle w:val="ListParagraph"/>
        <w:numPr>
          <w:ilvl w:val="0"/>
          <w:numId w:val="132"/>
        </w:numPr>
        <w:spacing w:line="259" w:lineRule="auto"/>
        <w:rPr>
          <w:rFonts w:asciiTheme="minorHAnsi" w:hAnsiTheme="minorHAnsi"/>
        </w:rPr>
      </w:pPr>
      <w:r w:rsidRPr="009747E2">
        <w:rPr>
          <w:rFonts w:asciiTheme="minorHAnsi" w:hAnsiTheme="minorHAnsi"/>
        </w:rPr>
        <w:t xml:space="preserve">failure of a component will result in the loss of domestic water supply, which will be observed by the occupants and result in immediate rectification. </w:t>
      </w:r>
    </w:p>
    <w:p w:rsidR="00EB19C9" w:rsidRDefault="00EB19C9" w:rsidP="00EB19C9">
      <w:pPr>
        <w:spacing w:line="259" w:lineRule="auto"/>
        <w:rPr>
          <w:rFonts w:asciiTheme="minorHAnsi" w:hAnsiTheme="minorHAnsi"/>
        </w:rPr>
      </w:pPr>
      <w:r>
        <w:rPr>
          <w:rFonts w:asciiTheme="minorHAnsi" w:hAnsiTheme="minorHAnsi"/>
        </w:rPr>
        <w:t xml:space="preserve">AFAC and FPAA also contend that the development of both FPAA 101D and FPAA 101H followed a rigorous development process citing that </w:t>
      </w:r>
      <w:r w:rsidR="00CC6F28">
        <w:rPr>
          <w:rFonts w:asciiTheme="minorHAnsi" w:hAnsiTheme="minorHAnsi"/>
        </w:rPr>
        <w:t>FR</w:t>
      </w:r>
      <w:r>
        <w:rPr>
          <w:rFonts w:asciiTheme="minorHAnsi" w:hAnsiTheme="minorHAnsi"/>
        </w:rPr>
        <w:t xml:space="preserve">NSW took a proactive approach in response to the Bankstown Coronial inquest and commissioned research and testing </w:t>
      </w:r>
      <w:r w:rsidR="00437CF7">
        <w:rPr>
          <w:rFonts w:asciiTheme="minorHAnsi" w:hAnsiTheme="minorHAnsi"/>
        </w:rPr>
        <w:t>that</w:t>
      </w:r>
      <w:r>
        <w:rPr>
          <w:rFonts w:asciiTheme="minorHAnsi" w:hAnsiTheme="minorHAnsi"/>
        </w:rPr>
        <w:t xml:space="preserve"> helped inform the development of the Standards. </w:t>
      </w:r>
    </w:p>
    <w:p w:rsidR="00EB19C9" w:rsidRDefault="00EB19C9" w:rsidP="00EB19C9">
      <w:pPr>
        <w:spacing w:line="259" w:lineRule="auto"/>
        <w:rPr>
          <w:rFonts w:asciiTheme="minorHAnsi" w:hAnsiTheme="minorHAnsi"/>
        </w:rPr>
      </w:pPr>
      <w:r>
        <w:rPr>
          <w:rFonts w:asciiTheme="minorHAnsi" w:hAnsiTheme="minorHAnsi"/>
        </w:rPr>
        <w:t xml:space="preserve">The results of the FRNSW research and testing by CSIRO found that the tested systems improved life safety by 67% and 72%. The results of these tests were then used as evidence in the development of FPAA 101D and FPAA 101H </w:t>
      </w:r>
      <w:r w:rsidR="00CC6F28">
        <w:rPr>
          <w:rFonts w:asciiTheme="minorHAnsi" w:hAnsiTheme="minorHAnsi"/>
        </w:rPr>
        <w:t xml:space="preserve">fire </w:t>
      </w:r>
      <w:r>
        <w:rPr>
          <w:rFonts w:asciiTheme="minorHAnsi" w:hAnsiTheme="minorHAnsi"/>
        </w:rPr>
        <w:t>sprinkler systems and verified by an independent fire safety engineer.</w:t>
      </w:r>
    </w:p>
    <w:p w:rsidR="00EB19C9" w:rsidRDefault="00EB19C9" w:rsidP="00EB19C9">
      <w:pPr>
        <w:spacing w:after="160" w:line="259" w:lineRule="auto"/>
        <w:rPr>
          <w:rFonts w:asciiTheme="minorHAnsi" w:hAnsiTheme="minorHAnsi"/>
        </w:rPr>
      </w:pPr>
      <w:r>
        <w:rPr>
          <w:rFonts w:asciiTheme="minorHAnsi" w:hAnsiTheme="minorHAnsi"/>
        </w:rPr>
        <w:br w:type="page"/>
      </w:r>
    </w:p>
    <w:p w:rsidR="00EB19C9" w:rsidRPr="002E4F1E" w:rsidRDefault="00EB19C9" w:rsidP="0062442C">
      <w:pPr>
        <w:pStyle w:val="Heading1"/>
        <w:rPr>
          <w:b w:val="0"/>
          <w:bCs w:val="0"/>
        </w:rPr>
      </w:pPr>
      <w:bookmarkStart w:id="42" w:name="_Toc527709101"/>
      <w:r w:rsidRPr="002E4F1E">
        <w:lastRenderedPageBreak/>
        <w:t>Option 1</w:t>
      </w:r>
      <w:bookmarkEnd w:id="42"/>
    </w:p>
    <w:p w:rsidR="00EB19C9" w:rsidRPr="004639DE" w:rsidRDefault="00EB19C9" w:rsidP="00EB19C9">
      <w:pPr>
        <w:rPr>
          <w:rFonts w:asciiTheme="minorHAnsi" w:hAnsiTheme="minorHAnsi"/>
        </w:rPr>
      </w:pPr>
      <w:r w:rsidRPr="004639DE">
        <w:rPr>
          <w:rFonts w:asciiTheme="minorHAnsi" w:hAnsiTheme="minorHAnsi"/>
        </w:rPr>
        <w:t xml:space="preserve">This section considers the impacts </w:t>
      </w:r>
      <w:r>
        <w:rPr>
          <w:rFonts w:asciiTheme="minorHAnsi" w:hAnsiTheme="minorHAnsi"/>
        </w:rPr>
        <w:t>of</w:t>
      </w:r>
      <w:r w:rsidRPr="004639DE">
        <w:rPr>
          <w:rFonts w:asciiTheme="minorHAnsi" w:hAnsiTheme="minorHAnsi"/>
        </w:rPr>
        <w:t xml:space="preserve"> </w:t>
      </w:r>
      <w:r>
        <w:rPr>
          <w:rFonts w:asciiTheme="minorHAnsi" w:hAnsiTheme="minorHAnsi"/>
        </w:rPr>
        <w:t xml:space="preserve">removing the current DtS </w:t>
      </w:r>
      <w:r w:rsidR="007C7D89">
        <w:rPr>
          <w:rFonts w:asciiTheme="minorHAnsi" w:hAnsiTheme="minorHAnsi"/>
        </w:rPr>
        <w:t>Provisions</w:t>
      </w:r>
      <w:r>
        <w:rPr>
          <w:rFonts w:asciiTheme="minorHAnsi" w:hAnsiTheme="minorHAnsi"/>
        </w:rPr>
        <w:t xml:space="preserve"> from the NCC </w:t>
      </w:r>
      <w:r w:rsidR="00E10DFB">
        <w:rPr>
          <w:rFonts w:asciiTheme="minorHAnsi" w:hAnsiTheme="minorHAnsi"/>
        </w:rPr>
        <w:t>in favour of</w:t>
      </w:r>
      <w:r w:rsidRPr="004639DE">
        <w:rPr>
          <w:rFonts w:asciiTheme="minorHAnsi" w:hAnsiTheme="minorHAnsi"/>
        </w:rPr>
        <w:t xml:space="preserve"> three new </w:t>
      </w:r>
      <w:r>
        <w:rPr>
          <w:rFonts w:asciiTheme="minorHAnsi" w:hAnsiTheme="minorHAnsi"/>
        </w:rPr>
        <w:t>DtS</w:t>
      </w:r>
      <w:r w:rsidRPr="004639DE">
        <w:rPr>
          <w:rFonts w:asciiTheme="minorHAnsi" w:hAnsiTheme="minorHAnsi"/>
        </w:rPr>
        <w:t xml:space="preserve"> </w:t>
      </w:r>
      <w:r w:rsidR="00E10DFB">
        <w:rPr>
          <w:rFonts w:asciiTheme="minorHAnsi" w:hAnsiTheme="minorHAnsi"/>
        </w:rPr>
        <w:t xml:space="preserve">specifications and associated offsets </w:t>
      </w:r>
      <w:r>
        <w:rPr>
          <w:rFonts w:asciiTheme="minorHAnsi" w:hAnsiTheme="minorHAnsi"/>
        </w:rPr>
        <w:t xml:space="preserve">reliant on </w:t>
      </w:r>
      <w:r w:rsidR="00B6645B">
        <w:rPr>
          <w:rFonts w:asciiTheme="minorHAnsi" w:hAnsiTheme="minorHAnsi"/>
        </w:rPr>
        <w:t xml:space="preserve">fire </w:t>
      </w:r>
      <w:r>
        <w:rPr>
          <w:rFonts w:asciiTheme="minorHAnsi" w:hAnsiTheme="minorHAnsi"/>
        </w:rPr>
        <w:t xml:space="preserve">sprinklers for new Class 2 and 3 buildings </w:t>
      </w:r>
      <w:r w:rsidR="00E10DFB">
        <w:rPr>
          <w:rFonts w:asciiTheme="minorHAnsi" w:hAnsiTheme="minorHAnsi"/>
        </w:rPr>
        <w:t xml:space="preserve">more than </w:t>
      </w:r>
      <w:r>
        <w:rPr>
          <w:rFonts w:asciiTheme="minorHAnsi" w:hAnsiTheme="minorHAnsi"/>
        </w:rPr>
        <w:t xml:space="preserve">four and </w:t>
      </w:r>
      <w:r w:rsidR="00E10DFB">
        <w:rPr>
          <w:rFonts w:asciiTheme="minorHAnsi" w:hAnsiTheme="minorHAnsi"/>
        </w:rPr>
        <w:t>less than 25 in in effective h</w:t>
      </w:r>
      <w:r>
        <w:rPr>
          <w:rFonts w:asciiTheme="minorHAnsi" w:hAnsiTheme="minorHAnsi"/>
        </w:rPr>
        <w:t>eight</w:t>
      </w:r>
      <w:r w:rsidRPr="004639DE">
        <w:rPr>
          <w:rFonts w:asciiTheme="minorHAnsi" w:hAnsiTheme="minorHAnsi"/>
        </w:rPr>
        <w:t>:</w:t>
      </w:r>
    </w:p>
    <w:p w:rsidR="00EB19C9" w:rsidRPr="004639DE" w:rsidRDefault="00EB19C9" w:rsidP="00EB19C9">
      <w:pPr>
        <w:pStyle w:val="ListParagraph"/>
        <w:numPr>
          <w:ilvl w:val="0"/>
          <w:numId w:val="16"/>
        </w:numPr>
        <w:spacing w:after="160" w:line="259" w:lineRule="auto"/>
        <w:rPr>
          <w:rFonts w:asciiTheme="minorHAnsi" w:hAnsiTheme="minorHAnsi"/>
        </w:rPr>
      </w:pPr>
      <w:r w:rsidRPr="004639DE">
        <w:rPr>
          <w:rFonts w:asciiTheme="minorHAnsi" w:hAnsiTheme="minorHAnsi"/>
        </w:rPr>
        <w:t>AS 2118.1 Automatic fire sprinkler systems: General Requirements Amendment 1: 1999</w:t>
      </w:r>
    </w:p>
    <w:p w:rsidR="00EB19C9" w:rsidRPr="004639DE" w:rsidRDefault="00EB19C9" w:rsidP="00EB19C9">
      <w:pPr>
        <w:pStyle w:val="ListParagraph"/>
        <w:numPr>
          <w:ilvl w:val="0"/>
          <w:numId w:val="16"/>
        </w:numPr>
        <w:spacing w:after="160" w:line="259" w:lineRule="auto"/>
        <w:rPr>
          <w:rFonts w:asciiTheme="minorHAnsi" w:hAnsiTheme="minorHAnsi"/>
        </w:rPr>
      </w:pPr>
      <w:r w:rsidRPr="004639DE">
        <w:rPr>
          <w:rFonts w:asciiTheme="minorHAnsi" w:hAnsiTheme="minorHAnsi"/>
        </w:rPr>
        <w:t>FPAA 101D Sprinkler System Design and Installation – Domestic Water Supply</w:t>
      </w:r>
      <w:r>
        <w:rPr>
          <w:rFonts w:asciiTheme="minorHAnsi" w:hAnsiTheme="minorHAnsi"/>
        </w:rPr>
        <w:t xml:space="preserve"> </w:t>
      </w:r>
    </w:p>
    <w:p w:rsidR="00EB19C9" w:rsidRDefault="00EB19C9" w:rsidP="00EB19C9">
      <w:pPr>
        <w:pStyle w:val="ListParagraph"/>
        <w:numPr>
          <w:ilvl w:val="0"/>
          <w:numId w:val="16"/>
        </w:numPr>
        <w:spacing w:after="160" w:line="259" w:lineRule="auto"/>
        <w:rPr>
          <w:rFonts w:asciiTheme="minorHAnsi" w:hAnsiTheme="minorHAnsi"/>
        </w:rPr>
      </w:pPr>
      <w:r w:rsidRPr="004639DE">
        <w:rPr>
          <w:rFonts w:asciiTheme="minorHAnsi" w:hAnsiTheme="minorHAnsi"/>
        </w:rPr>
        <w:t>FPAA 101H Sprinkler System Design and Installation – Hydrant Water Supply</w:t>
      </w:r>
      <w:r>
        <w:rPr>
          <w:rFonts w:asciiTheme="minorHAnsi" w:hAnsiTheme="minorHAnsi"/>
        </w:rPr>
        <w:t xml:space="preserve"> </w:t>
      </w:r>
    </w:p>
    <w:p w:rsidR="00EB19C9" w:rsidRDefault="00EB19C9" w:rsidP="00EB19C9">
      <w:pPr>
        <w:spacing w:before="120" w:after="0"/>
        <w:rPr>
          <w:rFonts w:asciiTheme="minorHAnsi" w:hAnsiTheme="minorHAnsi"/>
          <w:bCs/>
        </w:rPr>
      </w:pPr>
      <w:r w:rsidRPr="006C410E">
        <w:rPr>
          <w:rFonts w:asciiTheme="minorHAnsi" w:hAnsiTheme="minorHAnsi"/>
          <w:bCs/>
        </w:rPr>
        <w:t xml:space="preserve">The costs and benefits of this option are categorised by building </w:t>
      </w:r>
      <w:r>
        <w:rPr>
          <w:rFonts w:asciiTheme="minorHAnsi" w:hAnsiTheme="minorHAnsi"/>
          <w:bCs/>
        </w:rPr>
        <w:t>size,</w:t>
      </w:r>
      <w:r w:rsidRPr="006C410E">
        <w:rPr>
          <w:rFonts w:asciiTheme="minorHAnsi" w:hAnsiTheme="minorHAnsi"/>
          <w:bCs/>
        </w:rPr>
        <w:t xml:space="preserve"> then by technology.</w:t>
      </w:r>
      <w:r>
        <w:rPr>
          <w:rFonts w:asciiTheme="minorHAnsi" w:hAnsiTheme="minorHAnsi"/>
          <w:bCs/>
        </w:rPr>
        <w:t xml:space="preserve"> </w:t>
      </w:r>
      <w:r w:rsidRPr="006C410E">
        <w:rPr>
          <w:rFonts w:asciiTheme="minorHAnsi" w:hAnsiTheme="minorHAnsi"/>
          <w:bCs/>
        </w:rPr>
        <w:t xml:space="preserve"> The range of solutions being considered </w:t>
      </w:r>
      <w:r w:rsidR="00E10DFB">
        <w:rPr>
          <w:rFonts w:asciiTheme="minorHAnsi" w:hAnsiTheme="minorHAnsi"/>
          <w:bCs/>
        </w:rPr>
        <w:t>are</w:t>
      </w:r>
      <w:r w:rsidR="00E10DFB" w:rsidRPr="006C410E">
        <w:rPr>
          <w:rFonts w:asciiTheme="minorHAnsi" w:hAnsiTheme="minorHAnsi"/>
          <w:bCs/>
        </w:rPr>
        <w:t xml:space="preserve"> </w:t>
      </w:r>
      <w:r w:rsidRPr="006C410E">
        <w:rPr>
          <w:rFonts w:asciiTheme="minorHAnsi" w:hAnsiTheme="minorHAnsi"/>
          <w:bCs/>
        </w:rPr>
        <w:t>intended to provide industry with options in meeting the new</w:t>
      </w:r>
      <w:r>
        <w:rPr>
          <w:rFonts w:asciiTheme="minorHAnsi" w:hAnsiTheme="minorHAnsi"/>
          <w:bCs/>
        </w:rPr>
        <w:t xml:space="preserve"> obligations and is also in recognition </w:t>
      </w:r>
      <w:r w:rsidR="00E10DFB">
        <w:rPr>
          <w:rFonts w:asciiTheme="minorHAnsi" w:hAnsiTheme="minorHAnsi"/>
          <w:bCs/>
        </w:rPr>
        <w:t xml:space="preserve">of </w:t>
      </w:r>
      <w:r>
        <w:rPr>
          <w:rFonts w:asciiTheme="minorHAnsi" w:hAnsiTheme="minorHAnsi"/>
          <w:bCs/>
        </w:rPr>
        <w:t xml:space="preserve">the </w:t>
      </w:r>
      <w:r w:rsidR="00E10DFB">
        <w:rPr>
          <w:rFonts w:asciiTheme="minorHAnsi" w:hAnsiTheme="minorHAnsi"/>
          <w:bCs/>
        </w:rPr>
        <w:t xml:space="preserve">variations in building stock and technical limitations of </w:t>
      </w:r>
      <w:r>
        <w:rPr>
          <w:rFonts w:asciiTheme="minorHAnsi" w:hAnsiTheme="minorHAnsi"/>
          <w:bCs/>
        </w:rPr>
        <w:t xml:space="preserve">FPAA 101D </w:t>
      </w:r>
      <w:r w:rsidR="00E10DFB">
        <w:rPr>
          <w:rFonts w:asciiTheme="minorHAnsi" w:hAnsiTheme="minorHAnsi"/>
          <w:bCs/>
        </w:rPr>
        <w:t>specification</w:t>
      </w:r>
      <w:r w:rsidRPr="00F25003">
        <w:rPr>
          <w:rFonts w:asciiTheme="minorHAnsi" w:hAnsiTheme="minorHAnsi"/>
          <w:bCs/>
        </w:rPr>
        <w:t>.</w:t>
      </w:r>
    </w:p>
    <w:p w:rsidR="00EB19C9" w:rsidRPr="002E4F1E" w:rsidRDefault="00EB19C9" w:rsidP="0062442C">
      <w:pPr>
        <w:pStyle w:val="Heading2"/>
        <w:rPr>
          <w:szCs w:val="32"/>
        </w:rPr>
      </w:pPr>
      <w:r w:rsidRPr="002E4F1E">
        <w:rPr>
          <w:szCs w:val="32"/>
        </w:rPr>
        <w:t xml:space="preserve">Costs </w:t>
      </w:r>
    </w:p>
    <w:p w:rsidR="00EB19C9" w:rsidRPr="004639DE" w:rsidRDefault="00EB19C9" w:rsidP="00EB19C9">
      <w:pPr>
        <w:rPr>
          <w:rFonts w:asciiTheme="minorHAnsi" w:hAnsiTheme="minorHAnsi"/>
        </w:rPr>
      </w:pPr>
      <w:r w:rsidRPr="004639DE">
        <w:rPr>
          <w:rFonts w:asciiTheme="minorHAnsi" w:hAnsiTheme="minorHAnsi"/>
        </w:rPr>
        <w:t>The costs of each solution are informed by two reports:</w:t>
      </w:r>
    </w:p>
    <w:p w:rsidR="00EB19C9" w:rsidRPr="004639DE" w:rsidRDefault="00EB19C9" w:rsidP="00EB19C9">
      <w:pPr>
        <w:pStyle w:val="ListParagraph"/>
        <w:numPr>
          <w:ilvl w:val="0"/>
          <w:numId w:val="14"/>
        </w:numPr>
        <w:spacing w:after="160" w:line="259" w:lineRule="auto"/>
        <w:rPr>
          <w:rFonts w:asciiTheme="minorHAnsi" w:hAnsiTheme="minorHAnsi"/>
        </w:rPr>
      </w:pPr>
      <w:r>
        <w:rPr>
          <w:rFonts w:asciiTheme="minorHAnsi" w:hAnsiTheme="minorHAnsi"/>
        </w:rPr>
        <w:t>Final Report on the Cost Implications of Fire Sprinklers in Class 2 and 3 Buildings</w:t>
      </w:r>
      <w:r w:rsidRPr="004639DE">
        <w:rPr>
          <w:rFonts w:asciiTheme="minorHAnsi" w:hAnsiTheme="minorHAnsi"/>
        </w:rPr>
        <w:t xml:space="preserve"> –</w:t>
      </w:r>
      <w:r w:rsidR="00CC6F28">
        <w:rPr>
          <w:rFonts w:asciiTheme="minorHAnsi" w:hAnsiTheme="minorHAnsi"/>
        </w:rPr>
        <w:t xml:space="preserve"> DCWC</w:t>
      </w:r>
      <w:r>
        <w:rPr>
          <w:rFonts w:asciiTheme="minorHAnsi" w:hAnsiTheme="minorHAnsi"/>
        </w:rPr>
        <w:t xml:space="preserve"> </w:t>
      </w:r>
      <w:r w:rsidR="00CC6F28">
        <w:rPr>
          <w:rFonts w:asciiTheme="minorHAnsi" w:hAnsiTheme="minorHAnsi"/>
        </w:rPr>
        <w:t>(</w:t>
      </w:r>
      <w:r>
        <w:rPr>
          <w:rFonts w:asciiTheme="minorHAnsi" w:hAnsiTheme="minorHAnsi"/>
        </w:rPr>
        <w:t>2018</w:t>
      </w:r>
      <w:r w:rsidR="00CC6F28">
        <w:rPr>
          <w:rFonts w:asciiTheme="minorHAnsi" w:hAnsiTheme="minorHAnsi"/>
        </w:rPr>
        <w:t>)</w:t>
      </w:r>
      <w:r w:rsidRPr="004639DE">
        <w:rPr>
          <w:rFonts w:asciiTheme="minorHAnsi" w:hAnsiTheme="minorHAnsi"/>
        </w:rPr>
        <w:t xml:space="preserve">. </w:t>
      </w:r>
    </w:p>
    <w:p w:rsidR="00EB19C9" w:rsidRPr="004639DE" w:rsidRDefault="00EB19C9" w:rsidP="00EB19C9">
      <w:pPr>
        <w:pStyle w:val="ListParagraph"/>
        <w:numPr>
          <w:ilvl w:val="0"/>
          <w:numId w:val="14"/>
        </w:numPr>
        <w:spacing w:after="160" w:line="259" w:lineRule="auto"/>
        <w:rPr>
          <w:rFonts w:asciiTheme="minorHAnsi" w:hAnsiTheme="minorHAnsi"/>
        </w:rPr>
      </w:pPr>
      <w:r w:rsidRPr="004639DE">
        <w:rPr>
          <w:rFonts w:asciiTheme="minorHAnsi" w:hAnsiTheme="minorHAnsi"/>
        </w:rPr>
        <w:t>Cost Effective Automatic Fire Sprinkler Protection for Class 2 and 3 Buildings – EFT Consulting</w:t>
      </w:r>
      <w:r w:rsidR="00CC6F28">
        <w:rPr>
          <w:rFonts w:asciiTheme="minorHAnsi" w:hAnsiTheme="minorHAnsi"/>
        </w:rPr>
        <w:t xml:space="preserve"> (2016)</w:t>
      </w:r>
      <w:r w:rsidRPr="004639DE">
        <w:rPr>
          <w:rFonts w:asciiTheme="minorHAnsi" w:hAnsiTheme="minorHAnsi"/>
        </w:rPr>
        <w:t xml:space="preserve">. </w:t>
      </w:r>
    </w:p>
    <w:p w:rsidR="00EB19C9" w:rsidRDefault="00EB19C9" w:rsidP="00EB19C9">
      <w:pPr>
        <w:spacing w:before="240"/>
      </w:pPr>
      <w:r>
        <w:rPr>
          <w:rFonts w:asciiTheme="minorHAnsi" w:hAnsiTheme="minorHAnsi"/>
        </w:rPr>
        <w:t xml:space="preserve">Revisions to the DCWC </w:t>
      </w:r>
      <w:r w:rsidRPr="00675141">
        <w:rPr>
          <w:rFonts w:asciiTheme="minorHAnsi" w:hAnsiTheme="minorHAnsi"/>
        </w:rPr>
        <w:t xml:space="preserve">estimates for materials have been </w:t>
      </w:r>
      <w:r>
        <w:rPr>
          <w:rFonts w:asciiTheme="minorHAnsi" w:hAnsiTheme="minorHAnsi"/>
        </w:rPr>
        <w:t>made in response to the updated FPAA specifications</w:t>
      </w:r>
      <w:r w:rsidR="00437CF7">
        <w:rPr>
          <w:rFonts w:asciiTheme="minorHAnsi" w:hAnsiTheme="minorHAnsi"/>
        </w:rPr>
        <w:t>,</w:t>
      </w:r>
      <w:r>
        <w:rPr>
          <w:rFonts w:asciiTheme="minorHAnsi" w:hAnsiTheme="minorHAnsi"/>
        </w:rPr>
        <w:t xml:space="preserve"> which are reflected in this Final RIS.</w:t>
      </w:r>
      <w:r w:rsidR="00E10DFB">
        <w:t xml:space="preserve"> C</w:t>
      </w:r>
      <w:r w:rsidR="00E10DFB" w:rsidRPr="00E10DFB">
        <w:rPr>
          <w:rFonts w:asciiTheme="minorHAnsi" w:hAnsiTheme="minorHAnsi"/>
        </w:rPr>
        <w:t xml:space="preserve">osts </w:t>
      </w:r>
      <w:r w:rsidR="00E10DFB">
        <w:rPr>
          <w:rFonts w:asciiTheme="minorHAnsi" w:hAnsiTheme="minorHAnsi"/>
        </w:rPr>
        <w:t xml:space="preserve">below </w:t>
      </w:r>
      <w:r w:rsidR="00E10DFB" w:rsidRPr="00E10DFB">
        <w:rPr>
          <w:rFonts w:asciiTheme="minorHAnsi" w:hAnsiTheme="minorHAnsi"/>
        </w:rPr>
        <w:t>are incremental</w:t>
      </w:r>
      <w:r w:rsidR="00437CF7">
        <w:rPr>
          <w:rFonts w:asciiTheme="minorHAnsi" w:hAnsiTheme="minorHAnsi"/>
        </w:rPr>
        <w:t>,</w:t>
      </w:r>
      <w:r w:rsidR="00E10DFB" w:rsidRPr="00E10DFB">
        <w:rPr>
          <w:rFonts w:asciiTheme="minorHAnsi" w:hAnsiTheme="minorHAnsi"/>
        </w:rPr>
        <w:t xml:space="preserve"> measured from the status quo baseline.</w:t>
      </w:r>
    </w:p>
    <w:p w:rsidR="00EB19C9" w:rsidRPr="00886482" w:rsidRDefault="00EB19C9" w:rsidP="00EB19C9">
      <w:pPr>
        <w:spacing w:before="240" w:after="0"/>
        <w:rPr>
          <w:rFonts w:asciiTheme="majorHAnsi" w:eastAsiaTheme="majorEastAsia" w:hAnsiTheme="majorHAnsi" w:cstheme="majorBidi"/>
          <w:bCs/>
          <w:color w:val="002060"/>
          <w:sz w:val="28"/>
          <w:szCs w:val="28"/>
        </w:rPr>
      </w:pPr>
      <w:r>
        <w:rPr>
          <w:rFonts w:asciiTheme="majorHAnsi" w:eastAsiaTheme="majorEastAsia" w:hAnsiTheme="majorHAnsi" w:cstheme="majorBidi"/>
          <w:bCs/>
          <w:color w:val="002060"/>
          <w:sz w:val="28"/>
          <w:szCs w:val="28"/>
        </w:rPr>
        <w:t>Representative Buildings</w:t>
      </w:r>
    </w:p>
    <w:p w:rsidR="00EB19C9" w:rsidRPr="002634BE" w:rsidRDefault="00EB19C9" w:rsidP="00EB19C9">
      <w:pPr>
        <w:rPr>
          <w:rFonts w:asciiTheme="minorHAnsi" w:hAnsiTheme="minorHAnsi"/>
        </w:rPr>
      </w:pPr>
      <w:r w:rsidRPr="002634BE">
        <w:rPr>
          <w:rFonts w:asciiTheme="minorHAnsi" w:hAnsiTheme="minorHAnsi"/>
        </w:rPr>
        <w:t xml:space="preserve">The Consultation RIS considered </w:t>
      </w:r>
      <w:r>
        <w:rPr>
          <w:rFonts w:asciiTheme="minorHAnsi" w:hAnsiTheme="minorHAnsi"/>
        </w:rPr>
        <w:t>four</w:t>
      </w:r>
      <w:r w:rsidRPr="002634BE">
        <w:rPr>
          <w:rFonts w:asciiTheme="minorHAnsi" w:hAnsiTheme="minorHAnsi"/>
        </w:rPr>
        <w:t xml:space="preserve"> representative Class 2 and 3 buildings:</w:t>
      </w:r>
    </w:p>
    <w:p w:rsidR="00EB19C9" w:rsidRPr="002634BE" w:rsidRDefault="00EB19C9" w:rsidP="00EB19C9">
      <w:pPr>
        <w:pStyle w:val="ListParagraph"/>
        <w:numPr>
          <w:ilvl w:val="0"/>
          <w:numId w:val="17"/>
        </w:numPr>
        <w:rPr>
          <w:rFonts w:asciiTheme="minorHAnsi" w:hAnsiTheme="minorHAnsi"/>
        </w:rPr>
      </w:pPr>
      <w:r w:rsidRPr="001F5FC4">
        <w:rPr>
          <w:rFonts w:asciiTheme="minorHAnsi" w:hAnsiTheme="minorHAnsi"/>
        </w:rPr>
        <w:t>A</w:t>
      </w:r>
      <w:r>
        <w:rPr>
          <w:rFonts w:asciiTheme="minorHAnsi" w:hAnsiTheme="minorHAnsi"/>
        </w:rPr>
        <w:t xml:space="preserve"> Class 2 building with an</w:t>
      </w:r>
      <w:r w:rsidRPr="001F5FC4">
        <w:rPr>
          <w:rFonts w:asciiTheme="minorHAnsi" w:hAnsiTheme="minorHAnsi"/>
        </w:rPr>
        <w:t xml:space="preserve"> average floor</w:t>
      </w:r>
      <w:r>
        <w:rPr>
          <w:rFonts w:asciiTheme="minorHAnsi" w:hAnsiTheme="minorHAnsi"/>
        </w:rPr>
        <w:t xml:space="preserve"> plate</w:t>
      </w:r>
      <w:r w:rsidRPr="001F5FC4">
        <w:rPr>
          <w:rFonts w:asciiTheme="minorHAnsi" w:hAnsiTheme="minorHAnsi"/>
        </w:rPr>
        <w:t xml:space="preserve"> area of 900</w:t>
      </w:r>
      <w:r>
        <w:rPr>
          <w:rFonts w:asciiTheme="minorHAnsi" w:hAnsiTheme="minorHAnsi"/>
        </w:rPr>
        <w:t xml:space="preserve"> </w:t>
      </w:r>
      <w:r w:rsidRPr="001F5FC4">
        <w:rPr>
          <w:rFonts w:asciiTheme="minorHAnsi" w:hAnsiTheme="minorHAnsi"/>
        </w:rPr>
        <w:t>m</w:t>
      </w:r>
      <w:r w:rsidRPr="00726BD2">
        <w:rPr>
          <w:rFonts w:asciiTheme="minorHAnsi" w:hAnsiTheme="minorHAnsi"/>
          <w:vertAlign w:val="superscript"/>
        </w:rPr>
        <w:t>2</w:t>
      </w:r>
      <w:r w:rsidRPr="001F5FC4">
        <w:rPr>
          <w:rFonts w:asciiTheme="minorHAnsi" w:hAnsiTheme="minorHAnsi"/>
        </w:rPr>
        <w:t xml:space="preserve"> </w:t>
      </w:r>
      <w:r>
        <w:rPr>
          <w:rFonts w:asciiTheme="minorHAnsi" w:hAnsiTheme="minorHAnsi"/>
        </w:rPr>
        <w:t xml:space="preserve">of </w:t>
      </w:r>
      <w:r w:rsidRPr="001F5FC4">
        <w:rPr>
          <w:rFonts w:asciiTheme="minorHAnsi" w:hAnsiTheme="minorHAnsi"/>
        </w:rPr>
        <w:t xml:space="preserve">six storeys </w:t>
      </w:r>
      <w:r>
        <w:rPr>
          <w:rFonts w:asciiTheme="minorHAnsi" w:hAnsiTheme="minorHAnsi"/>
        </w:rPr>
        <w:t xml:space="preserve">with a basement carpark and designed and constructed under the current DtS Provisions. It was assumed to contain 48 two bedroom </w:t>
      </w:r>
      <w:r w:rsidR="008E1534" w:rsidRPr="008E1534">
        <w:rPr>
          <w:rFonts w:asciiTheme="minorHAnsi" w:hAnsiTheme="minorHAnsi"/>
        </w:rPr>
        <w:t>SOUs</w:t>
      </w:r>
      <w:r>
        <w:rPr>
          <w:rFonts w:asciiTheme="minorHAnsi" w:hAnsiTheme="minorHAnsi"/>
        </w:rPr>
        <w:t xml:space="preserve"> and a carpark containing over 40 car spaces.</w:t>
      </w:r>
    </w:p>
    <w:p w:rsidR="00EB19C9" w:rsidRDefault="00EB19C9" w:rsidP="0022623A">
      <w:pPr>
        <w:pStyle w:val="ListParagraph"/>
        <w:numPr>
          <w:ilvl w:val="0"/>
          <w:numId w:val="17"/>
        </w:numPr>
        <w:rPr>
          <w:rFonts w:asciiTheme="minorHAnsi" w:hAnsiTheme="minorHAnsi"/>
        </w:rPr>
      </w:pPr>
      <w:r>
        <w:rPr>
          <w:rFonts w:asciiTheme="minorHAnsi" w:hAnsiTheme="minorHAnsi"/>
        </w:rPr>
        <w:t>A Class 2 building with an average floor plate area of 1200 m</w:t>
      </w:r>
      <w:r w:rsidRPr="00726BD2">
        <w:rPr>
          <w:rFonts w:asciiTheme="minorHAnsi" w:hAnsiTheme="minorHAnsi"/>
          <w:vertAlign w:val="superscript"/>
        </w:rPr>
        <w:t>2</w:t>
      </w:r>
      <w:r>
        <w:rPr>
          <w:rFonts w:asciiTheme="minorHAnsi" w:hAnsiTheme="minorHAnsi"/>
        </w:rPr>
        <w:t xml:space="preserve"> of six storeys with a basement carpark and designed and constructed under the current DtS Provisions. It was assumed to contain 72 two bedroom </w:t>
      </w:r>
      <w:r w:rsidR="008E1534" w:rsidRPr="008E1534">
        <w:rPr>
          <w:rFonts w:asciiTheme="minorHAnsi" w:hAnsiTheme="minorHAnsi"/>
        </w:rPr>
        <w:t>SOUs</w:t>
      </w:r>
      <w:r w:rsidR="008E1534">
        <w:rPr>
          <w:rFonts w:asciiTheme="minorHAnsi" w:hAnsiTheme="minorHAnsi"/>
        </w:rPr>
        <w:t xml:space="preserve"> </w:t>
      </w:r>
      <w:r>
        <w:rPr>
          <w:rFonts w:asciiTheme="minorHAnsi" w:hAnsiTheme="minorHAnsi"/>
        </w:rPr>
        <w:t>and a carpark containing over 40 car spaces.</w:t>
      </w:r>
    </w:p>
    <w:p w:rsidR="00EB19C9" w:rsidRDefault="00EB19C9" w:rsidP="008E1534">
      <w:pPr>
        <w:pStyle w:val="ListParagraph"/>
        <w:numPr>
          <w:ilvl w:val="0"/>
          <w:numId w:val="17"/>
        </w:numPr>
        <w:rPr>
          <w:rFonts w:asciiTheme="minorHAnsi" w:hAnsiTheme="minorHAnsi"/>
        </w:rPr>
      </w:pPr>
      <w:r w:rsidRPr="001F5FC4">
        <w:rPr>
          <w:rFonts w:asciiTheme="minorHAnsi" w:hAnsiTheme="minorHAnsi"/>
        </w:rPr>
        <w:t>A</w:t>
      </w:r>
      <w:r>
        <w:rPr>
          <w:rFonts w:asciiTheme="minorHAnsi" w:hAnsiTheme="minorHAnsi"/>
        </w:rPr>
        <w:t xml:space="preserve"> Class 3 building with an</w:t>
      </w:r>
      <w:r w:rsidRPr="001F5FC4">
        <w:rPr>
          <w:rFonts w:asciiTheme="minorHAnsi" w:hAnsiTheme="minorHAnsi"/>
        </w:rPr>
        <w:t xml:space="preserve"> average floor </w:t>
      </w:r>
      <w:r>
        <w:rPr>
          <w:rFonts w:asciiTheme="minorHAnsi" w:hAnsiTheme="minorHAnsi"/>
        </w:rPr>
        <w:t xml:space="preserve">plate </w:t>
      </w:r>
      <w:r w:rsidRPr="001F5FC4">
        <w:rPr>
          <w:rFonts w:asciiTheme="minorHAnsi" w:hAnsiTheme="minorHAnsi"/>
        </w:rPr>
        <w:t>area of 900</w:t>
      </w:r>
      <w:r>
        <w:rPr>
          <w:rFonts w:asciiTheme="minorHAnsi" w:hAnsiTheme="minorHAnsi"/>
        </w:rPr>
        <w:t xml:space="preserve"> </w:t>
      </w:r>
      <w:r w:rsidRPr="001F5FC4">
        <w:rPr>
          <w:rFonts w:asciiTheme="minorHAnsi" w:hAnsiTheme="minorHAnsi"/>
        </w:rPr>
        <w:t>m</w:t>
      </w:r>
      <w:r w:rsidRPr="00726BD2">
        <w:rPr>
          <w:rFonts w:asciiTheme="minorHAnsi" w:hAnsiTheme="minorHAnsi"/>
          <w:vertAlign w:val="superscript"/>
        </w:rPr>
        <w:t>2</w:t>
      </w:r>
      <w:r w:rsidRPr="001F5FC4">
        <w:rPr>
          <w:rFonts w:asciiTheme="minorHAnsi" w:hAnsiTheme="minorHAnsi"/>
        </w:rPr>
        <w:t xml:space="preserve"> </w:t>
      </w:r>
      <w:r>
        <w:rPr>
          <w:rFonts w:asciiTheme="minorHAnsi" w:hAnsiTheme="minorHAnsi"/>
        </w:rPr>
        <w:t xml:space="preserve">of </w:t>
      </w:r>
      <w:r w:rsidRPr="001F5FC4">
        <w:rPr>
          <w:rFonts w:asciiTheme="minorHAnsi" w:hAnsiTheme="minorHAnsi"/>
        </w:rPr>
        <w:t xml:space="preserve">six storeys </w:t>
      </w:r>
      <w:r>
        <w:rPr>
          <w:rFonts w:asciiTheme="minorHAnsi" w:hAnsiTheme="minorHAnsi"/>
        </w:rPr>
        <w:t xml:space="preserve">with a basement carpark and designed and constructed under the current DtS Provisions. It was assumed to contain 96 one bedroom </w:t>
      </w:r>
      <w:r w:rsidR="008E1534" w:rsidRPr="008E1534">
        <w:rPr>
          <w:rFonts w:asciiTheme="minorHAnsi" w:hAnsiTheme="minorHAnsi"/>
        </w:rPr>
        <w:t>SOUs</w:t>
      </w:r>
      <w:r>
        <w:rPr>
          <w:rFonts w:asciiTheme="minorHAnsi" w:hAnsiTheme="minorHAnsi"/>
        </w:rPr>
        <w:t>.</w:t>
      </w:r>
    </w:p>
    <w:p w:rsidR="00EB19C9" w:rsidRDefault="00EB19C9" w:rsidP="008E1534">
      <w:pPr>
        <w:pStyle w:val="ListParagraph"/>
        <w:numPr>
          <w:ilvl w:val="0"/>
          <w:numId w:val="17"/>
        </w:numPr>
        <w:rPr>
          <w:rFonts w:asciiTheme="minorHAnsi" w:hAnsiTheme="minorHAnsi"/>
        </w:rPr>
      </w:pPr>
      <w:r>
        <w:rPr>
          <w:rFonts w:asciiTheme="minorHAnsi" w:hAnsiTheme="minorHAnsi"/>
        </w:rPr>
        <w:t>A Class 3 building with an average floor plate area of 1200 m</w:t>
      </w:r>
      <w:r w:rsidRPr="00726BD2">
        <w:rPr>
          <w:rFonts w:asciiTheme="minorHAnsi" w:hAnsiTheme="minorHAnsi"/>
          <w:vertAlign w:val="superscript"/>
        </w:rPr>
        <w:t>2</w:t>
      </w:r>
      <w:r>
        <w:rPr>
          <w:rFonts w:asciiTheme="minorHAnsi" w:hAnsiTheme="minorHAnsi"/>
        </w:rPr>
        <w:t xml:space="preserve"> of six storeys with a basement carpark and designed and constructed under the current DtS Provisions. It was assumed to contain 144 one bedroom </w:t>
      </w:r>
      <w:r w:rsidR="008E1534" w:rsidRPr="008E1534">
        <w:rPr>
          <w:rFonts w:asciiTheme="minorHAnsi" w:hAnsiTheme="minorHAnsi"/>
        </w:rPr>
        <w:t>SOUs</w:t>
      </w:r>
      <w:r>
        <w:rPr>
          <w:rFonts w:asciiTheme="minorHAnsi" w:hAnsiTheme="minorHAnsi"/>
        </w:rPr>
        <w:t xml:space="preserve">. </w:t>
      </w:r>
    </w:p>
    <w:p w:rsidR="00EB19C9" w:rsidRDefault="00EB19C9" w:rsidP="00EB19C9">
      <w:pPr>
        <w:spacing w:before="240" w:after="0" w:line="259" w:lineRule="auto"/>
        <w:rPr>
          <w:rFonts w:asciiTheme="minorHAnsi" w:hAnsiTheme="minorHAnsi"/>
        </w:rPr>
      </w:pPr>
      <w:r>
        <w:rPr>
          <w:rFonts w:asciiTheme="minorHAnsi" w:hAnsiTheme="minorHAnsi"/>
        </w:rPr>
        <w:t>Since the Consultation RIS, information has been received that highlights that a proportion of Class 2 and 3 buildings are unlikely to contain more than one fire-isolated stair. As such, the impacts are now considered separately based on whether the bui</w:t>
      </w:r>
      <w:r w:rsidR="00CC6F28">
        <w:rPr>
          <w:rFonts w:asciiTheme="minorHAnsi" w:hAnsiTheme="minorHAnsi"/>
        </w:rPr>
        <w:t>lding has one or</w:t>
      </w:r>
      <w:r w:rsidR="00A94531">
        <w:rPr>
          <w:rFonts w:asciiTheme="minorHAnsi" w:hAnsiTheme="minorHAnsi"/>
        </w:rPr>
        <w:t xml:space="preserve"> more than one fire-isolated stair</w:t>
      </w:r>
      <w:r>
        <w:rPr>
          <w:rFonts w:asciiTheme="minorHAnsi" w:hAnsiTheme="minorHAnsi"/>
        </w:rPr>
        <w:t xml:space="preserve">.  The assumed floor plate sizes considered by the Consultation RIS have been retained for this Final RIS. </w:t>
      </w:r>
    </w:p>
    <w:p w:rsidR="00EB19C9" w:rsidRDefault="00EB19C9" w:rsidP="0011178D">
      <w:pPr>
        <w:pStyle w:val="Heading2"/>
        <w:spacing w:before="240"/>
        <w:rPr>
          <w:b w:val="0"/>
          <w:szCs w:val="32"/>
        </w:rPr>
      </w:pPr>
      <w:r w:rsidRPr="004D55E1">
        <w:rPr>
          <w:szCs w:val="32"/>
        </w:rPr>
        <w:lastRenderedPageBreak/>
        <w:t xml:space="preserve">Buildings containing </w:t>
      </w:r>
      <w:r>
        <w:rPr>
          <w:szCs w:val="32"/>
        </w:rPr>
        <w:t>a single</w:t>
      </w:r>
      <w:r w:rsidRPr="004D55E1">
        <w:rPr>
          <w:szCs w:val="32"/>
        </w:rPr>
        <w:t xml:space="preserve"> fire</w:t>
      </w:r>
      <w:r>
        <w:rPr>
          <w:szCs w:val="32"/>
        </w:rPr>
        <w:t>-isolated</w:t>
      </w:r>
      <w:r w:rsidRPr="004D55E1">
        <w:rPr>
          <w:szCs w:val="32"/>
        </w:rPr>
        <w:t xml:space="preserve"> stair</w:t>
      </w:r>
    </w:p>
    <w:p w:rsidR="00EB19C9" w:rsidRPr="00151270" w:rsidRDefault="00EB19C9" w:rsidP="0011178D">
      <w:pPr>
        <w:spacing w:line="259" w:lineRule="auto"/>
        <w:rPr>
          <w:rFonts w:asciiTheme="minorHAnsi" w:hAnsiTheme="minorHAnsi"/>
        </w:rPr>
      </w:pPr>
      <w:r>
        <w:rPr>
          <w:rFonts w:asciiTheme="minorHAnsi" w:hAnsiTheme="minorHAnsi"/>
        </w:rPr>
        <w:t>It is assumed that b</w:t>
      </w:r>
      <w:r w:rsidRPr="005179C2">
        <w:rPr>
          <w:rFonts w:asciiTheme="minorHAnsi" w:hAnsiTheme="minorHAnsi"/>
        </w:rPr>
        <w:t xml:space="preserve">uildings impacted by </w:t>
      </w:r>
      <w:r>
        <w:rPr>
          <w:rFonts w:asciiTheme="minorHAnsi" w:hAnsiTheme="minorHAnsi"/>
        </w:rPr>
        <w:t xml:space="preserve">Option 1 </w:t>
      </w:r>
      <w:r w:rsidR="00437CF7">
        <w:rPr>
          <w:rFonts w:asciiTheme="minorHAnsi" w:hAnsiTheme="minorHAnsi"/>
        </w:rPr>
        <w:t>that</w:t>
      </w:r>
      <w:r>
        <w:rPr>
          <w:rFonts w:asciiTheme="minorHAnsi" w:hAnsiTheme="minorHAnsi"/>
        </w:rPr>
        <w:t xml:space="preserve"> contain a single fire-</w:t>
      </w:r>
      <w:r w:rsidRPr="005179C2">
        <w:rPr>
          <w:rFonts w:asciiTheme="minorHAnsi" w:hAnsiTheme="minorHAnsi"/>
        </w:rPr>
        <w:t>isolated stair do not receive the benefits of off</w:t>
      </w:r>
      <w:r w:rsidR="00437CF7">
        <w:rPr>
          <w:rFonts w:asciiTheme="minorHAnsi" w:hAnsiTheme="minorHAnsi"/>
        </w:rPr>
        <w:t>-</w:t>
      </w:r>
      <w:r w:rsidRPr="005179C2">
        <w:rPr>
          <w:rFonts w:asciiTheme="minorHAnsi" w:hAnsiTheme="minorHAnsi"/>
        </w:rPr>
        <w:t xml:space="preserve">setting the costs of fire sprinklers </w:t>
      </w:r>
      <w:r>
        <w:rPr>
          <w:rFonts w:asciiTheme="minorHAnsi" w:hAnsiTheme="minorHAnsi"/>
        </w:rPr>
        <w:t>through</w:t>
      </w:r>
      <w:r w:rsidRPr="005179C2">
        <w:rPr>
          <w:rFonts w:asciiTheme="minorHAnsi" w:hAnsiTheme="minorHAnsi"/>
        </w:rPr>
        <w:t xml:space="preserve"> the removal of </w:t>
      </w:r>
      <w:r>
        <w:rPr>
          <w:rFonts w:asciiTheme="minorHAnsi" w:hAnsiTheme="minorHAnsi"/>
        </w:rPr>
        <w:t xml:space="preserve">a fire-isolated </w:t>
      </w:r>
      <w:r w:rsidRPr="005179C2">
        <w:rPr>
          <w:rFonts w:asciiTheme="minorHAnsi" w:hAnsiTheme="minorHAnsi"/>
        </w:rPr>
        <w:t>stair</w:t>
      </w:r>
      <w:r>
        <w:rPr>
          <w:rFonts w:asciiTheme="minorHAnsi" w:hAnsiTheme="minorHAnsi"/>
        </w:rPr>
        <w:t>.</w:t>
      </w:r>
      <w:r w:rsidRPr="005179C2">
        <w:rPr>
          <w:rFonts w:asciiTheme="minorHAnsi" w:hAnsiTheme="minorHAnsi"/>
        </w:rPr>
        <w:t xml:space="preserve"> </w:t>
      </w:r>
      <w:r w:rsidRPr="00151270">
        <w:rPr>
          <w:rFonts w:asciiTheme="minorHAnsi" w:hAnsiTheme="minorHAnsi"/>
        </w:rPr>
        <w:t xml:space="preserve">The following tables </w:t>
      </w:r>
      <w:r>
        <w:rPr>
          <w:rFonts w:asciiTheme="minorHAnsi" w:hAnsiTheme="minorHAnsi"/>
        </w:rPr>
        <w:t>show the cost implications of Option 1 in new Class 2 and 3 buildings with an average floor plate of 900m</w:t>
      </w:r>
      <w:r w:rsidRPr="00886482">
        <w:rPr>
          <w:rFonts w:asciiTheme="minorHAnsi" w:hAnsiTheme="minorHAnsi"/>
          <w:vertAlign w:val="superscript"/>
        </w:rPr>
        <w:t>2</w:t>
      </w:r>
      <w:r>
        <w:rPr>
          <w:rFonts w:asciiTheme="minorHAnsi" w:hAnsiTheme="minorHAnsi"/>
        </w:rPr>
        <w:t xml:space="preserve">.  </w:t>
      </w:r>
    </w:p>
    <w:p w:rsidR="00EB19C9" w:rsidRPr="0003376D" w:rsidRDefault="00EB19C9" w:rsidP="0011178D">
      <w:pPr>
        <w:spacing w:after="0"/>
        <w:jc w:val="center"/>
        <w:rPr>
          <w:rFonts w:asciiTheme="minorHAnsi" w:hAnsiTheme="minorHAnsi"/>
          <w:iCs/>
          <w:color w:val="002060"/>
          <w:sz w:val="24"/>
          <w:szCs w:val="24"/>
        </w:rPr>
      </w:pPr>
      <w:r w:rsidRPr="0003376D">
        <w:rPr>
          <w:rFonts w:asciiTheme="minorHAnsi" w:hAnsiTheme="minorHAnsi"/>
          <w:iCs/>
          <w:color w:val="002060"/>
          <w:sz w:val="24"/>
          <w:szCs w:val="24"/>
        </w:rPr>
        <w:t xml:space="preserve">Table </w:t>
      </w:r>
      <w:r w:rsidR="008A7DC4">
        <w:rPr>
          <w:rFonts w:asciiTheme="minorHAnsi" w:hAnsiTheme="minorHAnsi"/>
          <w:iCs/>
          <w:color w:val="002060"/>
          <w:sz w:val="24"/>
          <w:szCs w:val="24"/>
        </w:rPr>
        <w:t>7</w:t>
      </w:r>
      <w:r w:rsidRPr="0003376D">
        <w:rPr>
          <w:rFonts w:asciiTheme="minorHAnsi" w:hAnsiTheme="minorHAnsi"/>
          <w:iCs/>
          <w:color w:val="002060"/>
          <w:sz w:val="24"/>
          <w:szCs w:val="24"/>
        </w:rPr>
        <w:t>: Class 2 building – Single fire-isolated stair</w:t>
      </w:r>
    </w:p>
    <w:tbl>
      <w:tblPr>
        <w:tblW w:w="8520" w:type="dxa"/>
        <w:tblLook w:val="04A0" w:firstRow="1" w:lastRow="0" w:firstColumn="1" w:lastColumn="0" w:noHBand="0" w:noVBand="1"/>
      </w:tblPr>
      <w:tblGrid>
        <w:gridCol w:w="1960"/>
        <w:gridCol w:w="2060"/>
        <w:gridCol w:w="2220"/>
        <w:gridCol w:w="2280"/>
      </w:tblGrid>
      <w:tr w:rsidR="00EB19C9" w:rsidRPr="00F02CBA" w:rsidTr="00EB19C9">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002060"/>
            <w:vAlign w:val="bottom"/>
            <w:hideMark/>
          </w:tcPr>
          <w:p w:rsidR="00EB19C9" w:rsidRPr="00F02CBA" w:rsidRDefault="00EB19C9" w:rsidP="00EB19C9">
            <w:pPr>
              <w:spacing w:after="0" w:line="240" w:lineRule="auto"/>
              <w:jc w:val="center"/>
              <w:rPr>
                <w:rFonts w:ascii="Calibri" w:eastAsia="Times New Roman" w:hAnsi="Calibri" w:cs="Calibri"/>
                <w:color w:val="FFFFFF"/>
                <w:lang w:eastAsia="en-AU"/>
              </w:rPr>
            </w:pPr>
            <w:r w:rsidRPr="00F02CBA">
              <w:rPr>
                <w:rFonts w:ascii="Calibri" w:eastAsia="Times New Roman" w:hAnsi="Calibri" w:cs="Calibri"/>
                <w:color w:val="FFFFFF"/>
                <w:lang w:eastAsia="en-AU"/>
              </w:rPr>
              <w:t xml:space="preserve">Class 2 </w:t>
            </w:r>
            <w:r>
              <w:rPr>
                <w:rFonts w:ascii="Calibri" w:eastAsia="Times New Roman" w:hAnsi="Calibri" w:cs="Calibri"/>
                <w:color w:val="FFFFFF"/>
                <w:lang w:eastAsia="en-AU"/>
              </w:rPr>
              <w:t>–</w:t>
            </w:r>
            <w:r w:rsidRPr="00F02CBA">
              <w:rPr>
                <w:rFonts w:ascii="Calibri" w:eastAsia="Times New Roman" w:hAnsi="Calibri" w:cs="Calibri"/>
                <w:color w:val="FFFFFF"/>
                <w:lang w:eastAsia="en-AU"/>
              </w:rPr>
              <w:t xml:space="preserve"> </w:t>
            </w:r>
            <w:r>
              <w:rPr>
                <w:rFonts w:ascii="Calibri" w:eastAsia="Times New Roman" w:hAnsi="Calibri" w:cs="Calibri"/>
                <w:color w:val="FFFFFF"/>
                <w:lang w:eastAsia="en-AU"/>
              </w:rPr>
              <w:t>Single Stair</w:t>
            </w:r>
          </w:p>
        </w:tc>
        <w:tc>
          <w:tcPr>
            <w:tcW w:w="2060" w:type="dxa"/>
            <w:tcBorders>
              <w:top w:val="single" w:sz="4" w:space="0" w:color="auto"/>
              <w:left w:val="nil"/>
              <w:bottom w:val="single" w:sz="4" w:space="0" w:color="auto"/>
              <w:right w:val="single" w:sz="4" w:space="0" w:color="auto"/>
            </w:tcBorders>
            <w:shd w:val="clear" w:color="auto" w:fill="002060"/>
            <w:vAlign w:val="bottom"/>
            <w:hideMark/>
          </w:tcPr>
          <w:p w:rsidR="00EB19C9" w:rsidRPr="00F02CBA" w:rsidRDefault="00EB19C9" w:rsidP="00EB19C9">
            <w:pPr>
              <w:spacing w:after="0" w:line="240" w:lineRule="auto"/>
              <w:jc w:val="center"/>
              <w:rPr>
                <w:rFonts w:ascii="Calibri" w:eastAsia="Times New Roman" w:hAnsi="Calibri" w:cs="Calibri"/>
                <w:color w:val="FFFFFF"/>
                <w:lang w:eastAsia="en-AU"/>
              </w:rPr>
            </w:pPr>
            <w:r w:rsidRPr="00F02CBA">
              <w:rPr>
                <w:rFonts w:ascii="Calibri" w:eastAsia="Times New Roman" w:hAnsi="Calibri" w:cs="Calibri"/>
                <w:color w:val="FFFFFF"/>
                <w:lang w:eastAsia="en-AU"/>
              </w:rPr>
              <w:t xml:space="preserve">Present Value </w:t>
            </w:r>
            <w:r>
              <w:rPr>
                <w:rFonts w:ascii="Calibri" w:eastAsia="Times New Roman" w:hAnsi="Calibri" w:cs="Calibri"/>
                <w:color w:val="FFFFFF"/>
                <w:lang w:eastAsia="en-AU"/>
              </w:rPr>
              <w:t>Construction Costs</w:t>
            </w:r>
            <w:r w:rsidRPr="00F02CBA">
              <w:rPr>
                <w:rFonts w:ascii="Calibri" w:eastAsia="Times New Roman" w:hAnsi="Calibri" w:cs="Calibri"/>
                <w:color w:val="FFFFFF"/>
                <w:lang w:eastAsia="en-AU"/>
              </w:rPr>
              <w:t xml:space="preserve"> </w:t>
            </w:r>
          </w:p>
        </w:tc>
        <w:tc>
          <w:tcPr>
            <w:tcW w:w="2220" w:type="dxa"/>
            <w:tcBorders>
              <w:top w:val="single" w:sz="4" w:space="0" w:color="auto"/>
              <w:left w:val="nil"/>
              <w:bottom w:val="single" w:sz="4" w:space="0" w:color="auto"/>
              <w:right w:val="single" w:sz="4" w:space="0" w:color="auto"/>
            </w:tcBorders>
            <w:shd w:val="clear" w:color="auto" w:fill="002060"/>
            <w:vAlign w:val="bottom"/>
            <w:hideMark/>
          </w:tcPr>
          <w:p w:rsidR="00EB19C9" w:rsidRPr="00F02CBA" w:rsidRDefault="00EB19C9" w:rsidP="00EB19C9">
            <w:pPr>
              <w:spacing w:after="0" w:line="240" w:lineRule="auto"/>
              <w:jc w:val="center"/>
              <w:rPr>
                <w:rFonts w:ascii="Calibri" w:eastAsia="Times New Roman" w:hAnsi="Calibri" w:cs="Calibri"/>
                <w:color w:val="FFFFFF"/>
                <w:lang w:eastAsia="en-AU"/>
              </w:rPr>
            </w:pPr>
            <w:r w:rsidRPr="00F02CBA">
              <w:rPr>
                <w:rFonts w:ascii="Calibri" w:eastAsia="Times New Roman" w:hAnsi="Calibri" w:cs="Calibri"/>
                <w:color w:val="FFFFFF"/>
                <w:lang w:eastAsia="en-AU"/>
              </w:rPr>
              <w:t>Present Value Maintenance</w:t>
            </w:r>
          </w:p>
        </w:tc>
        <w:tc>
          <w:tcPr>
            <w:tcW w:w="2280" w:type="dxa"/>
            <w:tcBorders>
              <w:top w:val="single" w:sz="4" w:space="0" w:color="auto"/>
              <w:left w:val="nil"/>
              <w:bottom w:val="single" w:sz="4" w:space="0" w:color="auto"/>
              <w:right w:val="single" w:sz="4" w:space="0" w:color="auto"/>
            </w:tcBorders>
            <w:shd w:val="clear" w:color="auto" w:fill="002060"/>
            <w:vAlign w:val="bottom"/>
            <w:hideMark/>
          </w:tcPr>
          <w:p w:rsidR="00EB19C9" w:rsidRPr="00F02CBA" w:rsidRDefault="00EB19C9" w:rsidP="00EB19C9">
            <w:pPr>
              <w:spacing w:after="0" w:line="240" w:lineRule="auto"/>
              <w:jc w:val="center"/>
              <w:rPr>
                <w:rFonts w:ascii="Calibri" w:eastAsia="Times New Roman" w:hAnsi="Calibri" w:cs="Calibri"/>
                <w:color w:val="FFFFFF"/>
                <w:lang w:eastAsia="en-AU"/>
              </w:rPr>
            </w:pPr>
            <w:r w:rsidRPr="00F02CBA">
              <w:rPr>
                <w:rFonts w:ascii="Calibri" w:eastAsia="Times New Roman" w:hAnsi="Calibri" w:cs="Calibri"/>
                <w:color w:val="FFFFFF"/>
                <w:lang w:eastAsia="en-AU"/>
              </w:rPr>
              <w:t xml:space="preserve">Total </w:t>
            </w:r>
            <w:r>
              <w:rPr>
                <w:rFonts w:ascii="Calibri" w:eastAsia="Times New Roman" w:hAnsi="Calibri" w:cs="Calibri"/>
                <w:color w:val="FFFFFF"/>
                <w:lang w:eastAsia="en-AU"/>
              </w:rPr>
              <w:t>Cost</w:t>
            </w:r>
            <w:r w:rsidRPr="00F02CBA">
              <w:rPr>
                <w:rFonts w:ascii="Calibri" w:eastAsia="Times New Roman" w:hAnsi="Calibri" w:cs="Calibri"/>
                <w:color w:val="FFFFFF"/>
                <w:lang w:eastAsia="en-AU"/>
              </w:rPr>
              <w:t xml:space="preserve"> </w:t>
            </w:r>
          </w:p>
        </w:tc>
      </w:tr>
      <w:tr w:rsidR="00EB19C9" w:rsidRPr="00F02CBA"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sidRPr="00F02CBA">
              <w:rPr>
                <w:rFonts w:ascii="Calibri" w:eastAsia="Times New Roman" w:hAnsi="Calibri" w:cs="Calibri"/>
                <w:color w:val="000000"/>
                <w:lang w:eastAsia="en-AU"/>
              </w:rPr>
              <w:t xml:space="preserve">AS 2118.1 </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$307,971,860</w:t>
            </w:r>
          </w:p>
        </w:tc>
        <w:tc>
          <w:tcPr>
            <w:tcW w:w="2220" w:type="dxa"/>
            <w:tcBorders>
              <w:top w:val="nil"/>
              <w:left w:val="nil"/>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$102,325,643</w:t>
            </w:r>
          </w:p>
        </w:tc>
        <w:tc>
          <w:tcPr>
            <w:tcW w:w="2280" w:type="dxa"/>
            <w:tcBorders>
              <w:top w:val="nil"/>
              <w:left w:val="nil"/>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$410,297,503</w:t>
            </w:r>
          </w:p>
        </w:tc>
      </w:tr>
      <w:tr w:rsidR="00EB19C9" w:rsidRPr="00F02CBA"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sidRPr="00F02CBA">
              <w:rPr>
                <w:rFonts w:ascii="Calibri" w:eastAsia="Times New Roman" w:hAnsi="Calibri" w:cs="Calibri"/>
                <w:color w:val="000000"/>
                <w:lang w:eastAsia="en-AU"/>
              </w:rPr>
              <w:t>FPAA 101D</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02CBA" w:rsidRDefault="00EB19C9" w:rsidP="00483DE3">
            <w:pPr>
              <w:spacing w:after="0" w:line="240" w:lineRule="auto"/>
              <w:jc w:val="center"/>
              <w:rPr>
                <w:rFonts w:ascii="Calibri" w:eastAsia="Times New Roman" w:hAnsi="Calibri" w:cs="Calibri"/>
                <w:color w:val="000000"/>
                <w:lang w:eastAsia="en-AU"/>
              </w:rPr>
            </w:pPr>
            <w:r>
              <w:rPr>
                <w:rFonts w:ascii="Calibri" w:hAnsi="Calibri" w:cs="Calibri"/>
                <w:color w:val="000000"/>
              </w:rPr>
              <w:t>$</w:t>
            </w:r>
            <w:r w:rsidR="00483DE3">
              <w:rPr>
                <w:rFonts w:ascii="Calibri" w:hAnsi="Calibri" w:cs="Calibri"/>
                <w:color w:val="000000"/>
              </w:rPr>
              <w:t>138,501,174</w:t>
            </w:r>
          </w:p>
        </w:tc>
        <w:tc>
          <w:tcPr>
            <w:tcW w:w="2220" w:type="dxa"/>
            <w:tcBorders>
              <w:top w:val="nil"/>
              <w:left w:val="nil"/>
              <w:bottom w:val="single" w:sz="4" w:space="0" w:color="auto"/>
              <w:right w:val="single" w:sz="4" w:space="0" w:color="auto"/>
            </w:tcBorders>
            <w:shd w:val="clear" w:color="auto" w:fill="auto"/>
            <w:vAlign w:val="bottom"/>
            <w:hideMark/>
          </w:tcPr>
          <w:p w:rsidR="00EB19C9" w:rsidRPr="00F02CBA" w:rsidRDefault="00477DA8" w:rsidP="00483DE3">
            <w:pPr>
              <w:spacing w:after="0" w:line="240" w:lineRule="auto"/>
              <w:jc w:val="center"/>
              <w:rPr>
                <w:rFonts w:ascii="Calibri" w:eastAsia="Times New Roman" w:hAnsi="Calibri" w:cs="Calibri"/>
                <w:color w:val="000000"/>
                <w:lang w:eastAsia="en-AU"/>
              </w:rPr>
            </w:pPr>
            <w:r>
              <w:rPr>
                <w:rFonts w:ascii="Calibri" w:hAnsi="Calibri" w:cs="Calibri"/>
                <w:color w:val="000000"/>
              </w:rPr>
              <w:t>(</w:t>
            </w:r>
            <w:r w:rsidR="00EB19C9">
              <w:rPr>
                <w:rFonts w:ascii="Calibri" w:hAnsi="Calibri" w:cs="Calibri"/>
                <w:color w:val="000000"/>
              </w:rPr>
              <w:t>$</w:t>
            </w:r>
            <w:r w:rsidR="00483DE3">
              <w:rPr>
                <w:rFonts w:ascii="Calibri" w:hAnsi="Calibri" w:cs="Calibri"/>
                <w:color w:val="000000"/>
              </w:rPr>
              <w:t>4,565,272</w:t>
            </w:r>
            <w:r>
              <w:rPr>
                <w:rFonts w:ascii="Calibri" w:hAnsi="Calibri" w:cs="Calibri"/>
                <w:color w:val="000000"/>
              </w:rPr>
              <w:t>)</w:t>
            </w:r>
          </w:p>
        </w:tc>
        <w:tc>
          <w:tcPr>
            <w:tcW w:w="2280" w:type="dxa"/>
            <w:tcBorders>
              <w:top w:val="nil"/>
              <w:left w:val="nil"/>
              <w:bottom w:val="single" w:sz="4" w:space="0" w:color="auto"/>
              <w:right w:val="single" w:sz="4" w:space="0" w:color="auto"/>
            </w:tcBorders>
            <w:shd w:val="clear" w:color="auto" w:fill="auto"/>
            <w:vAlign w:val="bottom"/>
            <w:hideMark/>
          </w:tcPr>
          <w:p w:rsidR="00EB19C9" w:rsidRPr="00F02CBA" w:rsidRDefault="00EB19C9" w:rsidP="00483DE3">
            <w:pPr>
              <w:spacing w:after="0" w:line="240" w:lineRule="auto"/>
              <w:jc w:val="center"/>
              <w:rPr>
                <w:rFonts w:ascii="Calibri" w:eastAsia="Times New Roman" w:hAnsi="Calibri" w:cs="Calibri"/>
                <w:color w:val="000000"/>
                <w:lang w:eastAsia="en-AU"/>
              </w:rPr>
            </w:pPr>
            <w:r>
              <w:rPr>
                <w:rFonts w:ascii="Calibri" w:hAnsi="Calibri" w:cs="Calibri"/>
                <w:color w:val="000000"/>
              </w:rPr>
              <w:t>$</w:t>
            </w:r>
            <w:r w:rsidR="00483DE3">
              <w:rPr>
                <w:rFonts w:ascii="Calibri" w:hAnsi="Calibri" w:cs="Calibri"/>
                <w:color w:val="000000"/>
              </w:rPr>
              <w:t>133,935,902</w:t>
            </w:r>
          </w:p>
        </w:tc>
      </w:tr>
      <w:tr w:rsidR="00EB19C9" w:rsidRPr="00F02CBA"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sidRPr="00F02CBA">
              <w:rPr>
                <w:rFonts w:ascii="Calibri" w:eastAsia="Times New Roman" w:hAnsi="Calibri" w:cs="Calibri"/>
                <w:color w:val="000000"/>
                <w:lang w:eastAsia="en-AU"/>
              </w:rPr>
              <w:t>FPAA 101H</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$272,015,433</w:t>
            </w:r>
          </w:p>
        </w:tc>
        <w:tc>
          <w:tcPr>
            <w:tcW w:w="2220" w:type="dxa"/>
            <w:tcBorders>
              <w:top w:val="nil"/>
              <w:left w:val="nil"/>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$51,171,183</w:t>
            </w:r>
          </w:p>
        </w:tc>
        <w:tc>
          <w:tcPr>
            <w:tcW w:w="2280" w:type="dxa"/>
            <w:tcBorders>
              <w:top w:val="nil"/>
              <w:left w:val="nil"/>
              <w:bottom w:val="single" w:sz="4" w:space="0" w:color="auto"/>
              <w:right w:val="single" w:sz="4" w:space="0" w:color="auto"/>
            </w:tcBorders>
            <w:shd w:val="clear" w:color="auto" w:fill="auto"/>
            <w:vAlign w:val="bottom"/>
            <w:hideMark/>
          </w:tcPr>
          <w:p w:rsidR="00EB19C9" w:rsidRPr="00F02CBA"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$323,186,616</w:t>
            </w:r>
          </w:p>
        </w:tc>
      </w:tr>
    </w:tbl>
    <w:p w:rsidR="00EB19C9" w:rsidRDefault="00EB19C9" w:rsidP="00EB19C9">
      <w:pPr>
        <w:spacing w:before="120"/>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 xml:space="preserve">: </w:t>
      </w:r>
    </w:p>
    <w:p w:rsidR="00EB19C9" w:rsidRDefault="00EB19C9" w:rsidP="00EB19C9">
      <w:pPr>
        <w:pStyle w:val="ListParagraph"/>
        <w:numPr>
          <w:ilvl w:val="0"/>
          <w:numId w:val="32"/>
        </w:numPr>
        <w:spacing w:before="120"/>
        <w:rPr>
          <w:rFonts w:asciiTheme="minorHAnsi" w:hAnsiTheme="minorHAnsi"/>
          <w:sz w:val="18"/>
          <w:szCs w:val="18"/>
        </w:rPr>
      </w:pPr>
      <w:r w:rsidRPr="005C6FDB">
        <w:rPr>
          <w:rFonts w:asciiTheme="minorHAnsi" w:hAnsiTheme="minorHAnsi"/>
          <w:sz w:val="18"/>
          <w:szCs w:val="18"/>
        </w:rPr>
        <w:t>Present Value</w:t>
      </w:r>
      <w:r>
        <w:rPr>
          <w:rFonts w:asciiTheme="minorHAnsi" w:hAnsiTheme="minorHAnsi"/>
          <w:sz w:val="18"/>
          <w:szCs w:val="18"/>
        </w:rPr>
        <w:t xml:space="preserve"> construction costs</w:t>
      </w:r>
      <w:r w:rsidRPr="005C6FDB">
        <w:rPr>
          <w:rFonts w:asciiTheme="minorHAnsi" w:hAnsiTheme="minorHAnsi"/>
          <w:sz w:val="18"/>
          <w:szCs w:val="18"/>
        </w:rPr>
        <w:t xml:space="preserve"> have been calculated using a </w:t>
      </w:r>
      <w:r>
        <w:rPr>
          <w:rFonts w:asciiTheme="minorHAnsi" w:hAnsiTheme="minorHAnsi"/>
          <w:sz w:val="18"/>
          <w:szCs w:val="18"/>
        </w:rPr>
        <w:t>7% discount rate over 1</w:t>
      </w:r>
      <w:r w:rsidRPr="005C6FDB">
        <w:rPr>
          <w:rFonts w:asciiTheme="minorHAnsi" w:hAnsiTheme="minorHAnsi"/>
          <w:sz w:val="18"/>
          <w:szCs w:val="18"/>
        </w:rPr>
        <w:t>0 years.</w:t>
      </w:r>
    </w:p>
    <w:p w:rsidR="00EB19C9" w:rsidRDefault="00EB19C9" w:rsidP="00EB19C9">
      <w:pPr>
        <w:pStyle w:val="ListParagraph"/>
        <w:numPr>
          <w:ilvl w:val="0"/>
          <w:numId w:val="32"/>
        </w:numPr>
        <w:spacing w:before="120"/>
        <w:rPr>
          <w:rFonts w:asciiTheme="minorHAnsi" w:hAnsiTheme="minorHAnsi"/>
          <w:sz w:val="18"/>
          <w:szCs w:val="18"/>
        </w:rPr>
      </w:pPr>
      <w:r>
        <w:rPr>
          <w:rFonts w:asciiTheme="minorHAnsi" w:hAnsiTheme="minorHAnsi"/>
          <w:sz w:val="18"/>
          <w:szCs w:val="18"/>
        </w:rPr>
        <w:t xml:space="preserve">Present Value maintenance costs have been calculated using a 7% discount rate over 40 years. </w:t>
      </w:r>
    </w:p>
    <w:p w:rsidR="00477DA8" w:rsidRDefault="00477DA8" w:rsidP="00EB19C9">
      <w:pPr>
        <w:pStyle w:val="ListParagraph"/>
        <w:numPr>
          <w:ilvl w:val="0"/>
          <w:numId w:val="32"/>
        </w:numPr>
        <w:spacing w:before="120"/>
        <w:rPr>
          <w:rFonts w:asciiTheme="minorHAnsi" w:hAnsiTheme="minorHAnsi"/>
          <w:sz w:val="18"/>
          <w:szCs w:val="18"/>
        </w:rPr>
      </w:pPr>
      <w:r>
        <w:rPr>
          <w:rFonts w:asciiTheme="minorHAnsi" w:hAnsiTheme="minorHAnsi"/>
          <w:sz w:val="18"/>
          <w:szCs w:val="18"/>
        </w:rPr>
        <w:t xml:space="preserve">Bracketed values represent cost savings. </w:t>
      </w:r>
    </w:p>
    <w:p w:rsidR="00EB19C9" w:rsidRPr="0003376D" w:rsidRDefault="00EB19C9" w:rsidP="003C2575">
      <w:pPr>
        <w:spacing w:after="0"/>
        <w:jc w:val="center"/>
        <w:rPr>
          <w:rFonts w:asciiTheme="minorHAnsi" w:hAnsiTheme="minorHAnsi"/>
          <w:iCs/>
          <w:color w:val="002060"/>
          <w:sz w:val="24"/>
          <w:szCs w:val="24"/>
        </w:rPr>
      </w:pPr>
      <w:r w:rsidRPr="0003376D">
        <w:rPr>
          <w:rFonts w:asciiTheme="minorHAnsi" w:hAnsiTheme="minorHAnsi"/>
          <w:iCs/>
          <w:color w:val="002060"/>
          <w:sz w:val="24"/>
          <w:szCs w:val="24"/>
        </w:rPr>
        <w:t xml:space="preserve">Table </w:t>
      </w:r>
      <w:r w:rsidR="008A7DC4">
        <w:rPr>
          <w:rFonts w:asciiTheme="minorHAnsi" w:hAnsiTheme="minorHAnsi"/>
          <w:iCs/>
          <w:color w:val="002060"/>
          <w:sz w:val="24"/>
          <w:szCs w:val="24"/>
        </w:rPr>
        <w:t>8</w:t>
      </w:r>
      <w:r w:rsidRPr="0003376D">
        <w:rPr>
          <w:rFonts w:asciiTheme="minorHAnsi" w:hAnsiTheme="minorHAnsi"/>
          <w:iCs/>
          <w:color w:val="002060"/>
          <w:sz w:val="24"/>
          <w:szCs w:val="24"/>
        </w:rPr>
        <w:t>: Class 3 building – Single fire-isolated stair</w:t>
      </w:r>
      <w:r w:rsidRPr="003C2575">
        <w:rPr>
          <w:rFonts w:asciiTheme="minorHAnsi" w:hAnsiTheme="minorHAnsi"/>
          <w:iCs/>
          <w:color w:val="002060"/>
          <w:sz w:val="24"/>
          <w:szCs w:val="24"/>
        </w:rPr>
        <w:fldChar w:fldCharType="begin"/>
      </w:r>
      <w:r w:rsidRPr="0003376D">
        <w:rPr>
          <w:rFonts w:asciiTheme="minorHAnsi" w:hAnsiTheme="minorHAnsi"/>
          <w:iCs/>
          <w:color w:val="002060"/>
          <w:sz w:val="24"/>
          <w:szCs w:val="24"/>
        </w:rPr>
        <w:instrText xml:space="preserve"> LINK </w:instrText>
      </w:r>
      <w:r w:rsidR="0011178D">
        <w:rPr>
          <w:rFonts w:asciiTheme="minorHAnsi" w:hAnsiTheme="minorHAnsi"/>
          <w:iCs/>
          <w:color w:val="002060"/>
          <w:sz w:val="24"/>
          <w:szCs w:val="24"/>
        </w:rPr>
        <w:instrText xml:space="preserve">Excel.Sheet.12 https://dochub/div/australianbuildingcodesboard/businessfunctions/consultation/regulationimpactanalysis/docs/Final%20RIS%20-%20Costing%20Fire%20Safety%20Class%202%20and%20Class%203.xlsx "Central - 1 Stair!R65C4:R69C7" </w:instrText>
      </w:r>
      <w:r w:rsidRPr="0003376D">
        <w:rPr>
          <w:rFonts w:asciiTheme="minorHAnsi" w:hAnsiTheme="minorHAnsi"/>
          <w:iCs/>
          <w:color w:val="002060"/>
          <w:sz w:val="24"/>
          <w:szCs w:val="24"/>
        </w:rPr>
        <w:instrText xml:space="preserve">\a \f 4 \h  \* MERGEFORMAT </w:instrText>
      </w:r>
      <w:r w:rsidRPr="003C2575">
        <w:rPr>
          <w:rFonts w:asciiTheme="minorHAnsi" w:hAnsiTheme="minorHAnsi"/>
          <w:iCs/>
          <w:color w:val="002060"/>
          <w:sz w:val="24"/>
          <w:szCs w:val="24"/>
        </w:rPr>
        <w:fldChar w:fldCharType="separate"/>
      </w:r>
    </w:p>
    <w:tbl>
      <w:tblPr>
        <w:tblW w:w="8520" w:type="dxa"/>
        <w:tblLook w:val="04A0" w:firstRow="1" w:lastRow="0" w:firstColumn="1" w:lastColumn="0" w:noHBand="0" w:noVBand="1"/>
      </w:tblPr>
      <w:tblGrid>
        <w:gridCol w:w="1960"/>
        <w:gridCol w:w="2060"/>
        <w:gridCol w:w="2220"/>
        <w:gridCol w:w="2280"/>
      </w:tblGrid>
      <w:tr w:rsidR="00EB19C9" w:rsidRPr="003C2575" w:rsidTr="00EB19C9">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002060"/>
            <w:vAlign w:val="bottom"/>
            <w:hideMark/>
          </w:tcPr>
          <w:p w:rsidR="00EB19C9" w:rsidRPr="003C2575" w:rsidRDefault="00EB19C9" w:rsidP="003C2575">
            <w:pPr>
              <w:spacing w:after="0"/>
              <w:jc w:val="center"/>
              <w:rPr>
                <w:rFonts w:ascii="Calibri" w:eastAsia="Times New Roman" w:hAnsi="Calibri" w:cs="Calibri"/>
                <w:color w:val="FFFFFF"/>
                <w:lang w:eastAsia="en-AU"/>
              </w:rPr>
            </w:pPr>
            <w:r w:rsidRPr="003C2575">
              <w:rPr>
                <w:rFonts w:ascii="Calibri" w:eastAsia="Times New Roman" w:hAnsi="Calibri" w:cs="Calibri"/>
                <w:color w:val="FFFFFF"/>
                <w:lang w:eastAsia="en-AU"/>
              </w:rPr>
              <w:t xml:space="preserve">Class 3 - Single Stair </w:t>
            </w:r>
          </w:p>
        </w:tc>
        <w:tc>
          <w:tcPr>
            <w:tcW w:w="2060" w:type="dxa"/>
            <w:tcBorders>
              <w:top w:val="single" w:sz="4" w:space="0" w:color="auto"/>
              <w:left w:val="nil"/>
              <w:bottom w:val="single" w:sz="4" w:space="0" w:color="auto"/>
              <w:right w:val="single" w:sz="4" w:space="0" w:color="auto"/>
            </w:tcBorders>
            <w:shd w:val="clear" w:color="auto" w:fill="002060"/>
            <w:vAlign w:val="bottom"/>
            <w:hideMark/>
          </w:tcPr>
          <w:p w:rsidR="00EB19C9" w:rsidRPr="003C2575" w:rsidRDefault="00EB19C9" w:rsidP="003C2575">
            <w:pPr>
              <w:spacing w:after="0"/>
              <w:jc w:val="center"/>
              <w:rPr>
                <w:rFonts w:ascii="Calibri" w:eastAsia="Times New Roman" w:hAnsi="Calibri" w:cs="Calibri"/>
                <w:color w:val="FFFFFF"/>
                <w:lang w:eastAsia="en-AU"/>
              </w:rPr>
            </w:pPr>
            <w:r w:rsidRPr="003C2575">
              <w:rPr>
                <w:rFonts w:ascii="Calibri" w:eastAsia="Times New Roman" w:hAnsi="Calibri" w:cs="Calibri"/>
                <w:color w:val="FFFFFF"/>
                <w:lang w:eastAsia="en-AU"/>
              </w:rPr>
              <w:t xml:space="preserve">Present Value Construction Costs </w:t>
            </w:r>
          </w:p>
        </w:tc>
        <w:tc>
          <w:tcPr>
            <w:tcW w:w="2220" w:type="dxa"/>
            <w:tcBorders>
              <w:top w:val="single" w:sz="4" w:space="0" w:color="auto"/>
              <w:left w:val="nil"/>
              <w:bottom w:val="single" w:sz="4" w:space="0" w:color="auto"/>
              <w:right w:val="single" w:sz="4" w:space="0" w:color="auto"/>
            </w:tcBorders>
            <w:shd w:val="clear" w:color="auto" w:fill="002060"/>
            <w:vAlign w:val="bottom"/>
            <w:hideMark/>
          </w:tcPr>
          <w:p w:rsidR="00EB19C9" w:rsidRPr="003C2575" w:rsidRDefault="00EB19C9" w:rsidP="003C2575">
            <w:pPr>
              <w:spacing w:after="0"/>
              <w:jc w:val="center"/>
              <w:rPr>
                <w:rFonts w:ascii="Calibri" w:eastAsia="Times New Roman" w:hAnsi="Calibri" w:cs="Calibri"/>
                <w:color w:val="FFFFFF"/>
                <w:lang w:eastAsia="en-AU"/>
              </w:rPr>
            </w:pPr>
            <w:r w:rsidRPr="003C2575">
              <w:rPr>
                <w:rFonts w:ascii="Calibri" w:eastAsia="Times New Roman" w:hAnsi="Calibri" w:cs="Calibri"/>
                <w:color w:val="FFFFFF"/>
                <w:lang w:eastAsia="en-AU"/>
              </w:rPr>
              <w:t>Present Value Maintenance</w:t>
            </w:r>
          </w:p>
        </w:tc>
        <w:tc>
          <w:tcPr>
            <w:tcW w:w="2280" w:type="dxa"/>
            <w:tcBorders>
              <w:top w:val="single" w:sz="4" w:space="0" w:color="auto"/>
              <w:left w:val="nil"/>
              <w:bottom w:val="single" w:sz="4" w:space="0" w:color="auto"/>
              <w:right w:val="single" w:sz="4" w:space="0" w:color="auto"/>
            </w:tcBorders>
            <w:shd w:val="clear" w:color="auto" w:fill="002060"/>
            <w:vAlign w:val="bottom"/>
            <w:hideMark/>
          </w:tcPr>
          <w:p w:rsidR="00EB19C9" w:rsidRPr="003C2575" w:rsidRDefault="00EB19C9" w:rsidP="003C2575">
            <w:pPr>
              <w:spacing w:after="0"/>
              <w:jc w:val="center"/>
              <w:rPr>
                <w:rFonts w:ascii="Calibri" w:eastAsia="Times New Roman" w:hAnsi="Calibri" w:cs="Calibri"/>
                <w:color w:val="FFFFFF"/>
                <w:lang w:eastAsia="en-AU"/>
              </w:rPr>
            </w:pPr>
            <w:r w:rsidRPr="003C2575">
              <w:rPr>
                <w:rFonts w:ascii="Calibri" w:eastAsia="Times New Roman" w:hAnsi="Calibri" w:cs="Calibri"/>
                <w:color w:val="FFFFFF"/>
                <w:lang w:eastAsia="en-AU"/>
              </w:rPr>
              <w:t xml:space="preserve">Total Cost </w:t>
            </w:r>
          </w:p>
        </w:tc>
      </w:tr>
      <w:tr w:rsidR="00EB19C9" w:rsidRPr="003C2575"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3C2575" w:rsidRDefault="00EB19C9" w:rsidP="003C2575">
            <w:pPr>
              <w:spacing w:after="0" w:line="240" w:lineRule="auto"/>
              <w:jc w:val="center"/>
              <w:rPr>
                <w:rFonts w:ascii="Calibri" w:eastAsia="Times New Roman" w:hAnsi="Calibri" w:cs="Calibri"/>
                <w:color w:val="000000"/>
                <w:lang w:eastAsia="en-AU"/>
              </w:rPr>
            </w:pPr>
            <w:r w:rsidRPr="003C2575">
              <w:rPr>
                <w:rFonts w:ascii="Calibri" w:eastAsia="Times New Roman" w:hAnsi="Calibri" w:cs="Calibri"/>
                <w:color w:val="000000"/>
                <w:lang w:eastAsia="en-AU"/>
              </w:rPr>
              <w:t xml:space="preserve">AS 2118.1 </w:t>
            </w:r>
          </w:p>
        </w:tc>
        <w:tc>
          <w:tcPr>
            <w:tcW w:w="206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$3,090,019</w:t>
            </w:r>
          </w:p>
        </w:tc>
        <w:tc>
          <w:tcPr>
            <w:tcW w:w="222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w:t>
            </w:r>
            <w:r w:rsidR="00477DA8" w:rsidRPr="003C2575">
              <w:rPr>
                <w:rFonts w:ascii="Calibri" w:hAnsi="Calibri" w:cs="Calibri"/>
                <w:color w:val="000000"/>
              </w:rPr>
              <w:t>1,076,343</w:t>
            </w:r>
          </w:p>
        </w:tc>
        <w:tc>
          <w:tcPr>
            <w:tcW w:w="228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w:t>
            </w:r>
            <w:r w:rsidR="00477DA8" w:rsidRPr="003C2575">
              <w:rPr>
                <w:rFonts w:ascii="Calibri" w:hAnsi="Calibri" w:cs="Calibri"/>
                <w:color w:val="000000"/>
              </w:rPr>
              <w:t>4,166,362</w:t>
            </w:r>
          </w:p>
        </w:tc>
      </w:tr>
      <w:tr w:rsidR="00EB19C9" w:rsidRPr="003C2575"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3C2575" w:rsidRDefault="00EB19C9" w:rsidP="003C2575">
            <w:pPr>
              <w:spacing w:after="0" w:line="240" w:lineRule="auto"/>
              <w:jc w:val="center"/>
              <w:rPr>
                <w:rFonts w:ascii="Calibri" w:eastAsia="Times New Roman" w:hAnsi="Calibri" w:cs="Calibri"/>
                <w:color w:val="000000"/>
                <w:lang w:eastAsia="en-AU"/>
              </w:rPr>
            </w:pPr>
            <w:r w:rsidRPr="003C2575">
              <w:rPr>
                <w:rFonts w:ascii="Calibri" w:eastAsia="Times New Roman" w:hAnsi="Calibri" w:cs="Calibri"/>
                <w:color w:val="000000"/>
                <w:lang w:eastAsia="en-AU"/>
              </w:rPr>
              <w:t>FPAA 101D</w:t>
            </w:r>
          </w:p>
        </w:tc>
        <w:tc>
          <w:tcPr>
            <w:tcW w:w="206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w:t>
            </w:r>
            <w:r w:rsidR="00477DA8" w:rsidRPr="003C2575">
              <w:rPr>
                <w:rFonts w:ascii="Calibri" w:hAnsi="Calibri" w:cs="Calibri"/>
                <w:color w:val="000000"/>
              </w:rPr>
              <w:t>1,389,644</w:t>
            </w:r>
          </w:p>
        </w:tc>
        <w:tc>
          <w:tcPr>
            <w:tcW w:w="2220" w:type="dxa"/>
            <w:tcBorders>
              <w:top w:val="nil"/>
              <w:left w:val="nil"/>
              <w:bottom w:val="single" w:sz="4" w:space="0" w:color="auto"/>
              <w:right w:val="single" w:sz="4" w:space="0" w:color="auto"/>
            </w:tcBorders>
            <w:shd w:val="clear" w:color="auto" w:fill="auto"/>
            <w:vAlign w:val="bottom"/>
            <w:hideMark/>
          </w:tcPr>
          <w:p w:rsidR="00EB19C9" w:rsidRPr="003C2575" w:rsidRDefault="00477DA8" w:rsidP="003C2575">
            <w:pPr>
              <w:spacing w:after="0"/>
              <w:jc w:val="center"/>
              <w:rPr>
                <w:rFonts w:ascii="Calibri" w:hAnsi="Calibri" w:cs="Calibri"/>
                <w:color w:val="000000"/>
              </w:rPr>
            </w:pPr>
            <w:r w:rsidRPr="003C2575">
              <w:rPr>
                <w:rFonts w:ascii="Calibri" w:hAnsi="Calibri" w:cs="Calibri"/>
                <w:color w:val="000000"/>
              </w:rPr>
              <w:t>(</w:t>
            </w:r>
            <w:r w:rsidR="00EB19C9" w:rsidRPr="003C2575">
              <w:rPr>
                <w:rFonts w:ascii="Calibri" w:hAnsi="Calibri" w:cs="Calibri"/>
                <w:color w:val="000000"/>
              </w:rPr>
              <w:t>$</w:t>
            </w:r>
            <w:r w:rsidRPr="003C2575">
              <w:rPr>
                <w:rFonts w:ascii="Calibri" w:hAnsi="Calibri" w:cs="Calibri"/>
                <w:color w:val="000000"/>
              </w:rPr>
              <w:t>18,289)</w:t>
            </w:r>
          </w:p>
        </w:tc>
        <w:tc>
          <w:tcPr>
            <w:tcW w:w="228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w:t>
            </w:r>
            <w:r w:rsidR="00477DA8" w:rsidRPr="003C2575">
              <w:rPr>
                <w:rFonts w:ascii="Calibri" w:hAnsi="Calibri" w:cs="Calibri"/>
                <w:color w:val="000000"/>
              </w:rPr>
              <w:t>1,371,355</w:t>
            </w:r>
          </w:p>
        </w:tc>
      </w:tr>
      <w:tr w:rsidR="00EB19C9" w:rsidRPr="003C2575"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3C2575" w:rsidRDefault="00EB19C9" w:rsidP="003C2575">
            <w:pPr>
              <w:spacing w:after="0" w:line="240" w:lineRule="auto"/>
              <w:jc w:val="center"/>
              <w:rPr>
                <w:rFonts w:ascii="Calibri" w:eastAsia="Times New Roman" w:hAnsi="Calibri" w:cs="Calibri"/>
                <w:color w:val="000000"/>
                <w:lang w:eastAsia="en-AU"/>
              </w:rPr>
            </w:pPr>
            <w:r w:rsidRPr="003C2575">
              <w:rPr>
                <w:rFonts w:ascii="Calibri" w:eastAsia="Times New Roman" w:hAnsi="Calibri" w:cs="Calibri"/>
                <w:color w:val="000000"/>
                <w:lang w:eastAsia="en-AU"/>
              </w:rPr>
              <w:t>FPAA 101H</w:t>
            </w:r>
          </w:p>
        </w:tc>
        <w:tc>
          <w:tcPr>
            <w:tcW w:w="206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$2,729,252</w:t>
            </w:r>
          </w:p>
        </w:tc>
        <w:tc>
          <w:tcPr>
            <w:tcW w:w="222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w:t>
            </w:r>
            <w:r w:rsidR="00477DA8" w:rsidRPr="003C2575">
              <w:rPr>
                <w:rFonts w:ascii="Calibri" w:hAnsi="Calibri" w:cs="Calibri"/>
                <w:color w:val="000000"/>
              </w:rPr>
              <w:t>548,088</w:t>
            </w:r>
          </w:p>
        </w:tc>
        <w:tc>
          <w:tcPr>
            <w:tcW w:w="2280" w:type="dxa"/>
            <w:tcBorders>
              <w:top w:val="nil"/>
              <w:left w:val="nil"/>
              <w:bottom w:val="single" w:sz="4" w:space="0" w:color="auto"/>
              <w:right w:val="single" w:sz="4" w:space="0" w:color="auto"/>
            </w:tcBorders>
            <w:shd w:val="clear" w:color="auto" w:fill="auto"/>
            <w:vAlign w:val="bottom"/>
            <w:hideMark/>
          </w:tcPr>
          <w:p w:rsidR="00EB19C9" w:rsidRPr="003C2575" w:rsidRDefault="00EB19C9" w:rsidP="003C2575">
            <w:pPr>
              <w:spacing w:after="0"/>
              <w:jc w:val="center"/>
              <w:rPr>
                <w:rFonts w:ascii="Calibri" w:hAnsi="Calibri" w:cs="Calibri"/>
                <w:color w:val="000000"/>
              </w:rPr>
            </w:pPr>
            <w:r w:rsidRPr="003C2575">
              <w:rPr>
                <w:rFonts w:ascii="Calibri" w:hAnsi="Calibri" w:cs="Calibri"/>
                <w:color w:val="000000"/>
              </w:rPr>
              <w:t>$</w:t>
            </w:r>
            <w:r w:rsidR="00477DA8" w:rsidRPr="003C2575">
              <w:rPr>
                <w:rFonts w:ascii="Calibri" w:hAnsi="Calibri" w:cs="Calibri"/>
                <w:color w:val="000000"/>
              </w:rPr>
              <w:t>3,267,340</w:t>
            </w:r>
          </w:p>
        </w:tc>
      </w:tr>
    </w:tbl>
    <w:p w:rsidR="00EB19C9" w:rsidRPr="003C2575" w:rsidRDefault="00EB19C9" w:rsidP="003C2575">
      <w:pPr>
        <w:spacing w:after="0"/>
        <w:rPr>
          <w:rFonts w:asciiTheme="minorHAnsi" w:hAnsiTheme="minorHAnsi"/>
          <w:iCs/>
          <w:color w:val="002060"/>
          <w:sz w:val="24"/>
          <w:szCs w:val="24"/>
        </w:rPr>
      </w:pPr>
      <w:r w:rsidRPr="003C2575">
        <w:rPr>
          <w:rFonts w:asciiTheme="minorHAnsi" w:hAnsiTheme="minorHAnsi"/>
          <w:iCs/>
          <w:color w:val="002060"/>
          <w:sz w:val="24"/>
          <w:szCs w:val="24"/>
        </w:rPr>
        <w:fldChar w:fldCharType="end"/>
      </w:r>
      <w:r w:rsidRPr="00F02CBA">
        <w:rPr>
          <w:rFonts w:asciiTheme="minorHAnsi" w:hAnsiTheme="minorHAnsi"/>
          <w:sz w:val="18"/>
          <w:szCs w:val="18"/>
        </w:rPr>
        <w:t xml:space="preserve"> </w:t>
      </w: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 xml:space="preserve">: </w:t>
      </w:r>
    </w:p>
    <w:p w:rsidR="00EB19C9" w:rsidRDefault="00EB19C9" w:rsidP="00EB19C9">
      <w:pPr>
        <w:pStyle w:val="ListParagraph"/>
        <w:numPr>
          <w:ilvl w:val="0"/>
          <w:numId w:val="119"/>
        </w:numPr>
        <w:spacing w:before="120"/>
        <w:rPr>
          <w:rFonts w:asciiTheme="minorHAnsi" w:hAnsiTheme="minorHAnsi"/>
          <w:sz w:val="18"/>
          <w:szCs w:val="18"/>
        </w:rPr>
      </w:pPr>
      <w:r w:rsidRPr="005C6FDB">
        <w:rPr>
          <w:rFonts w:asciiTheme="minorHAnsi" w:hAnsiTheme="minorHAnsi"/>
          <w:sz w:val="18"/>
          <w:szCs w:val="18"/>
        </w:rPr>
        <w:t>Present Value</w:t>
      </w:r>
      <w:r>
        <w:rPr>
          <w:rFonts w:asciiTheme="minorHAnsi" w:hAnsiTheme="minorHAnsi"/>
          <w:sz w:val="18"/>
          <w:szCs w:val="18"/>
        </w:rPr>
        <w:t xml:space="preserve"> construction costs</w:t>
      </w:r>
      <w:r w:rsidRPr="005C6FDB">
        <w:rPr>
          <w:rFonts w:asciiTheme="minorHAnsi" w:hAnsiTheme="minorHAnsi"/>
          <w:sz w:val="18"/>
          <w:szCs w:val="18"/>
        </w:rPr>
        <w:t xml:space="preserve"> have been calculated using a </w:t>
      </w:r>
      <w:r>
        <w:rPr>
          <w:rFonts w:asciiTheme="minorHAnsi" w:hAnsiTheme="minorHAnsi"/>
          <w:sz w:val="18"/>
          <w:szCs w:val="18"/>
        </w:rPr>
        <w:t>7% discount rate over 1</w:t>
      </w:r>
      <w:r w:rsidRPr="005C6FDB">
        <w:rPr>
          <w:rFonts w:asciiTheme="minorHAnsi" w:hAnsiTheme="minorHAnsi"/>
          <w:sz w:val="18"/>
          <w:szCs w:val="18"/>
        </w:rPr>
        <w:t>0 years.</w:t>
      </w:r>
    </w:p>
    <w:p w:rsidR="00477DA8" w:rsidRDefault="00EB19C9" w:rsidP="00EB19C9">
      <w:pPr>
        <w:pStyle w:val="ListParagraph"/>
        <w:numPr>
          <w:ilvl w:val="0"/>
          <w:numId w:val="119"/>
        </w:numPr>
        <w:spacing w:before="120"/>
        <w:rPr>
          <w:rFonts w:asciiTheme="minorHAnsi" w:hAnsiTheme="minorHAnsi"/>
          <w:sz w:val="18"/>
          <w:szCs w:val="18"/>
        </w:rPr>
      </w:pPr>
      <w:r>
        <w:rPr>
          <w:rFonts w:asciiTheme="minorHAnsi" w:hAnsiTheme="minorHAnsi"/>
          <w:sz w:val="18"/>
          <w:szCs w:val="18"/>
        </w:rPr>
        <w:t>Present Value maintenance costs have been calculated using a 7% discount rate over 40 years.</w:t>
      </w:r>
    </w:p>
    <w:p w:rsidR="00EB19C9" w:rsidRPr="0003376D" w:rsidRDefault="00477DA8" w:rsidP="00477DA8">
      <w:pPr>
        <w:pStyle w:val="ListParagraph"/>
        <w:numPr>
          <w:ilvl w:val="0"/>
          <w:numId w:val="119"/>
        </w:numPr>
        <w:spacing w:before="120"/>
        <w:rPr>
          <w:rFonts w:asciiTheme="minorHAnsi" w:hAnsiTheme="minorHAnsi"/>
          <w:sz w:val="18"/>
          <w:szCs w:val="18"/>
        </w:rPr>
      </w:pPr>
      <w:r>
        <w:rPr>
          <w:rFonts w:asciiTheme="minorHAnsi" w:hAnsiTheme="minorHAnsi"/>
          <w:sz w:val="18"/>
          <w:szCs w:val="18"/>
        </w:rPr>
        <w:t>Bracketed values represent cost savings.</w:t>
      </w:r>
    </w:p>
    <w:tbl>
      <w:tblPr>
        <w:tblStyle w:val="TableGrid"/>
        <w:tblpPr w:leftFromText="180" w:rightFromText="180" w:vertAnchor="text" w:horzAnchor="margin" w:tblpY="432"/>
        <w:tblW w:w="8520" w:type="dxa"/>
        <w:tblLook w:val="04A0" w:firstRow="1" w:lastRow="0" w:firstColumn="1" w:lastColumn="0" w:noHBand="0" w:noVBand="1"/>
        <w:tblCaption w:val="Table 16: Total Class 2 and 3 buildings - Single fire-isolated stair"/>
        <w:tblDescription w:val="This table show the Present Values of each sprinkler option for Class 2 and 3 buildings with a single fire isolated stair. "/>
      </w:tblPr>
      <w:tblGrid>
        <w:gridCol w:w="1960"/>
        <w:gridCol w:w="2060"/>
        <w:gridCol w:w="2220"/>
        <w:gridCol w:w="2280"/>
      </w:tblGrid>
      <w:tr w:rsidR="003C2575" w:rsidRPr="00245C4D" w:rsidTr="003C2575">
        <w:trPr>
          <w:trHeight w:val="600"/>
          <w:tblHeader/>
        </w:trPr>
        <w:tc>
          <w:tcPr>
            <w:tcW w:w="1960" w:type="dxa"/>
            <w:shd w:val="clear" w:color="auto" w:fill="002060"/>
            <w:hideMark/>
          </w:tcPr>
          <w:p w:rsidR="003C2575" w:rsidRPr="00245C4D" w:rsidRDefault="003C2575" w:rsidP="003C2575">
            <w:pPr>
              <w:jc w:val="center"/>
              <w:rPr>
                <w:rFonts w:ascii="Calibri" w:eastAsia="Times New Roman" w:hAnsi="Calibri" w:cs="Calibri"/>
                <w:bCs/>
                <w:color w:val="FFFFFF"/>
                <w:lang w:eastAsia="en-AU"/>
              </w:rPr>
            </w:pPr>
            <w:r>
              <w:rPr>
                <w:rFonts w:ascii="Calibri" w:eastAsia="Times New Roman" w:hAnsi="Calibri" w:cs="Calibri"/>
                <w:bCs/>
                <w:color w:val="FFFFFF"/>
                <w:lang w:eastAsia="en-AU"/>
              </w:rPr>
              <w:t>Total Buildings -  Single</w:t>
            </w:r>
            <w:r w:rsidRPr="00245C4D">
              <w:rPr>
                <w:rFonts w:ascii="Calibri" w:eastAsia="Times New Roman" w:hAnsi="Calibri" w:cs="Calibri"/>
                <w:bCs/>
                <w:color w:val="FFFFFF"/>
                <w:lang w:eastAsia="en-AU"/>
              </w:rPr>
              <w:t xml:space="preserve"> </w:t>
            </w:r>
            <w:r>
              <w:rPr>
                <w:rFonts w:ascii="Calibri" w:eastAsia="Times New Roman" w:hAnsi="Calibri" w:cs="Calibri"/>
                <w:bCs/>
                <w:color w:val="FFFFFF"/>
                <w:lang w:eastAsia="en-AU"/>
              </w:rPr>
              <w:t>S</w:t>
            </w:r>
            <w:r w:rsidRPr="00245C4D">
              <w:rPr>
                <w:rFonts w:ascii="Calibri" w:eastAsia="Times New Roman" w:hAnsi="Calibri" w:cs="Calibri"/>
                <w:bCs/>
                <w:color w:val="FFFFFF"/>
                <w:lang w:eastAsia="en-AU"/>
              </w:rPr>
              <w:t>tair</w:t>
            </w:r>
          </w:p>
        </w:tc>
        <w:tc>
          <w:tcPr>
            <w:tcW w:w="2060" w:type="dxa"/>
            <w:shd w:val="clear" w:color="auto" w:fill="002060"/>
            <w:hideMark/>
          </w:tcPr>
          <w:p w:rsidR="003C2575" w:rsidRPr="00245C4D" w:rsidRDefault="003C2575" w:rsidP="003C2575">
            <w:pPr>
              <w:jc w:val="center"/>
              <w:rPr>
                <w:rFonts w:ascii="Calibri" w:eastAsia="Times New Roman" w:hAnsi="Calibri" w:cs="Calibri"/>
                <w:bCs/>
                <w:color w:val="FFFFFF"/>
                <w:lang w:eastAsia="en-AU"/>
              </w:rPr>
            </w:pPr>
            <w:r w:rsidRPr="00245C4D">
              <w:rPr>
                <w:rFonts w:ascii="Calibri" w:eastAsia="Times New Roman" w:hAnsi="Calibri" w:cs="Calibri"/>
                <w:bCs/>
                <w:color w:val="FFFFFF"/>
                <w:lang w:eastAsia="en-AU"/>
              </w:rPr>
              <w:t xml:space="preserve">Present Value </w:t>
            </w:r>
            <w:r>
              <w:rPr>
                <w:rFonts w:ascii="Calibri" w:eastAsia="Times New Roman" w:hAnsi="Calibri" w:cs="Calibri"/>
                <w:bCs/>
                <w:color w:val="FFFFFF"/>
                <w:lang w:eastAsia="en-AU"/>
              </w:rPr>
              <w:t>Construction Costs</w:t>
            </w:r>
          </w:p>
        </w:tc>
        <w:tc>
          <w:tcPr>
            <w:tcW w:w="2220" w:type="dxa"/>
            <w:shd w:val="clear" w:color="auto" w:fill="002060"/>
            <w:hideMark/>
          </w:tcPr>
          <w:p w:rsidR="003C2575" w:rsidRPr="00245C4D" w:rsidRDefault="003C2575" w:rsidP="003C2575">
            <w:pPr>
              <w:jc w:val="center"/>
              <w:rPr>
                <w:rFonts w:ascii="Calibri" w:eastAsia="Times New Roman" w:hAnsi="Calibri" w:cs="Calibri"/>
                <w:bCs/>
                <w:color w:val="FFFFFF"/>
                <w:lang w:eastAsia="en-AU"/>
              </w:rPr>
            </w:pPr>
            <w:r w:rsidRPr="00245C4D">
              <w:rPr>
                <w:rFonts w:ascii="Calibri" w:eastAsia="Times New Roman" w:hAnsi="Calibri" w:cs="Calibri"/>
                <w:bCs/>
                <w:color w:val="FFFFFF"/>
                <w:lang w:eastAsia="en-AU"/>
              </w:rPr>
              <w:t>Present Value Maintenance</w:t>
            </w:r>
          </w:p>
        </w:tc>
        <w:tc>
          <w:tcPr>
            <w:tcW w:w="2280" w:type="dxa"/>
            <w:shd w:val="clear" w:color="auto" w:fill="002060"/>
            <w:hideMark/>
          </w:tcPr>
          <w:p w:rsidR="003C2575" w:rsidRPr="00245C4D" w:rsidRDefault="003C2575" w:rsidP="003C2575">
            <w:pPr>
              <w:jc w:val="center"/>
              <w:rPr>
                <w:rFonts w:ascii="Calibri" w:eastAsia="Times New Roman" w:hAnsi="Calibri" w:cs="Calibri"/>
                <w:bCs/>
                <w:color w:val="FFFFFF"/>
                <w:lang w:eastAsia="en-AU"/>
              </w:rPr>
            </w:pPr>
            <w:r>
              <w:rPr>
                <w:rFonts w:ascii="Calibri" w:eastAsia="Times New Roman" w:hAnsi="Calibri" w:cs="Calibri"/>
                <w:bCs/>
                <w:color w:val="FFFFFF"/>
                <w:lang w:eastAsia="en-AU"/>
              </w:rPr>
              <w:t>Total Cost</w:t>
            </w:r>
          </w:p>
        </w:tc>
      </w:tr>
      <w:tr w:rsidR="003C2575" w:rsidRPr="00245C4D" w:rsidTr="003C2575">
        <w:trPr>
          <w:trHeight w:val="300"/>
        </w:trPr>
        <w:tc>
          <w:tcPr>
            <w:tcW w:w="1960" w:type="dxa"/>
            <w:hideMark/>
          </w:tcPr>
          <w:p w:rsidR="003C2575" w:rsidRPr="00245C4D" w:rsidRDefault="003C2575" w:rsidP="003C2575">
            <w:pPr>
              <w:jc w:val="center"/>
              <w:rPr>
                <w:rFonts w:ascii="Calibri" w:eastAsia="Times New Roman" w:hAnsi="Calibri" w:cs="Calibri"/>
                <w:bCs/>
                <w:color w:val="000000" w:themeColor="text1"/>
                <w:lang w:eastAsia="en-AU"/>
              </w:rPr>
            </w:pPr>
            <w:r w:rsidRPr="00245C4D">
              <w:rPr>
                <w:rFonts w:ascii="Calibri" w:eastAsia="Times New Roman" w:hAnsi="Calibri" w:cs="Calibri"/>
                <w:bCs/>
                <w:color w:val="000000" w:themeColor="text1"/>
                <w:lang w:eastAsia="en-AU"/>
              </w:rPr>
              <w:t xml:space="preserve">AS 2118.1 </w:t>
            </w:r>
          </w:p>
        </w:tc>
        <w:tc>
          <w:tcPr>
            <w:tcW w:w="206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$311,061,879</w:t>
            </w:r>
          </w:p>
        </w:tc>
        <w:tc>
          <w:tcPr>
            <w:tcW w:w="222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$103,401,986</w:t>
            </w:r>
          </w:p>
        </w:tc>
        <w:tc>
          <w:tcPr>
            <w:tcW w:w="228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$414,463,865</w:t>
            </w:r>
          </w:p>
        </w:tc>
      </w:tr>
      <w:tr w:rsidR="003C2575" w:rsidRPr="00245C4D" w:rsidTr="003C2575">
        <w:trPr>
          <w:trHeight w:val="300"/>
        </w:trPr>
        <w:tc>
          <w:tcPr>
            <w:tcW w:w="1960" w:type="dxa"/>
            <w:hideMark/>
          </w:tcPr>
          <w:p w:rsidR="003C2575" w:rsidRPr="00245C4D" w:rsidRDefault="003C2575" w:rsidP="003C2575">
            <w:pPr>
              <w:jc w:val="center"/>
              <w:rPr>
                <w:rFonts w:ascii="Calibri" w:eastAsia="Times New Roman" w:hAnsi="Calibri" w:cs="Calibri"/>
                <w:bCs/>
                <w:color w:val="000000" w:themeColor="text1"/>
                <w:lang w:eastAsia="en-AU"/>
              </w:rPr>
            </w:pPr>
            <w:r w:rsidRPr="00245C4D">
              <w:rPr>
                <w:rFonts w:ascii="Calibri" w:eastAsia="Times New Roman" w:hAnsi="Calibri" w:cs="Calibri"/>
                <w:bCs/>
                <w:color w:val="000000" w:themeColor="text1"/>
                <w:lang w:eastAsia="en-AU"/>
              </w:rPr>
              <w:t>FPAA 101D</w:t>
            </w:r>
          </w:p>
        </w:tc>
        <w:tc>
          <w:tcPr>
            <w:tcW w:w="206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$139,890,818</w:t>
            </w:r>
          </w:p>
        </w:tc>
        <w:tc>
          <w:tcPr>
            <w:tcW w:w="222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($4,583,561)</w:t>
            </w:r>
          </w:p>
        </w:tc>
        <w:tc>
          <w:tcPr>
            <w:tcW w:w="228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$135,307,257</w:t>
            </w:r>
          </w:p>
        </w:tc>
      </w:tr>
      <w:tr w:rsidR="003C2575" w:rsidRPr="00245C4D" w:rsidTr="003C2575">
        <w:trPr>
          <w:trHeight w:val="300"/>
        </w:trPr>
        <w:tc>
          <w:tcPr>
            <w:tcW w:w="1960" w:type="dxa"/>
            <w:hideMark/>
          </w:tcPr>
          <w:p w:rsidR="003C2575" w:rsidRPr="00245C4D" w:rsidRDefault="003C2575" w:rsidP="003C2575">
            <w:pPr>
              <w:jc w:val="center"/>
              <w:rPr>
                <w:rFonts w:ascii="Calibri" w:eastAsia="Times New Roman" w:hAnsi="Calibri" w:cs="Calibri"/>
                <w:bCs/>
                <w:color w:val="000000" w:themeColor="text1"/>
                <w:lang w:eastAsia="en-AU"/>
              </w:rPr>
            </w:pPr>
            <w:r w:rsidRPr="00245C4D">
              <w:rPr>
                <w:rFonts w:ascii="Calibri" w:eastAsia="Times New Roman" w:hAnsi="Calibri" w:cs="Calibri"/>
                <w:bCs/>
                <w:color w:val="000000" w:themeColor="text1"/>
                <w:lang w:eastAsia="en-AU"/>
              </w:rPr>
              <w:t>FPAA 101H</w:t>
            </w:r>
          </w:p>
        </w:tc>
        <w:tc>
          <w:tcPr>
            <w:tcW w:w="206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$274,744,685</w:t>
            </w:r>
          </w:p>
        </w:tc>
        <w:tc>
          <w:tcPr>
            <w:tcW w:w="222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$51,709,271</w:t>
            </w:r>
          </w:p>
        </w:tc>
        <w:tc>
          <w:tcPr>
            <w:tcW w:w="2280" w:type="dxa"/>
            <w:vAlign w:val="bottom"/>
            <w:hideMark/>
          </w:tcPr>
          <w:p w:rsidR="003C2575" w:rsidRPr="00245C4D" w:rsidRDefault="003C2575" w:rsidP="003C2575">
            <w:pPr>
              <w:jc w:val="center"/>
              <w:rPr>
                <w:rFonts w:ascii="Calibri" w:eastAsia="Times New Roman" w:hAnsi="Calibri" w:cs="Calibri"/>
                <w:bCs/>
                <w:color w:val="000000" w:themeColor="text1"/>
                <w:lang w:eastAsia="en-AU"/>
              </w:rPr>
            </w:pPr>
            <w:r>
              <w:rPr>
                <w:rFonts w:ascii="Calibri" w:hAnsi="Calibri" w:cs="Calibri"/>
                <w:color w:val="000000"/>
              </w:rPr>
              <w:t>$326,453,956</w:t>
            </w:r>
          </w:p>
        </w:tc>
      </w:tr>
    </w:tbl>
    <w:p w:rsidR="00EB19C9" w:rsidRPr="0003376D" w:rsidRDefault="003C2575" w:rsidP="0003376D">
      <w:pPr>
        <w:jc w:val="center"/>
        <w:rPr>
          <w:rFonts w:asciiTheme="minorHAnsi" w:hAnsiTheme="minorHAnsi"/>
          <w:iCs/>
          <w:color w:val="002060"/>
          <w:sz w:val="24"/>
          <w:szCs w:val="24"/>
        </w:rPr>
      </w:pPr>
      <w:r w:rsidRPr="0003376D">
        <w:rPr>
          <w:rFonts w:asciiTheme="minorHAnsi" w:hAnsiTheme="minorHAnsi"/>
          <w:iCs/>
          <w:color w:val="002060"/>
          <w:sz w:val="24"/>
          <w:szCs w:val="24"/>
        </w:rPr>
        <w:t xml:space="preserve"> </w:t>
      </w:r>
      <w:r w:rsidR="00EB19C9" w:rsidRPr="0003376D">
        <w:rPr>
          <w:rFonts w:asciiTheme="minorHAnsi" w:hAnsiTheme="minorHAnsi"/>
          <w:iCs/>
          <w:color w:val="002060"/>
          <w:sz w:val="24"/>
          <w:szCs w:val="24"/>
        </w:rPr>
        <w:t xml:space="preserve">Table </w:t>
      </w:r>
      <w:r w:rsidR="008A7DC4">
        <w:rPr>
          <w:rFonts w:asciiTheme="minorHAnsi" w:hAnsiTheme="minorHAnsi"/>
          <w:iCs/>
          <w:color w:val="002060"/>
          <w:sz w:val="24"/>
          <w:szCs w:val="24"/>
        </w:rPr>
        <w:t>9</w:t>
      </w:r>
      <w:r w:rsidR="00EB19C9" w:rsidRPr="0003376D">
        <w:rPr>
          <w:rFonts w:asciiTheme="minorHAnsi" w:hAnsiTheme="minorHAnsi"/>
          <w:iCs/>
          <w:color w:val="002060"/>
          <w:sz w:val="24"/>
          <w:szCs w:val="24"/>
        </w:rPr>
        <w:t xml:space="preserve">: Total Class 2 and 3 buildings – Single fire-isolated stair </w:t>
      </w:r>
      <w:r w:rsidR="00EB19C9">
        <w:rPr>
          <w:rFonts w:asciiTheme="minorHAnsi" w:hAnsiTheme="minorHAnsi"/>
          <w:iCs/>
          <w:color w:val="002060"/>
          <w:sz w:val="24"/>
          <w:szCs w:val="24"/>
        </w:rPr>
        <w:fldChar w:fldCharType="begin"/>
      </w:r>
      <w:r w:rsidR="00EB19C9" w:rsidRPr="0003376D">
        <w:rPr>
          <w:rFonts w:asciiTheme="minorHAnsi" w:hAnsiTheme="minorHAnsi"/>
          <w:iCs/>
          <w:color w:val="002060"/>
          <w:sz w:val="24"/>
          <w:szCs w:val="24"/>
        </w:rPr>
        <w:instrText xml:space="preserve"> LINK </w:instrText>
      </w:r>
      <w:r>
        <w:rPr>
          <w:rFonts w:asciiTheme="minorHAnsi" w:hAnsiTheme="minorHAnsi"/>
          <w:iCs/>
          <w:color w:val="002060"/>
          <w:sz w:val="24"/>
          <w:szCs w:val="24"/>
        </w:rPr>
        <w:instrText xml:space="preserve">Excel.Sheet.12 https://dochub/div/australianbuildingcodesboard/businessfunctions/consultation/regulationimpactanalysis/docs/Final%20RIS%20-%20Costing%20Fire%20Safety%20Class%202%20and%20Class%203.xlsx "Central - 1 Stair!R75C4:R79C7" </w:instrText>
      </w:r>
      <w:r w:rsidR="00EB19C9" w:rsidRPr="0003376D">
        <w:rPr>
          <w:rFonts w:asciiTheme="minorHAnsi" w:hAnsiTheme="minorHAnsi"/>
          <w:iCs/>
          <w:color w:val="002060"/>
          <w:sz w:val="24"/>
          <w:szCs w:val="24"/>
        </w:rPr>
        <w:instrText xml:space="preserve">\a \f 5 \h  \* MERGEFORMAT </w:instrText>
      </w:r>
      <w:r w:rsidR="00EB19C9">
        <w:rPr>
          <w:rFonts w:asciiTheme="minorHAnsi" w:hAnsiTheme="minorHAnsi"/>
          <w:iCs/>
          <w:color w:val="002060"/>
          <w:sz w:val="24"/>
          <w:szCs w:val="24"/>
        </w:rPr>
        <w:fldChar w:fldCharType="separate"/>
      </w:r>
    </w:p>
    <w:p w:rsidR="003C2575" w:rsidRDefault="00EB19C9" w:rsidP="00EB19C9">
      <w:pPr>
        <w:spacing w:before="120"/>
        <w:rPr>
          <w:rFonts w:asciiTheme="minorHAnsi" w:hAnsiTheme="minorHAnsi"/>
          <w:sz w:val="18"/>
          <w:szCs w:val="18"/>
        </w:rPr>
      </w:pPr>
      <w:r>
        <w:rPr>
          <w:rFonts w:asciiTheme="minorHAnsi" w:hAnsiTheme="minorHAnsi"/>
        </w:rPr>
        <w:fldChar w:fldCharType="end"/>
      </w:r>
      <w:r w:rsidRPr="00F02CBA">
        <w:rPr>
          <w:rFonts w:asciiTheme="minorHAnsi" w:hAnsiTheme="minorHAnsi"/>
          <w:sz w:val="18"/>
          <w:szCs w:val="18"/>
        </w:rPr>
        <w:t xml:space="preserve"> </w:t>
      </w:r>
    </w:p>
    <w:p w:rsidR="003C2575" w:rsidRDefault="003C2575" w:rsidP="00EB19C9">
      <w:pPr>
        <w:spacing w:before="120"/>
        <w:rPr>
          <w:rFonts w:asciiTheme="minorHAnsi" w:hAnsiTheme="minorHAnsi"/>
          <w:sz w:val="18"/>
          <w:szCs w:val="18"/>
        </w:rPr>
      </w:pPr>
    </w:p>
    <w:p w:rsidR="003C2575" w:rsidRDefault="003C2575" w:rsidP="00EB19C9">
      <w:pPr>
        <w:spacing w:before="120"/>
        <w:rPr>
          <w:rFonts w:asciiTheme="minorHAnsi" w:hAnsiTheme="minorHAnsi"/>
          <w:sz w:val="18"/>
          <w:szCs w:val="18"/>
        </w:rPr>
      </w:pPr>
    </w:p>
    <w:p w:rsidR="003C2575" w:rsidRDefault="003C2575" w:rsidP="00EB19C9">
      <w:pPr>
        <w:spacing w:before="120"/>
        <w:rPr>
          <w:rFonts w:asciiTheme="minorHAnsi" w:hAnsiTheme="minorHAnsi"/>
          <w:sz w:val="18"/>
          <w:szCs w:val="18"/>
        </w:rPr>
      </w:pPr>
    </w:p>
    <w:p w:rsidR="00EB19C9" w:rsidRDefault="00EB19C9" w:rsidP="00EB19C9">
      <w:pPr>
        <w:spacing w:before="120"/>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 xml:space="preserve">: </w:t>
      </w:r>
    </w:p>
    <w:p w:rsidR="00EB19C9" w:rsidRDefault="00EB19C9" w:rsidP="00EB19C9">
      <w:pPr>
        <w:pStyle w:val="ListParagraph"/>
        <w:numPr>
          <w:ilvl w:val="0"/>
          <w:numId w:val="120"/>
        </w:numPr>
        <w:spacing w:before="120"/>
        <w:rPr>
          <w:rFonts w:asciiTheme="minorHAnsi" w:hAnsiTheme="minorHAnsi"/>
          <w:sz w:val="18"/>
          <w:szCs w:val="18"/>
        </w:rPr>
      </w:pPr>
      <w:r w:rsidRPr="005C6FDB">
        <w:rPr>
          <w:rFonts w:asciiTheme="minorHAnsi" w:hAnsiTheme="minorHAnsi"/>
          <w:sz w:val="18"/>
          <w:szCs w:val="18"/>
        </w:rPr>
        <w:t>Present Value</w:t>
      </w:r>
      <w:r>
        <w:rPr>
          <w:rFonts w:asciiTheme="minorHAnsi" w:hAnsiTheme="minorHAnsi"/>
          <w:sz w:val="18"/>
          <w:szCs w:val="18"/>
        </w:rPr>
        <w:t xml:space="preserve"> construction costs</w:t>
      </w:r>
      <w:r w:rsidRPr="005C6FDB">
        <w:rPr>
          <w:rFonts w:asciiTheme="minorHAnsi" w:hAnsiTheme="minorHAnsi"/>
          <w:sz w:val="18"/>
          <w:szCs w:val="18"/>
        </w:rPr>
        <w:t xml:space="preserve"> have been calculated using a </w:t>
      </w:r>
      <w:r>
        <w:rPr>
          <w:rFonts w:asciiTheme="minorHAnsi" w:hAnsiTheme="minorHAnsi"/>
          <w:sz w:val="18"/>
          <w:szCs w:val="18"/>
        </w:rPr>
        <w:t>7% discount rate over 1</w:t>
      </w:r>
      <w:r w:rsidRPr="005C6FDB">
        <w:rPr>
          <w:rFonts w:asciiTheme="minorHAnsi" w:hAnsiTheme="minorHAnsi"/>
          <w:sz w:val="18"/>
          <w:szCs w:val="18"/>
        </w:rPr>
        <w:t>0 years.</w:t>
      </w:r>
    </w:p>
    <w:p w:rsidR="00EB19C9" w:rsidRDefault="00EB19C9" w:rsidP="00EB19C9">
      <w:pPr>
        <w:pStyle w:val="ListParagraph"/>
        <w:numPr>
          <w:ilvl w:val="0"/>
          <w:numId w:val="120"/>
        </w:numPr>
        <w:spacing w:before="120"/>
        <w:rPr>
          <w:rFonts w:asciiTheme="minorHAnsi" w:hAnsiTheme="minorHAnsi"/>
          <w:sz w:val="18"/>
          <w:szCs w:val="18"/>
        </w:rPr>
      </w:pPr>
      <w:r>
        <w:rPr>
          <w:rFonts w:asciiTheme="minorHAnsi" w:hAnsiTheme="minorHAnsi"/>
          <w:sz w:val="18"/>
          <w:szCs w:val="18"/>
        </w:rPr>
        <w:t xml:space="preserve">Present Value maintenance costs have been calculated using a 7% discount rate over 40 years. </w:t>
      </w:r>
    </w:p>
    <w:p w:rsidR="003C2575" w:rsidRDefault="00477DA8" w:rsidP="00477DA8">
      <w:pPr>
        <w:pStyle w:val="ListParagraph"/>
        <w:numPr>
          <w:ilvl w:val="0"/>
          <w:numId w:val="120"/>
        </w:numPr>
        <w:spacing w:before="120"/>
        <w:rPr>
          <w:rFonts w:asciiTheme="minorHAnsi" w:hAnsiTheme="minorHAnsi"/>
          <w:sz w:val="18"/>
          <w:szCs w:val="18"/>
        </w:rPr>
      </w:pPr>
      <w:r>
        <w:rPr>
          <w:rFonts w:asciiTheme="minorHAnsi" w:hAnsiTheme="minorHAnsi"/>
          <w:sz w:val="18"/>
          <w:szCs w:val="18"/>
        </w:rPr>
        <w:t>Bracketed values represent cost savings.</w:t>
      </w:r>
    </w:p>
    <w:p w:rsidR="00477DA8" w:rsidRPr="003C2575" w:rsidRDefault="003C2575" w:rsidP="003C2575">
      <w:pPr>
        <w:rPr>
          <w:rFonts w:asciiTheme="minorHAnsi" w:hAnsiTheme="minorHAnsi"/>
          <w:sz w:val="18"/>
          <w:szCs w:val="18"/>
        </w:rPr>
      </w:pPr>
      <w:r>
        <w:rPr>
          <w:rFonts w:asciiTheme="minorHAnsi" w:hAnsiTheme="minorHAnsi"/>
          <w:sz w:val="18"/>
          <w:szCs w:val="18"/>
        </w:rPr>
        <w:br w:type="page"/>
      </w:r>
    </w:p>
    <w:p w:rsidR="00EB19C9" w:rsidRDefault="00EB19C9" w:rsidP="00EB19C9">
      <w:pPr>
        <w:spacing w:before="240" w:after="0" w:line="259" w:lineRule="auto"/>
        <w:rPr>
          <w:rFonts w:asciiTheme="minorHAnsi" w:hAnsiTheme="minorHAnsi"/>
        </w:rPr>
      </w:pPr>
      <w:r w:rsidRPr="00F02CBA">
        <w:rPr>
          <w:rFonts w:asciiTheme="minorHAnsi" w:hAnsiTheme="minorHAnsi"/>
        </w:rPr>
        <w:lastRenderedPageBreak/>
        <w:t>Due to the absence of an a</w:t>
      </w:r>
      <w:r>
        <w:rPr>
          <w:rFonts w:asciiTheme="minorHAnsi" w:hAnsiTheme="minorHAnsi"/>
        </w:rPr>
        <w:t>dditional fire-isolated stair, no specification</w:t>
      </w:r>
      <w:r w:rsidRPr="00F02CBA">
        <w:rPr>
          <w:rFonts w:asciiTheme="minorHAnsi" w:hAnsiTheme="minorHAnsi"/>
        </w:rPr>
        <w:t xml:space="preserve"> demonstrate</w:t>
      </w:r>
      <w:r>
        <w:rPr>
          <w:rFonts w:asciiTheme="minorHAnsi" w:hAnsiTheme="minorHAnsi"/>
        </w:rPr>
        <w:t>s</w:t>
      </w:r>
      <w:r w:rsidRPr="00F02CBA">
        <w:rPr>
          <w:rFonts w:asciiTheme="minorHAnsi" w:hAnsiTheme="minorHAnsi"/>
        </w:rPr>
        <w:t xml:space="preserve"> cost savings when compared with the status quo baseline</w:t>
      </w:r>
      <w:r>
        <w:rPr>
          <w:rFonts w:asciiTheme="minorHAnsi" w:hAnsiTheme="minorHAnsi"/>
        </w:rPr>
        <w:t xml:space="preserve"> for smaller Class 2 and 3 buildings within four and eight storeys in height</w:t>
      </w:r>
      <w:r w:rsidRPr="00F02CBA">
        <w:rPr>
          <w:rFonts w:asciiTheme="minorHAnsi" w:hAnsiTheme="minorHAnsi"/>
        </w:rPr>
        <w:t xml:space="preserve">. Increases in construction </w:t>
      </w:r>
      <w:r>
        <w:rPr>
          <w:rFonts w:asciiTheme="minorHAnsi" w:hAnsiTheme="minorHAnsi"/>
        </w:rPr>
        <w:t xml:space="preserve">and maintenance </w:t>
      </w:r>
      <w:r w:rsidRPr="00F02CBA">
        <w:rPr>
          <w:rFonts w:asciiTheme="minorHAnsi" w:hAnsiTheme="minorHAnsi"/>
        </w:rPr>
        <w:t>costs</w:t>
      </w:r>
      <w:r>
        <w:rPr>
          <w:rFonts w:asciiTheme="minorHAnsi" w:hAnsiTheme="minorHAnsi"/>
        </w:rPr>
        <w:t xml:space="preserve"> range from </w:t>
      </w:r>
      <w:r w:rsidRPr="00477DA8">
        <w:rPr>
          <w:rFonts w:asciiTheme="minorHAnsi" w:hAnsiTheme="minorHAnsi"/>
        </w:rPr>
        <w:t>$1</w:t>
      </w:r>
      <w:r w:rsidR="00477DA8" w:rsidRPr="00477DA8">
        <w:rPr>
          <w:rFonts w:asciiTheme="minorHAnsi" w:hAnsiTheme="minorHAnsi"/>
        </w:rPr>
        <w:t>35</w:t>
      </w:r>
      <w:r w:rsidR="003C2575">
        <w:rPr>
          <w:rFonts w:asciiTheme="minorHAnsi" w:hAnsiTheme="minorHAnsi"/>
        </w:rPr>
        <w:t xml:space="preserve"> </w:t>
      </w:r>
      <w:r w:rsidRPr="00477DA8">
        <w:rPr>
          <w:rFonts w:asciiTheme="minorHAnsi" w:hAnsiTheme="minorHAnsi"/>
        </w:rPr>
        <w:t>million</w:t>
      </w:r>
      <w:r>
        <w:rPr>
          <w:rFonts w:asciiTheme="minorHAnsi" w:hAnsiTheme="minorHAnsi"/>
        </w:rPr>
        <w:t xml:space="preserve"> for the FPAA 101D</w:t>
      </w:r>
      <w:r w:rsidRPr="00F02CBA">
        <w:rPr>
          <w:rFonts w:asciiTheme="minorHAnsi" w:hAnsiTheme="minorHAnsi"/>
        </w:rPr>
        <w:t xml:space="preserve"> </w:t>
      </w:r>
      <w:r w:rsidR="00E10DFB">
        <w:rPr>
          <w:rFonts w:asciiTheme="minorHAnsi" w:hAnsiTheme="minorHAnsi"/>
        </w:rPr>
        <w:t>specification</w:t>
      </w:r>
      <w:r w:rsidR="00E10DFB" w:rsidRPr="00F02CBA">
        <w:rPr>
          <w:rFonts w:asciiTheme="minorHAnsi" w:hAnsiTheme="minorHAnsi"/>
        </w:rPr>
        <w:t xml:space="preserve"> </w:t>
      </w:r>
      <w:r w:rsidRPr="00F02CBA">
        <w:rPr>
          <w:rFonts w:asciiTheme="minorHAnsi" w:hAnsiTheme="minorHAnsi"/>
        </w:rPr>
        <w:t xml:space="preserve">to </w:t>
      </w:r>
      <w:r w:rsidRPr="00477DA8">
        <w:rPr>
          <w:rFonts w:asciiTheme="minorHAnsi" w:hAnsiTheme="minorHAnsi"/>
        </w:rPr>
        <w:t>$414</w:t>
      </w:r>
      <w:r>
        <w:rPr>
          <w:rFonts w:asciiTheme="minorHAnsi" w:hAnsiTheme="minorHAnsi"/>
        </w:rPr>
        <w:t xml:space="preserve"> million for the AS 2118.1 </w:t>
      </w:r>
      <w:r w:rsidR="00E10DFB">
        <w:rPr>
          <w:rFonts w:asciiTheme="minorHAnsi" w:hAnsiTheme="minorHAnsi"/>
        </w:rPr>
        <w:t xml:space="preserve">specification </w:t>
      </w:r>
      <w:r>
        <w:rPr>
          <w:rFonts w:asciiTheme="minorHAnsi" w:hAnsiTheme="minorHAnsi"/>
        </w:rPr>
        <w:t xml:space="preserve">in Present Value terms. </w:t>
      </w:r>
    </w:p>
    <w:p w:rsidR="00EB19C9" w:rsidRPr="00F02CBA" w:rsidRDefault="00EB19C9" w:rsidP="00EB19C9">
      <w:pPr>
        <w:spacing w:before="240" w:after="0" w:line="259" w:lineRule="auto"/>
        <w:rPr>
          <w:rFonts w:asciiTheme="minorHAnsi" w:hAnsiTheme="minorHAnsi"/>
        </w:rPr>
      </w:pPr>
      <w:r>
        <w:rPr>
          <w:rFonts w:asciiTheme="minorHAnsi" w:hAnsiTheme="minorHAnsi"/>
        </w:rPr>
        <w:t>These costs will be considered against the life safety benefits and other benefits described below.</w:t>
      </w:r>
    </w:p>
    <w:p w:rsidR="00EB19C9" w:rsidRPr="003C2575" w:rsidRDefault="00EB19C9" w:rsidP="00EB19C9">
      <w:pPr>
        <w:pStyle w:val="Heading2"/>
        <w:spacing w:before="240"/>
        <w:rPr>
          <w:szCs w:val="32"/>
        </w:rPr>
      </w:pPr>
      <w:r w:rsidRPr="004D55E1">
        <w:rPr>
          <w:szCs w:val="32"/>
        </w:rPr>
        <w:t xml:space="preserve">Buildings containing </w:t>
      </w:r>
      <w:r>
        <w:rPr>
          <w:szCs w:val="32"/>
        </w:rPr>
        <w:t>more than one</w:t>
      </w:r>
      <w:r w:rsidRPr="004D55E1">
        <w:rPr>
          <w:szCs w:val="32"/>
        </w:rPr>
        <w:t xml:space="preserve"> fire</w:t>
      </w:r>
      <w:r>
        <w:rPr>
          <w:szCs w:val="32"/>
        </w:rPr>
        <w:t>-isolated</w:t>
      </w:r>
      <w:r w:rsidRPr="004D55E1">
        <w:rPr>
          <w:szCs w:val="32"/>
        </w:rPr>
        <w:t xml:space="preserve"> stair</w:t>
      </w:r>
    </w:p>
    <w:p w:rsidR="00EB19C9" w:rsidRDefault="00EB19C9" w:rsidP="003C2575">
      <w:pPr>
        <w:rPr>
          <w:rFonts w:asciiTheme="minorHAnsi" w:hAnsiTheme="minorHAnsi"/>
        </w:rPr>
      </w:pPr>
      <w:r>
        <w:rPr>
          <w:rFonts w:asciiTheme="minorHAnsi" w:hAnsiTheme="minorHAnsi"/>
        </w:rPr>
        <w:t xml:space="preserve">As a result of the data received at consultation, a </w:t>
      </w:r>
      <w:r w:rsidR="00174DFC">
        <w:rPr>
          <w:rFonts w:asciiTheme="minorHAnsi" w:hAnsiTheme="minorHAnsi"/>
        </w:rPr>
        <w:t xml:space="preserve">smaller </w:t>
      </w:r>
      <w:r>
        <w:rPr>
          <w:rFonts w:asciiTheme="minorHAnsi" w:hAnsiTheme="minorHAnsi"/>
        </w:rPr>
        <w:t xml:space="preserve">proportion of Class 2 and 3 buildings are now assumed </w:t>
      </w:r>
      <w:r w:rsidR="00BB2EE7">
        <w:rPr>
          <w:rFonts w:asciiTheme="minorHAnsi" w:hAnsiTheme="minorHAnsi"/>
        </w:rPr>
        <w:t>to include an additional fire isolated-stair as a component of the status quo</w:t>
      </w:r>
      <w:r w:rsidR="00FE7D4E">
        <w:rPr>
          <w:rFonts w:asciiTheme="minorHAnsi" w:hAnsiTheme="minorHAnsi"/>
        </w:rPr>
        <w:t>.</w:t>
      </w:r>
      <w:r w:rsidR="00BB2EE7">
        <w:rPr>
          <w:rFonts w:asciiTheme="minorHAnsi" w:hAnsiTheme="minorHAnsi"/>
        </w:rPr>
        <w:t xml:space="preserve"> </w:t>
      </w:r>
      <w:r w:rsidR="00FE7D4E">
        <w:rPr>
          <w:rFonts w:asciiTheme="minorHAnsi" w:hAnsiTheme="minorHAnsi"/>
        </w:rPr>
        <w:t>The</w:t>
      </w:r>
      <w:r w:rsidR="00BB2EE7">
        <w:rPr>
          <w:rFonts w:asciiTheme="minorHAnsi" w:hAnsiTheme="minorHAnsi"/>
        </w:rPr>
        <w:t xml:space="preserve"> </w:t>
      </w:r>
      <w:r w:rsidR="00FE7D4E">
        <w:rPr>
          <w:rFonts w:asciiTheme="minorHAnsi" w:hAnsiTheme="minorHAnsi"/>
        </w:rPr>
        <w:t xml:space="preserve">proportion </w:t>
      </w:r>
      <w:r>
        <w:rPr>
          <w:rFonts w:asciiTheme="minorHAnsi" w:hAnsiTheme="minorHAnsi"/>
        </w:rPr>
        <w:t>greater than 1200 m</w:t>
      </w:r>
      <w:r w:rsidRPr="00036658">
        <w:rPr>
          <w:rFonts w:asciiTheme="minorHAnsi" w:hAnsiTheme="minorHAnsi"/>
          <w:vertAlign w:val="superscript"/>
        </w:rPr>
        <w:t>2</w:t>
      </w:r>
      <w:r>
        <w:rPr>
          <w:rFonts w:asciiTheme="minorHAnsi" w:hAnsiTheme="minorHAnsi"/>
        </w:rPr>
        <w:t xml:space="preserve"> </w:t>
      </w:r>
      <w:r w:rsidR="00FE7D4E">
        <w:rPr>
          <w:rFonts w:asciiTheme="minorHAnsi" w:hAnsiTheme="minorHAnsi"/>
        </w:rPr>
        <w:t>a</w:t>
      </w:r>
      <w:r>
        <w:rPr>
          <w:rFonts w:asciiTheme="minorHAnsi" w:hAnsiTheme="minorHAnsi"/>
        </w:rPr>
        <w:t xml:space="preserve">re assumed </w:t>
      </w:r>
      <w:r w:rsidR="00FE7D4E">
        <w:rPr>
          <w:rFonts w:asciiTheme="minorHAnsi" w:hAnsiTheme="minorHAnsi"/>
        </w:rPr>
        <w:t xml:space="preserve">to </w:t>
      </w:r>
      <w:r>
        <w:rPr>
          <w:rFonts w:asciiTheme="minorHAnsi" w:hAnsiTheme="minorHAnsi"/>
        </w:rPr>
        <w:t xml:space="preserve">qualify for </w:t>
      </w:r>
      <w:r w:rsidR="00FE7D4E">
        <w:rPr>
          <w:rFonts w:asciiTheme="minorHAnsi" w:hAnsiTheme="minorHAnsi"/>
        </w:rPr>
        <w:t xml:space="preserve">a stair’s </w:t>
      </w:r>
      <w:r>
        <w:rPr>
          <w:rFonts w:asciiTheme="minorHAnsi" w:hAnsiTheme="minorHAnsi"/>
        </w:rPr>
        <w:t>removal under the proposal.</w:t>
      </w:r>
      <w:r w:rsidR="00617F30" w:rsidRPr="00617F30">
        <w:rPr>
          <w:rStyle w:val="FootnoteReference"/>
          <w:rFonts w:asciiTheme="minorHAnsi" w:hAnsiTheme="minorHAnsi"/>
        </w:rPr>
        <w:t xml:space="preserve"> </w:t>
      </w:r>
      <w:r w:rsidR="00617F30">
        <w:rPr>
          <w:rStyle w:val="FootnoteReference"/>
          <w:rFonts w:asciiTheme="minorHAnsi" w:hAnsiTheme="minorHAnsi"/>
        </w:rPr>
        <w:footnoteReference w:id="23"/>
      </w:r>
      <w:r>
        <w:rPr>
          <w:rFonts w:asciiTheme="minorHAnsi" w:hAnsiTheme="minorHAnsi"/>
        </w:rPr>
        <w:t xml:space="preserve"> </w:t>
      </w:r>
      <w:r w:rsidRPr="00105387">
        <w:rPr>
          <w:rFonts w:asciiTheme="minorHAnsi" w:hAnsiTheme="minorHAnsi"/>
        </w:rPr>
        <w:t>The</w:t>
      </w:r>
      <w:r>
        <w:rPr>
          <w:rFonts w:asciiTheme="minorHAnsi" w:hAnsiTheme="minorHAnsi"/>
        </w:rPr>
        <w:t xml:space="preserve"> cost of each specification in terms of construction and maintenance is shown in the following tables.</w:t>
      </w:r>
      <w:r w:rsidR="00BB2EE7">
        <w:rPr>
          <w:rFonts w:asciiTheme="minorHAnsi" w:hAnsiTheme="minorHAnsi"/>
        </w:rPr>
        <w:t xml:space="preserve"> </w:t>
      </w:r>
    </w:p>
    <w:p w:rsidR="00EB19C9" w:rsidRPr="0003376D" w:rsidRDefault="00EB19C9" w:rsidP="003C2575">
      <w:pPr>
        <w:spacing w:after="0"/>
        <w:jc w:val="center"/>
        <w:rPr>
          <w:rFonts w:asciiTheme="minorHAnsi" w:hAnsiTheme="minorHAnsi"/>
          <w:iCs/>
          <w:color w:val="002060"/>
          <w:sz w:val="24"/>
          <w:szCs w:val="24"/>
        </w:rPr>
      </w:pPr>
      <w:r w:rsidRPr="0003376D">
        <w:rPr>
          <w:rFonts w:asciiTheme="minorHAnsi" w:hAnsiTheme="minorHAnsi"/>
          <w:iCs/>
          <w:color w:val="002060"/>
          <w:sz w:val="24"/>
          <w:szCs w:val="24"/>
        </w:rPr>
        <w:t>Table 1</w:t>
      </w:r>
      <w:r w:rsidR="008A7DC4">
        <w:rPr>
          <w:rFonts w:asciiTheme="minorHAnsi" w:hAnsiTheme="minorHAnsi"/>
          <w:iCs/>
          <w:color w:val="002060"/>
          <w:sz w:val="24"/>
          <w:szCs w:val="24"/>
        </w:rPr>
        <w:t>0</w:t>
      </w:r>
      <w:r w:rsidRPr="0003376D">
        <w:rPr>
          <w:rFonts w:asciiTheme="minorHAnsi" w:hAnsiTheme="minorHAnsi"/>
          <w:iCs/>
          <w:color w:val="002060"/>
          <w:sz w:val="24"/>
          <w:szCs w:val="24"/>
        </w:rPr>
        <w:t>: Total Class 2 Building – More than one fire-isolated stair</w:t>
      </w:r>
    </w:p>
    <w:tbl>
      <w:tblPr>
        <w:tblW w:w="8520" w:type="dxa"/>
        <w:tblLook w:val="04A0" w:firstRow="1" w:lastRow="0" w:firstColumn="1" w:lastColumn="0" w:noHBand="0" w:noVBand="1"/>
      </w:tblPr>
      <w:tblGrid>
        <w:gridCol w:w="1960"/>
        <w:gridCol w:w="2060"/>
        <w:gridCol w:w="2220"/>
        <w:gridCol w:w="2280"/>
      </w:tblGrid>
      <w:tr w:rsidR="009C6EE7" w:rsidRPr="005A12C6" w:rsidTr="00EB19C9">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 xml:space="preserve">Class 2 </w:t>
            </w:r>
          </w:p>
        </w:tc>
        <w:tc>
          <w:tcPr>
            <w:tcW w:w="2060" w:type="dxa"/>
            <w:tcBorders>
              <w:top w:val="single" w:sz="4" w:space="0" w:color="auto"/>
              <w:left w:val="nil"/>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 xml:space="preserve">Present Value </w:t>
            </w:r>
            <w:r>
              <w:rPr>
                <w:rFonts w:ascii="Calibri" w:eastAsia="Times New Roman" w:hAnsi="Calibri" w:cs="Calibri"/>
                <w:color w:val="FFFFFF"/>
                <w:lang w:eastAsia="en-AU"/>
              </w:rPr>
              <w:t>Construction Cost</w:t>
            </w:r>
            <w:r w:rsidRPr="005A12C6">
              <w:rPr>
                <w:rFonts w:ascii="Calibri" w:eastAsia="Times New Roman" w:hAnsi="Calibri" w:cs="Calibri"/>
                <w:color w:val="FFFFFF"/>
                <w:lang w:eastAsia="en-AU"/>
              </w:rPr>
              <w:t xml:space="preserve"> </w:t>
            </w:r>
          </w:p>
        </w:tc>
        <w:tc>
          <w:tcPr>
            <w:tcW w:w="2220" w:type="dxa"/>
            <w:tcBorders>
              <w:top w:val="single" w:sz="4" w:space="0" w:color="auto"/>
              <w:left w:val="nil"/>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Present Value Maintenance</w:t>
            </w:r>
          </w:p>
        </w:tc>
        <w:tc>
          <w:tcPr>
            <w:tcW w:w="2280" w:type="dxa"/>
            <w:tcBorders>
              <w:top w:val="single" w:sz="4" w:space="0" w:color="auto"/>
              <w:left w:val="nil"/>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 xml:space="preserve">Total </w:t>
            </w:r>
            <w:r>
              <w:rPr>
                <w:rFonts w:ascii="Calibri" w:eastAsia="Times New Roman" w:hAnsi="Calibri" w:cs="Calibri"/>
                <w:color w:val="FFFFFF"/>
                <w:lang w:eastAsia="en-AU"/>
              </w:rPr>
              <w:t>Cost</w:t>
            </w:r>
          </w:p>
        </w:tc>
      </w:tr>
      <w:tr w:rsidR="009C6EE7" w:rsidRPr="005A12C6"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5A12C6" w:rsidRDefault="00EB19C9" w:rsidP="00EB19C9">
            <w:pPr>
              <w:spacing w:after="0" w:line="240" w:lineRule="auto"/>
              <w:jc w:val="center"/>
              <w:rPr>
                <w:rFonts w:ascii="Calibri" w:eastAsia="Times New Roman" w:hAnsi="Calibri" w:cs="Calibri"/>
                <w:color w:val="000000"/>
                <w:lang w:eastAsia="en-AU"/>
              </w:rPr>
            </w:pPr>
            <w:r w:rsidRPr="005A12C6">
              <w:rPr>
                <w:rFonts w:ascii="Calibri" w:eastAsia="Times New Roman" w:hAnsi="Calibri" w:cs="Calibri"/>
                <w:color w:val="000000"/>
                <w:lang w:eastAsia="en-AU"/>
              </w:rPr>
              <w:t xml:space="preserve">AS 2118.1 </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6F2A43" w:rsidRDefault="00EB19C9" w:rsidP="00EB19C9">
            <w:pPr>
              <w:spacing w:after="0" w:line="240" w:lineRule="auto"/>
              <w:jc w:val="center"/>
              <w:rPr>
                <w:rFonts w:ascii="Calibri" w:eastAsia="Times New Roman" w:hAnsi="Calibri" w:cs="Calibri"/>
                <w:bCs/>
                <w:color w:val="000000" w:themeColor="text1"/>
                <w:lang w:eastAsia="en-AU"/>
              </w:rPr>
            </w:pPr>
            <w:r w:rsidRPr="006F2A43">
              <w:rPr>
                <w:rFonts w:ascii="Calibri" w:hAnsi="Calibri" w:cs="Calibri"/>
                <w:color w:val="000000"/>
              </w:rPr>
              <w:t>$201,202,693</w:t>
            </w:r>
          </w:p>
        </w:tc>
        <w:tc>
          <w:tcPr>
            <w:tcW w:w="222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9C6EE7">
            <w:pPr>
              <w:spacing w:after="0" w:line="240" w:lineRule="auto"/>
              <w:jc w:val="center"/>
              <w:rPr>
                <w:rFonts w:ascii="Calibri" w:eastAsia="Times New Roman" w:hAnsi="Calibri" w:cs="Calibri"/>
                <w:bCs/>
                <w:color w:val="000000" w:themeColor="text1"/>
                <w:lang w:eastAsia="en-AU"/>
              </w:rPr>
            </w:pPr>
            <w:r>
              <w:rPr>
                <w:rFonts w:ascii="Calibri" w:hAnsi="Calibri" w:cs="Calibri"/>
                <w:color w:val="000000"/>
              </w:rPr>
              <w:t>$</w:t>
            </w:r>
            <w:r w:rsidR="009C6EE7">
              <w:rPr>
                <w:rFonts w:ascii="Calibri" w:hAnsi="Calibri" w:cs="Calibri"/>
                <w:color w:val="000000"/>
              </w:rPr>
              <w:t>166,570,742</w:t>
            </w:r>
          </w:p>
        </w:tc>
        <w:tc>
          <w:tcPr>
            <w:tcW w:w="228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9C6EE7">
            <w:pPr>
              <w:spacing w:after="0" w:line="240" w:lineRule="auto"/>
              <w:jc w:val="center"/>
              <w:rPr>
                <w:rFonts w:ascii="Calibri" w:eastAsia="Times New Roman" w:hAnsi="Calibri" w:cs="Calibri"/>
                <w:bCs/>
                <w:color w:val="000000" w:themeColor="text1"/>
                <w:lang w:eastAsia="en-AU"/>
              </w:rPr>
            </w:pPr>
            <w:r>
              <w:rPr>
                <w:rFonts w:ascii="Calibri" w:hAnsi="Calibri" w:cs="Calibri"/>
                <w:color w:val="000000"/>
              </w:rPr>
              <w:t>$</w:t>
            </w:r>
            <w:r w:rsidR="009C6EE7">
              <w:rPr>
                <w:rFonts w:ascii="Calibri" w:hAnsi="Calibri" w:cs="Calibri"/>
                <w:color w:val="000000"/>
              </w:rPr>
              <w:t>367,773,435</w:t>
            </w:r>
          </w:p>
        </w:tc>
      </w:tr>
      <w:tr w:rsidR="009C6EE7" w:rsidRPr="005A12C6"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5A12C6" w:rsidRDefault="00EB19C9" w:rsidP="00EB19C9">
            <w:pPr>
              <w:spacing w:after="0" w:line="240" w:lineRule="auto"/>
              <w:jc w:val="center"/>
              <w:rPr>
                <w:rFonts w:ascii="Calibri" w:eastAsia="Times New Roman" w:hAnsi="Calibri" w:cs="Calibri"/>
                <w:color w:val="000000"/>
                <w:lang w:eastAsia="en-AU"/>
              </w:rPr>
            </w:pPr>
            <w:r w:rsidRPr="005A12C6">
              <w:rPr>
                <w:rFonts w:ascii="Calibri" w:eastAsia="Times New Roman" w:hAnsi="Calibri" w:cs="Calibri"/>
                <w:color w:val="000000"/>
                <w:lang w:eastAsia="en-AU"/>
              </w:rPr>
              <w:t>FPAA 101D</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E27DD" w:rsidRDefault="00EB19C9" w:rsidP="00D32A04">
            <w:pPr>
              <w:spacing w:after="0" w:line="240" w:lineRule="auto"/>
              <w:jc w:val="center"/>
              <w:rPr>
                <w:rFonts w:ascii="Calibri" w:eastAsia="Times New Roman" w:hAnsi="Calibri" w:cs="Calibri"/>
                <w:bCs/>
                <w:color w:val="000000" w:themeColor="text1"/>
                <w:lang w:eastAsia="en-AU"/>
              </w:rPr>
            </w:pPr>
            <w:r w:rsidRPr="006F2A43">
              <w:rPr>
                <w:rFonts w:ascii="Calibri" w:hAnsi="Calibri" w:cs="Calibri"/>
                <w:color w:val="000000"/>
              </w:rPr>
              <w:t>($</w:t>
            </w:r>
            <w:r w:rsidR="00D32A04" w:rsidRPr="006F2A43">
              <w:rPr>
                <w:rFonts w:ascii="Calibri" w:hAnsi="Calibri" w:cs="Calibri"/>
                <w:color w:val="000000"/>
              </w:rPr>
              <w:t>141,320,939</w:t>
            </w:r>
            <w:r w:rsidRPr="00FE27DD">
              <w:rPr>
                <w:rFonts w:ascii="Calibri" w:hAnsi="Calibri" w:cs="Calibri"/>
                <w:color w:val="000000"/>
              </w:rPr>
              <w:t>)</w:t>
            </w:r>
          </w:p>
        </w:tc>
        <w:tc>
          <w:tcPr>
            <w:tcW w:w="2220" w:type="dxa"/>
            <w:tcBorders>
              <w:top w:val="nil"/>
              <w:left w:val="nil"/>
              <w:bottom w:val="single" w:sz="4" w:space="0" w:color="auto"/>
              <w:right w:val="single" w:sz="4" w:space="0" w:color="auto"/>
            </w:tcBorders>
            <w:shd w:val="clear" w:color="auto" w:fill="auto"/>
            <w:vAlign w:val="bottom"/>
            <w:hideMark/>
          </w:tcPr>
          <w:p w:rsidR="00EB19C9" w:rsidRPr="002C1C77" w:rsidRDefault="00D32A04" w:rsidP="009C6EE7">
            <w:pPr>
              <w:spacing w:after="0" w:line="240" w:lineRule="auto"/>
              <w:jc w:val="center"/>
              <w:rPr>
                <w:rFonts w:ascii="Calibri" w:eastAsia="Times New Roman" w:hAnsi="Calibri" w:cs="Calibri"/>
                <w:bCs/>
                <w:color w:val="000000" w:themeColor="text1"/>
                <w:lang w:eastAsia="en-AU"/>
              </w:rPr>
            </w:pPr>
            <w:r>
              <w:rPr>
                <w:rFonts w:ascii="Calibri" w:hAnsi="Calibri" w:cs="Calibri"/>
                <w:color w:val="000000"/>
              </w:rPr>
              <w:t>(</w:t>
            </w:r>
            <w:r w:rsidR="00EB19C9">
              <w:rPr>
                <w:rFonts w:ascii="Calibri" w:hAnsi="Calibri" w:cs="Calibri"/>
                <w:color w:val="000000"/>
              </w:rPr>
              <w:t>$</w:t>
            </w:r>
            <w:r w:rsidR="009C6EE7">
              <w:rPr>
                <w:rFonts w:ascii="Calibri" w:hAnsi="Calibri" w:cs="Calibri"/>
                <w:color w:val="000000"/>
              </w:rPr>
              <w:t>18,821,070</w:t>
            </w:r>
            <w:r>
              <w:rPr>
                <w:rFonts w:ascii="Calibri" w:hAnsi="Calibri" w:cs="Calibri"/>
                <w:color w:val="000000"/>
              </w:rPr>
              <w:t>)</w:t>
            </w:r>
          </w:p>
        </w:tc>
        <w:tc>
          <w:tcPr>
            <w:tcW w:w="228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9C6EE7">
            <w:pPr>
              <w:spacing w:after="0" w:line="240" w:lineRule="auto"/>
              <w:jc w:val="center"/>
              <w:rPr>
                <w:rFonts w:ascii="Calibri" w:eastAsia="Times New Roman" w:hAnsi="Calibri" w:cs="Calibri"/>
                <w:bCs/>
                <w:color w:val="000000" w:themeColor="text1"/>
                <w:lang w:eastAsia="en-AU"/>
              </w:rPr>
            </w:pPr>
            <w:r>
              <w:rPr>
                <w:rFonts w:ascii="Calibri" w:hAnsi="Calibri" w:cs="Calibri"/>
                <w:color w:val="000000"/>
              </w:rPr>
              <w:t>($</w:t>
            </w:r>
            <w:r w:rsidR="009C6EE7">
              <w:rPr>
                <w:rFonts w:ascii="Calibri" w:hAnsi="Calibri" w:cs="Calibri"/>
                <w:color w:val="000000"/>
              </w:rPr>
              <w:t>160,142,009</w:t>
            </w:r>
            <w:r>
              <w:rPr>
                <w:rFonts w:ascii="Calibri" w:hAnsi="Calibri" w:cs="Calibri"/>
                <w:color w:val="000000"/>
              </w:rPr>
              <w:t>)</w:t>
            </w:r>
          </w:p>
        </w:tc>
      </w:tr>
      <w:tr w:rsidR="009C6EE7" w:rsidRPr="005A12C6"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5A12C6" w:rsidRDefault="00EB19C9" w:rsidP="00EB19C9">
            <w:pPr>
              <w:spacing w:after="0" w:line="240" w:lineRule="auto"/>
              <w:jc w:val="center"/>
              <w:rPr>
                <w:rFonts w:ascii="Calibri" w:eastAsia="Times New Roman" w:hAnsi="Calibri" w:cs="Calibri"/>
                <w:color w:val="000000"/>
                <w:lang w:eastAsia="en-AU"/>
              </w:rPr>
            </w:pPr>
            <w:r w:rsidRPr="005A12C6">
              <w:rPr>
                <w:rFonts w:ascii="Calibri" w:eastAsia="Times New Roman" w:hAnsi="Calibri" w:cs="Calibri"/>
                <w:color w:val="000000"/>
                <w:lang w:eastAsia="en-AU"/>
              </w:rPr>
              <w:t>FPAA 101H</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6F2A43" w:rsidRDefault="00EB19C9" w:rsidP="00EB19C9">
            <w:pPr>
              <w:spacing w:after="0" w:line="240" w:lineRule="auto"/>
              <w:jc w:val="center"/>
              <w:rPr>
                <w:rFonts w:ascii="Calibri" w:eastAsia="Times New Roman" w:hAnsi="Calibri" w:cs="Calibri"/>
                <w:bCs/>
                <w:color w:val="000000" w:themeColor="text1"/>
                <w:lang w:eastAsia="en-AU"/>
              </w:rPr>
            </w:pPr>
            <w:r w:rsidRPr="006F2A43">
              <w:rPr>
                <w:rFonts w:ascii="Calibri" w:hAnsi="Calibri" w:cs="Calibri"/>
                <w:color w:val="000000"/>
              </w:rPr>
              <w:t>$143,716,209</w:t>
            </w:r>
          </w:p>
        </w:tc>
        <w:tc>
          <w:tcPr>
            <w:tcW w:w="222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9C6EE7">
            <w:pPr>
              <w:spacing w:after="0" w:line="240" w:lineRule="auto"/>
              <w:jc w:val="center"/>
              <w:rPr>
                <w:rFonts w:ascii="Calibri" w:eastAsia="Times New Roman" w:hAnsi="Calibri" w:cs="Calibri"/>
                <w:bCs/>
                <w:color w:val="000000" w:themeColor="text1"/>
                <w:lang w:eastAsia="en-AU"/>
              </w:rPr>
            </w:pPr>
            <w:r>
              <w:rPr>
                <w:rFonts w:ascii="Calibri" w:hAnsi="Calibri" w:cs="Calibri"/>
                <w:color w:val="000000"/>
              </w:rPr>
              <w:t>$</w:t>
            </w:r>
            <w:r w:rsidR="009C6EE7">
              <w:rPr>
                <w:rFonts w:ascii="Calibri" w:hAnsi="Calibri" w:cs="Calibri"/>
                <w:color w:val="000000"/>
              </w:rPr>
              <w:t>75,227,334</w:t>
            </w:r>
          </w:p>
        </w:tc>
        <w:tc>
          <w:tcPr>
            <w:tcW w:w="228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9C6EE7">
            <w:pPr>
              <w:spacing w:after="0" w:line="240" w:lineRule="auto"/>
              <w:jc w:val="center"/>
              <w:rPr>
                <w:rFonts w:ascii="Calibri" w:eastAsia="Times New Roman" w:hAnsi="Calibri" w:cs="Calibri"/>
                <w:bCs/>
                <w:color w:val="000000" w:themeColor="text1"/>
                <w:lang w:eastAsia="en-AU"/>
              </w:rPr>
            </w:pPr>
            <w:r>
              <w:rPr>
                <w:rFonts w:ascii="Calibri" w:hAnsi="Calibri" w:cs="Calibri"/>
                <w:color w:val="000000"/>
              </w:rPr>
              <w:t>$</w:t>
            </w:r>
            <w:r w:rsidR="009C6EE7">
              <w:rPr>
                <w:rFonts w:ascii="Calibri" w:hAnsi="Calibri" w:cs="Calibri"/>
                <w:color w:val="000000"/>
              </w:rPr>
              <w:t>218,943,543</w:t>
            </w:r>
          </w:p>
        </w:tc>
      </w:tr>
    </w:tbl>
    <w:p w:rsidR="00EB19C9" w:rsidRDefault="00EB19C9" w:rsidP="0003376D">
      <w:pPr>
        <w:spacing w:before="120" w:after="0"/>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 xml:space="preserve">: </w:t>
      </w:r>
    </w:p>
    <w:p w:rsidR="00EB19C9" w:rsidRDefault="00EB19C9" w:rsidP="00EB19C9">
      <w:pPr>
        <w:pStyle w:val="ListParagraph"/>
        <w:numPr>
          <w:ilvl w:val="0"/>
          <w:numId w:val="121"/>
        </w:numPr>
        <w:spacing w:before="120"/>
        <w:rPr>
          <w:rFonts w:asciiTheme="minorHAnsi" w:hAnsiTheme="minorHAnsi"/>
          <w:sz w:val="18"/>
          <w:szCs w:val="18"/>
        </w:rPr>
      </w:pPr>
      <w:r>
        <w:rPr>
          <w:rFonts w:asciiTheme="minorHAnsi" w:hAnsiTheme="minorHAnsi"/>
          <w:sz w:val="18"/>
          <w:szCs w:val="18"/>
        </w:rPr>
        <w:t xml:space="preserve">Bracketed figures for the FPAA 101D system represent construction cost savings. </w:t>
      </w:r>
    </w:p>
    <w:p w:rsidR="00EB19C9" w:rsidRDefault="00EB19C9" w:rsidP="00EB19C9">
      <w:pPr>
        <w:pStyle w:val="ListParagraph"/>
        <w:numPr>
          <w:ilvl w:val="0"/>
          <w:numId w:val="121"/>
        </w:numPr>
        <w:spacing w:before="120"/>
        <w:rPr>
          <w:rFonts w:asciiTheme="minorHAnsi" w:hAnsiTheme="minorHAnsi"/>
          <w:sz w:val="18"/>
          <w:szCs w:val="18"/>
        </w:rPr>
      </w:pPr>
      <w:r w:rsidRPr="005C6FDB">
        <w:rPr>
          <w:rFonts w:asciiTheme="minorHAnsi" w:hAnsiTheme="minorHAnsi"/>
          <w:sz w:val="18"/>
          <w:szCs w:val="18"/>
        </w:rPr>
        <w:t>Present Value</w:t>
      </w:r>
      <w:r>
        <w:rPr>
          <w:rFonts w:asciiTheme="minorHAnsi" w:hAnsiTheme="minorHAnsi"/>
          <w:sz w:val="18"/>
          <w:szCs w:val="18"/>
        </w:rPr>
        <w:t xml:space="preserve"> construction costs</w:t>
      </w:r>
      <w:r w:rsidRPr="005C6FDB">
        <w:rPr>
          <w:rFonts w:asciiTheme="minorHAnsi" w:hAnsiTheme="minorHAnsi"/>
          <w:sz w:val="18"/>
          <w:szCs w:val="18"/>
        </w:rPr>
        <w:t xml:space="preserve"> have been calculated using a </w:t>
      </w:r>
      <w:r>
        <w:rPr>
          <w:rFonts w:asciiTheme="minorHAnsi" w:hAnsiTheme="minorHAnsi"/>
          <w:sz w:val="18"/>
          <w:szCs w:val="18"/>
        </w:rPr>
        <w:t>7% discount rate over 1</w:t>
      </w:r>
      <w:r w:rsidRPr="005C6FDB">
        <w:rPr>
          <w:rFonts w:asciiTheme="minorHAnsi" w:hAnsiTheme="minorHAnsi"/>
          <w:sz w:val="18"/>
          <w:szCs w:val="18"/>
        </w:rPr>
        <w:t>0 years.</w:t>
      </w:r>
    </w:p>
    <w:p w:rsidR="00EB19C9" w:rsidRPr="003B4B13" w:rsidRDefault="00EB19C9" w:rsidP="00EB19C9">
      <w:pPr>
        <w:pStyle w:val="ListParagraph"/>
        <w:numPr>
          <w:ilvl w:val="0"/>
          <w:numId w:val="121"/>
        </w:numPr>
        <w:spacing w:before="120"/>
        <w:rPr>
          <w:rFonts w:asciiTheme="minorHAnsi" w:hAnsiTheme="minorHAnsi"/>
          <w:sz w:val="18"/>
          <w:szCs w:val="18"/>
        </w:rPr>
      </w:pPr>
      <w:r>
        <w:rPr>
          <w:rFonts w:asciiTheme="minorHAnsi" w:hAnsiTheme="minorHAnsi"/>
          <w:sz w:val="18"/>
          <w:szCs w:val="18"/>
        </w:rPr>
        <w:t xml:space="preserve">Present Value maintenance costs have been calculated using a 7% discount rate over 40 years. </w:t>
      </w:r>
    </w:p>
    <w:p w:rsidR="00EB19C9" w:rsidRPr="0003376D" w:rsidRDefault="00EB19C9" w:rsidP="003C2575">
      <w:pPr>
        <w:spacing w:after="0"/>
        <w:jc w:val="center"/>
        <w:rPr>
          <w:rFonts w:asciiTheme="minorHAnsi" w:hAnsiTheme="minorHAnsi"/>
          <w:iCs/>
          <w:color w:val="002060"/>
          <w:sz w:val="24"/>
          <w:szCs w:val="24"/>
        </w:rPr>
      </w:pPr>
      <w:r w:rsidRPr="0003376D">
        <w:rPr>
          <w:rFonts w:asciiTheme="minorHAnsi" w:hAnsiTheme="minorHAnsi"/>
          <w:iCs/>
          <w:color w:val="002060"/>
          <w:sz w:val="24"/>
          <w:szCs w:val="24"/>
        </w:rPr>
        <w:t>Table 1</w:t>
      </w:r>
      <w:r w:rsidR="008A7DC4">
        <w:rPr>
          <w:rFonts w:asciiTheme="minorHAnsi" w:hAnsiTheme="minorHAnsi"/>
          <w:iCs/>
          <w:color w:val="002060"/>
          <w:sz w:val="24"/>
          <w:szCs w:val="24"/>
        </w:rPr>
        <w:t>1</w:t>
      </w:r>
      <w:r w:rsidRPr="0003376D">
        <w:rPr>
          <w:rFonts w:asciiTheme="minorHAnsi" w:hAnsiTheme="minorHAnsi"/>
          <w:iCs/>
          <w:color w:val="002060"/>
          <w:sz w:val="24"/>
          <w:szCs w:val="24"/>
        </w:rPr>
        <w:t>: Total Class 3 Building – More than one fire-fire isolated stair</w:t>
      </w:r>
    </w:p>
    <w:tbl>
      <w:tblPr>
        <w:tblW w:w="8520" w:type="dxa"/>
        <w:tblLook w:val="04A0" w:firstRow="1" w:lastRow="0" w:firstColumn="1" w:lastColumn="0" w:noHBand="0" w:noVBand="1"/>
      </w:tblPr>
      <w:tblGrid>
        <w:gridCol w:w="1960"/>
        <w:gridCol w:w="2060"/>
        <w:gridCol w:w="2220"/>
        <w:gridCol w:w="2280"/>
      </w:tblGrid>
      <w:tr w:rsidR="00EB19C9" w:rsidRPr="005A12C6" w:rsidTr="00EB19C9">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 xml:space="preserve">Class 3 </w:t>
            </w:r>
          </w:p>
        </w:tc>
        <w:tc>
          <w:tcPr>
            <w:tcW w:w="2060" w:type="dxa"/>
            <w:tcBorders>
              <w:top w:val="single" w:sz="4" w:space="0" w:color="auto"/>
              <w:left w:val="nil"/>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 xml:space="preserve">Present Value </w:t>
            </w:r>
            <w:r>
              <w:rPr>
                <w:rFonts w:ascii="Calibri" w:eastAsia="Times New Roman" w:hAnsi="Calibri" w:cs="Calibri"/>
                <w:color w:val="FFFFFF"/>
                <w:lang w:eastAsia="en-AU"/>
              </w:rPr>
              <w:t>Construction Costs</w:t>
            </w:r>
            <w:r w:rsidRPr="005A12C6">
              <w:rPr>
                <w:rFonts w:ascii="Calibri" w:eastAsia="Times New Roman" w:hAnsi="Calibri" w:cs="Calibri"/>
                <w:color w:val="FFFFFF"/>
                <w:lang w:eastAsia="en-AU"/>
              </w:rPr>
              <w:t xml:space="preserve"> </w:t>
            </w:r>
          </w:p>
        </w:tc>
        <w:tc>
          <w:tcPr>
            <w:tcW w:w="2220" w:type="dxa"/>
            <w:tcBorders>
              <w:top w:val="single" w:sz="4" w:space="0" w:color="auto"/>
              <w:left w:val="nil"/>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Present Value Maintenance</w:t>
            </w:r>
          </w:p>
        </w:tc>
        <w:tc>
          <w:tcPr>
            <w:tcW w:w="2280" w:type="dxa"/>
            <w:tcBorders>
              <w:top w:val="single" w:sz="4" w:space="0" w:color="auto"/>
              <w:left w:val="nil"/>
              <w:bottom w:val="single" w:sz="4" w:space="0" w:color="auto"/>
              <w:right w:val="single" w:sz="4" w:space="0" w:color="auto"/>
            </w:tcBorders>
            <w:shd w:val="clear" w:color="auto" w:fill="002060"/>
            <w:vAlign w:val="bottom"/>
            <w:hideMark/>
          </w:tcPr>
          <w:p w:rsidR="00EB19C9" w:rsidRPr="005A12C6" w:rsidRDefault="00EB19C9" w:rsidP="00EB19C9">
            <w:pPr>
              <w:spacing w:after="0" w:line="240" w:lineRule="auto"/>
              <w:jc w:val="center"/>
              <w:rPr>
                <w:rFonts w:ascii="Calibri" w:eastAsia="Times New Roman" w:hAnsi="Calibri" w:cs="Calibri"/>
                <w:color w:val="FFFFFF"/>
                <w:lang w:eastAsia="en-AU"/>
              </w:rPr>
            </w:pPr>
            <w:r w:rsidRPr="005A12C6">
              <w:rPr>
                <w:rFonts w:ascii="Calibri" w:eastAsia="Times New Roman" w:hAnsi="Calibri" w:cs="Calibri"/>
                <w:color w:val="FFFFFF"/>
                <w:lang w:eastAsia="en-AU"/>
              </w:rPr>
              <w:t xml:space="preserve">Total </w:t>
            </w:r>
            <w:r>
              <w:rPr>
                <w:rFonts w:ascii="Calibri" w:eastAsia="Times New Roman" w:hAnsi="Calibri" w:cs="Calibri"/>
                <w:color w:val="FFFFFF"/>
                <w:lang w:eastAsia="en-AU"/>
              </w:rPr>
              <w:t>Cost</w:t>
            </w:r>
          </w:p>
        </w:tc>
      </w:tr>
      <w:tr w:rsidR="00EB19C9" w:rsidRPr="005A12C6"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5A12C6" w:rsidRDefault="00EB19C9" w:rsidP="0003376D">
            <w:pPr>
              <w:spacing w:after="0"/>
              <w:jc w:val="center"/>
              <w:rPr>
                <w:rFonts w:ascii="Calibri" w:eastAsia="Times New Roman" w:hAnsi="Calibri" w:cs="Calibri"/>
                <w:bCs/>
                <w:color w:val="000000" w:themeColor="text1"/>
                <w:lang w:eastAsia="en-AU"/>
              </w:rPr>
            </w:pPr>
            <w:r w:rsidRPr="005A12C6">
              <w:rPr>
                <w:rFonts w:ascii="Calibri" w:eastAsia="Times New Roman" w:hAnsi="Calibri" w:cs="Calibri"/>
                <w:bCs/>
                <w:color w:val="000000" w:themeColor="text1"/>
                <w:lang w:eastAsia="en-AU"/>
              </w:rPr>
              <w:t xml:space="preserve">AS 2118.1 </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6F2A43" w:rsidRDefault="00EB19C9" w:rsidP="0003376D">
            <w:pPr>
              <w:spacing w:after="0"/>
              <w:jc w:val="center"/>
              <w:rPr>
                <w:rFonts w:ascii="Calibri" w:eastAsia="Times New Roman" w:hAnsi="Calibri" w:cs="Calibri"/>
                <w:bCs/>
                <w:color w:val="000000" w:themeColor="text1"/>
                <w:lang w:eastAsia="en-AU"/>
              </w:rPr>
            </w:pPr>
            <w:r w:rsidRPr="006F2A43">
              <w:rPr>
                <w:rFonts w:ascii="Calibri" w:eastAsia="Times New Roman" w:hAnsi="Calibri" w:cs="Calibri"/>
                <w:bCs/>
                <w:color w:val="000000" w:themeColor="text1"/>
                <w:lang w:eastAsia="en-AU"/>
              </w:rPr>
              <w:t>$2,307,150</w:t>
            </w:r>
          </w:p>
        </w:tc>
        <w:tc>
          <w:tcPr>
            <w:tcW w:w="222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03376D">
            <w:pPr>
              <w:spacing w:after="0"/>
              <w:jc w:val="center"/>
              <w:rPr>
                <w:rFonts w:ascii="Calibri" w:eastAsia="Times New Roman" w:hAnsi="Calibri" w:cs="Calibri"/>
                <w:bCs/>
                <w:color w:val="000000" w:themeColor="text1"/>
                <w:lang w:eastAsia="en-AU"/>
              </w:rPr>
            </w:pPr>
            <w:r w:rsidRPr="006F2A43">
              <w:rPr>
                <w:rFonts w:ascii="Calibri" w:eastAsia="Times New Roman" w:hAnsi="Calibri" w:cs="Calibri"/>
                <w:bCs/>
                <w:color w:val="000000" w:themeColor="text1"/>
                <w:lang w:eastAsia="en-AU"/>
              </w:rPr>
              <w:t>$</w:t>
            </w:r>
            <w:r w:rsidR="009C6EE7">
              <w:rPr>
                <w:rFonts w:ascii="Calibri" w:eastAsia="Times New Roman" w:hAnsi="Calibri" w:cs="Calibri"/>
                <w:bCs/>
                <w:color w:val="000000" w:themeColor="text1"/>
                <w:lang w:eastAsia="en-AU"/>
              </w:rPr>
              <w:t>1,755,556</w:t>
            </w:r>
          </w:p>
        </w:tc>
        <w:tc>
          <w:tcPr>
            <w:tcW w:w="228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03376D">
            <w:pPr>
              <w:spacing w:after="0"/>
              <w:jc w:val="center"/>
              <w:rPr>
                <w:rFonts w:ascii="Calibri" w:eastAsia="Times New Roman" w:hAnsi="Calibri" w:cs="Calibri"/>
                <w:bCs/>
                <w:color w:val="000000" w:themeColor="text1"/>
                <w:lang w:eastAsia="en-AU"/>
              </w:rPr>
            </w:pPr>
            <w:r w:rsidRPr="002C1C77">
              <w:rPr>
                <w:rFonts w:ascii="Calibri" w:eastAsia="Times New Roman" w:hAnsi="Calibri" w:cs="Calibri"/>
                <w:bCs/>
                <w:color w:val="000000" w:themeColor="text1"/>
                <w:lang w:eastAsia="en-AU"/>
              </w:rPr>
              <w:t>$</w:t>
            </w:r>
            <w:r w:rsidR="009C6EE7">
              <w:rPr>
                <w:rFonts w:ascii="Calibri" w:eastAsia="Times New Roman" w:hAnsi="Calibri" w:cs="Calibri"/>
                <w:bCs/>
                <w:color w:val="000000" w:themeColor="text1"/>
                <w:lang w:eastAsia="en-AU"/>
              </w:rPr>
              <w:t>4,062,706</w:t>
            </w:r>
          </w:p>
        </w:tc>
      </w:tr>
      <w:tr w:rsidR="00EB19C9" w:rsidRPr="005A12C6"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5A12C6" w:rsidRDefault="00EB19C9" w:rsidP="0003376D">
            <w:pPr>
              <w:spacing w:after="0"/>
              <w:jc w:val="center"/>
              <w:rPr>
                <w:rFonts w:ascii="Calibri" w:eastAsia="Times New Roman" w:hAnsi="Calibri" w:cs="Calibri"/>
                <w:bCs/>
                <w:color w:val="000000" w:themeColor="text1"/>
                <w:lang w:eastAsia="en-AU"/>
              </w:rPr>
            </w:pPr>
            <w:r w:rsidRPr="005A12C6">
              <w:rPr>
                <w:rFonts w:ascii="Calibri" w:eastAsia="Times New Roman" w:hAnsi="Calibri" w:cs="Calibri"/>
                <w:bCs/>
                <w:color w:val="000000" w:themeColor="text1"/>
                <w:lang w:eastAsia="en-AU"/>
              </w:rPr>
              <w:t>FPAA 101D</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CD53E5" w:rsidRDefault="00EB19C9" w:rsidP="0003376D">
            <w:pPr>
              <w:spacing w:after="0"/>
              <w:jc w:val="center"/>
              <w:rPr>
                <w:rFonts w:ascii="Calibri" w:eastAsia="Times New Roman" w:hAnsi="Calibri" w:cs="Calibri"/>
                <w:bCs/>
                <w:color w:val="000000" w:themeColor="text1"/>
                <w:lang w:eastAsia="en-AU"/>
              </w:rPr>
            </w:pPr>
            <w:r w:rsidRPr="006F2A43">
              <w:rPr>
                <w:rFonts w:ascii="Calibri" w:eastAsia="Times New Roman" w:hAnsi="Calibri" w:cs="Calibri"/>
                <w:bCs/>
                <w:color w:val="000000" w:themeColor="text1"/>
                <w:lang w:eastAsia="en-AU"/>
              </w:rPr>
              <w:t>(</w:t>
            </w:r>
            <w:r w:rsidRPr="00FE27DD">
              <w:rPr>
                <w:rFonts w:ascii="Calibri" w:eastAsia="Times New Roman" w:hAnsi="Calibri" w:cs="Calibri"/>
                <w:bCs/>
                <w:color w:val="000000" w:themeColor="text1"/>
                <w:lang w:eastAsia="en-AU"/>
              </w:rPr>
              <w:t>$</w:t>
            </w:r>
            <w:r w:rsidR="007B15E7" w:rsidRPr="00FE27DD">
              <w:rPr>
                <w:rFonts w:ascii="Calibri" w:eastAsia="Times New Roman" w:hAnsi="Calibri" w:cs="Calibri"/>
                <w:bCs/>
                <w:color w:val="000000" w:themeColor="text1"/>
                <w:lang w:eastAsia="en-AU"/>
              </w:rPr>
              <w:t>985,345</w:t>
            </w:r>
            <w:r w:rsidRPr="00CD53E5">
              <w:rPr>
                <w:rFonts w:ascii="Calibri" w:eastAsia="Times New Roman" w:hAnsi="Calibri" w:cs="Calibri"/>
                <w:bCs/>
                <w:color w:val="000000" w:themeColor="text1"/>
                <w:lang w:eastAsia="en-AU"/>
              </w:rPr>
              <w:t>)</w:t>
            </w:r>
          </w:p>
        </w:tc>
        <w:tc>
          <w:tcPr>
            <w:tcW w:w="222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03376D">
            <w:pPr>
              <w:spacing w:after="0"/>
              <w:jc w:val="center"/>
              <w:rPr>
                <w:rFonts w:ascii="Calibri" w:eastAsia="Times New Roman" w:hAnsi="Calibri" w:cs="Calibri"/>
                <w:bCs/>
                <w:color w:val="000000" w:themeColor="text1"/>
                <w:lang w:eastAsia="en-AU"/>
              </w:rPr>
            </w:pPr>
            <w:r w:rsidRPr="002C1C77">
              <w:rPr>
                <w:rFonts w:ascii="Calibri" w:eastAsia="Times New Roman" w:hAnsi="Calibri" w:cs="Calibri"/>
                <w:bCs/>
                <w:color w:val="000000" w:themeColor="text1"/>
                <w:lang w:eastAsia="en-AU"/>
              </w:rPr>
              <w:t>$</w:t>
            </w:r>
            <w:r w:rsidR="009C6EE7">
              <w:rPr>
                <w:rFonts w:ascii="Calibri" w:eastAsia="Times New Roman" w:hAnsi="Calibri" w:cs="Calibri"/>
                <w:bCs/>
                <w:color w:val="000000" w:themeColor="text1"/>
                <w:lang w:eastAsia="en-AU"/>
              </w:rPr>
              <w:t>169,128</w:t>
            </w:r>
          </w:p>
        </w:tc>
        <w:tc>
          <w:tcPr>
            <w:tcW w:w="228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03376D">
            <w:pPr>
              <w:spacing w:after="0"/>
              <w:jc w:val="center"/>
              <w:rPr>
                <w:rFonts w:ascii="Calibri" w:eastAsia="Times New Roman" w:hAnsi="Calibri" w:cs="Calibri"/>
                <w:bCs/>
                <w:color w:val="000000" w:themeColor="text1"/>
                <w:lang w:eastAsia="en-AU"/>
              </w:rPr>
            </w:pPr>
            <w:r>
              <w:rPr>
                <w:rFonts w:ascii="Calibri" w:eastAsia="Times New Roman" w:hAnsi="Calibri" w:cs="Calibri"/>
                <w:bCs/>
                <w:color w:val="000000" w:themeColor="text1"/>
                <w:lang w:eastAsia="en-AU"/>
              </w:rPr>
              <w:t>(</w:t>
            </w:r>
            <w:r w:rsidRPr="002C1C77">
              <w:rPr>
                <w:rFonts w:ascii="Calibri" w:eastAsia="Times New Roman" w:hAnsi="Calibri" w:cs="Calibri"/>
                <w:bCs/>
                <w:color w:val="000000" w:themeColor="text1"/>
                <w:lang w:eastAsia="en-AU"/>
              </w:rPr>
              <w:t>$</w:t>
            </w:r>
            <w:r w:rsidR="009C6EE7">
              <w:rPr>
                <w:rFonts w:ascii="Calibri" w:eastAsia="Times New Roman" w:hAnsi="Calibri" w:cs="Calibri"/>
                <w:bCs/>
                <w:color w:val="000000" w:themeColor="text1"/>
                <w:lang w:eastAsia="en-AU"/>
              </w:rPr>
              <w:t>1,154,473)</w:t>
            </w:r>
          </w:p>
        </w:tc>
      </w:tr>
      <w:tr w:rsidR="00EB19C9" w:rsidRPr="005A12C6" w:rsidTr="00EB19C9">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5A12C6" w:rsidRDefault="00EB19C9" w:rsidP="0003376D">
            <w:pPr>
              <w:spacing w:after="0"/>
              <w:jc w:val="center"/>
              <w:rPr>
                <w:rFonts w:ascii="Calibri" w:eastAsia="Times New Roman" w:hAnsi="Calibri" w:cs="Calibri"/>
                <w:bCs/>
                <w:color w:val="000000" w:themeColor="text1"/>
                <w:lang w:eastAsia="en-AU"/>
              </w:rPr>
            </w:pPr>
            <w:r w:rsidRPr="005A12C6">
              <w:rPr>
                <w:rFonts w:ascii="Calibri" w:eastAsia="Times New Roman" w:hAnsi="Calibri" w:cs="Calibri"/>
                <w:bCs/>
                <w:color w:val="000000" w:themeColor="text1"/>
                <w:lang w:eastAsia="en-AU"/>
              </w:rPr>
              <w:t>FPAA 101H</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E27DD" w:rsidRDefault="00EB19C9" w:rsidP="0003376D">
            <w:pPr>
              <w:spacing w:after="0"/>
              <w:jc w:val="center"/>
              <w:rPr>
                <w:rFonts w:ascii="Calibri" w:eastAsia="Times New Roman" w:hAnsi="Calibri" w:cs="Calibri"/>
                <w:bCs/>
                <w:color w:val="000000" w:themeColor="text1"/>
                <w:lang w:eastAsia="en-AU"/>
              </w:rPr>
            </w:pPr>
            <w:r w:rsidRPr="006F2A43">
              <w:rPr>
                <w:rFonts w:ascii="Calibri" w:eastAsia="Times New Roman" w:hAnsi="Calibri" w:cs="Calibri"/>
                <w:bCs/>
                <w:color w:val="000000" w:themeColor="text1"/>
                <w:lang w:eastAsia="en-AU"/>
              </w:rPr>
              <w:t>$1,153,575</w:t>
            </w:r>
          </w:p>
        </w:tc>
        <w:tc>
          <w:tcPr>
            <w:tcW w:w="222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03376D">
            <w:pPr>
              <w:spacing w:after="0"/>
              <w:jc w:val="center"/>
              <w:rPr>
                <w:rFonts w:ascii="Calibri" w:eastAsia="Times New Roman" w:hAnsi="Calibri" w:cs="Calibri"/>
                <w:bCs/>
                <w:color w:val="000000" w:themeColor="text1"/>
                <w:lang w:eastAsia="en-AU"/>
              </w:rPr>
            </w:pPr>
            <w:r w:rsidRPr="006F2A43">
              <w:rPr>
                <w:rFonts w:ascii="Calibri" w:eastAsia="Times New Roman" w:hAnsi="Calibri" w:cs="Calibri"/>
                <w:bCs/>
                <w:color w:val="000000" w:themeColor="text1"/>
                <w:lang w:eastAsia="en-AU"/>
              </w:rPr>
              <w:t>$</w:t>
            </w:r>
            <w:r w:rsidR="009C6EE7">
              <w:rPr>
                <w:rFonts w:ascii="Calibri" w:eastAsia="Times New Roman" w:hAnsi="Calibri" w:cs="Calibri"/>
                <w:bCs/>
                <w:color w:val="000000" w:themeColor="text1"/>
                <w:lang w:eastAsia="en-AU"/>
              </w:rPr>
              <w:t>797,071</w:t>
            </w:r>
          </w:p>
        </w:tc>
        <w:tc>
          <w:tcPr>
            <w:tcW w:w="2280" w:type="dxa"/>
            <w:tcBorders>
              <w:top w:val="nil"/>
              <w:left w:val="nil"/>
              <w:bottom w:val="single" w:sz="4" w:space="0" w:color="auto"/>
              <w:right w:val="single" w:sz="4" w:space="0" w:color="auto"/>
            </w:tcBorders>
            <w:shd w:val="clear" w:color="auto" w:fill="auto"/>
            <w:vAlign w:val="bottom"/>
            <w:hideMark/>
          </w:tcPr>
          <w:p w:rsidR="00EB19C9" w:rsidRPr="002C1C77" w:rsidRDefault="00EB19C9" w:rsidP="0003376D">
            <w:pPr>
              <w:spacing w:after="0"/>
              <w:jc w:val="center"/>
              <w:rPr>
                <w:rFonts w:ascii="Calibri" w:eastAsia="Times New Roman" w:hAnsi="Calibri" w:cs="Calibri"/>
                <w:bCs/>
                <w:color w:val="000000" w:themeColor="text1"/>
                <w:lang w:eastAsia="en-AU"/>
              </w:rPr>
            </w:pPr>
            <w:r w:rsidRPr="002C1C77">
              <w:rPr>
                <w:rFonts w:ascii="Calibri" w:eastAsia="Times New Roman" w:hAnsi="Calibri" w:cs="Calibri"/>
                <w:bCs/>
                <w:color w:val="000000" w:themeColor="text1"/>
                <w:lang w:eastAsia="en-AU"/>
              </w:rPr>
              <w:t>$</w:t>
            </w:r>
            <w:r w:rsidR="009C6EE7">
              <w:rPr>
                <w:rFonts w:ascii="Calibri" w:eastAsia="Times New Roman" w:hAnsi="Calibri" w:cs="Calibri"/>
                <w:bCs/>
                <w:color w:val="000000" w:themeColor="text1"/>
                <w:lang w:eastAsia="en-AU"/>
              </w:rPr>
              <w:t>1,950,646</w:t>
            </w:r>
          </w:p>
        </w:tc>
      </w:tr>
    </w:tbl>
    <w:p w:rsidR="00EB19C9" w:rsidRDefault="00EB19C9" w:rsidP="0003376D">
      <w:pPr>
        <w:spacing w:before="120" w:after="0"/>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 xml:space="preserve">: </w:t>
      </w:r>
    </w:p>
    <w:p w:rsidR="00EB19C9" w:rsidRPr="00F6508D" w:rsidRDefault="00EB19C9" w:rsidP="00EB19C9">
      <w:pPr>
        <w:pStyle w:val="ListParagraph"/>
        <w:numPr>
          <w:ilvl w:val="0"/>
          <w:numId w:val="123"/>
        </w:numPr>
        <w:spacing w:before="120"/>
        <w:rPr>
          <w:rFonts w:asciiTheme="minorHAnsi" w:hAnsiTheme="minorHAnsi"/>
          <w:sz w:val="18"/>
          <w:szCs w:val="18"/>
        </w:rPr>
      </w:pPr>
      <w:r>
        <w:rPr>
          <w:rFonts w:asciiTheme="minorHAnsi" w:hAnsiTheme="minorHAnsi"/>
          <w:sz w:val="18"/>
          <w:szCs w:val="18"/>
        </w:rPr>
        <w:t xml:space="preserve">Bracketed figures for the FPAA 101D system represent construction cost savings. </w:t>
      </w:r>
    </w:p>
    <w:p w:rsidR="00EB19C9" w:rsidRDefault="00EB19C9" w:rsidP="00EB19C9">
      <w:pPr>
        <w:pStyle w:val="ListParagraph"/>
        <w:numPr>
          <w:ilvl w:val="0"/>
          <w:numId w:val="123"/>
        </w:numPr>
        <w:spacing w:before="120"/>
        <w:rPr>
          <w:rFonts w:asciiTheme="minorHAnsi" w:hAnsiTheme="minorHAnsi"/>
          <w:sz w:val="18"/>
          <w:szCs w:val="18"/>
        </w:rPr>
      </w:pPr>
      <w:r w:rsidRPr="005C6FDB">
        <w:rPr>
          <w:rFonts w:asciiTheme="minorHAnsi" w:hAnsiTheme="minorHAnsi"/>
          <w:sz w:val="18"/>
          <w:szCs w:val="18"/>
        </w:rPr>
        <w:t>Present Value</w:t>
      </w:r>
      <w:r>
        <w:rPr>
          <w:rFonts w:asciiTheme="minorHAnsi" w:hAnsiTheme="minorHAnsi"/>
          <w:sz w:val="18"/>
          <w:szCs w:val="18"/>
        </w:rPr>
        <w:t xml:space="preserve"> construction costs</w:t>
      </w:r>
      <w:r w:rsidRPr="005C6FDB">
        <w:rPr>
          <w:rFonts w:asciiTheme="minorHAnsi" w:hAnsiTheme="minorHAnsi"/>
          <w:sz w:val="18"/>
          <w:szCs w:val="18"/>
        </w:rPr>
        <w:t xml:space="preserve"> have been calculated using a </w:t>
      </w:r>
      <w:r>
        <w:rPr>
          <w:rFonts w:asciiTheme="minorHAnsi" w:hAnsiTheme="minorHAnsi"/>
          <w:sz w:val="18"/>
          <w:szCs w:val="18"/>
        </w:rPr>
        <w:t>7% discount rate over 1</w:t>
      </w:r>
      <w:r w:rsidRPr="005C6FDB">
        <w:rPr>
          <w:rFonts w:asciiTheme="minorHAnsi" w:hAnsiTheme="minorHAnsi"/>
          <w:sz w:val="18"/>
          <w:szCs w:val="18"/>
        </w:rPr>
        <w:t>0 years.</w:t>
      </w:r>
    </w:p>
    <w:p w:rsidR="00EB19C9" w:rsidRPr="003B4B13" w:rsidRDefault="00EB19C9" w:rsidP="00EB19C9">
      <w:pPr>
        <w:pStyle w:val="ListParagraph"/>
        <w:numPr>
          <w:ilvl w:val="0"/>
          <w:numId w:val="123"/>
        </w:numPr>
        <w:spacing w:before="120"/>
        <w:rPr>
          <w:rFonts w:asciiTheme="minorHAnsi" w:hAnsiTheme="minorHAnsi"/>
          <w:sz w:val="18"/>
          <w:szCs w:val="18"/>
        </w:rPr>
      </w:pPr>
      <w:r>
        <w:rPr>
          <w:rFonts w:asciiTheme="minorHAnsi" w:hAnsiTheme="minorHAnsi"/>
          <w:sz w:val="18"/>
          <w:szCs w:val="18"/>
        </w:rPr>
        <w:t xml:space="preserve">Present Value maintenance costs have been calculated using a 7% discount rate over 40 years. </w:t>
      </w:r>
    </w:p>
    <w:p w:rsidR="00EB19C9" w:rsidRDefault="00EB19C9" w:rsidP="00EB19C9">
      <w:pPr>
        <w:spacing w:after="160" w:line="259" w:lineRule="auto"/>
        <w:rPr>
          <w:rFonts w:asciiTheme="majorHAnsi" w:eastAsiaTheme="majorEastAsia" w:hAnsiTheme="majorHAnsi" w:cstheme="majorBidi"/>
          <w:bCs/>
          <w:iCs/>
          <w:color w:val="002060"/>
        </w:rPr>
      </w:pPr>
      <w:r>
        <w:rPr>
          <w:rFonts w:asciiTheme="majorHAnsi" w:eastAsiaTheme="majorEastAsia" w:hAnsiTheme="majorHAnsi" w:cstheme="majorBidi"/>
          <w:bCs/>
          <w:iCs/>
          <w:color w:val="002060"/>
        </w:rPr>
        <w:br w:type="page"/>
      </w:r>
    </w:p>
    <w:p w:rsidR="00EB19C9" w:rsidRPr="0003376D" w:rsidRDefault="00EB19C9" w:rsidP="00617F30">
      <w:pPr>
        <w:spacing w:after="0"/>
        <w:jc w:val="center"/>
        <w:rPr>
          <w:rFonts w:asciiTheme="minorHAnsi" w:hAnsiTheme="minorHAnsi"/>
          <w:iCs/>
          <w:color w:val="002060"/>
          <w:sz w:val="24"/>
          <w:szCs w:val="24"/>
        </w:rPr>
      </w:pPr>
      <w:r w:rsidRPr="0003376D">
        <w:rPr>
          <w:rFonts w:asciiTheme="minorHAnsi" w:hAnsiTheme="minorHAnsi"/>
          <w:iCs/>
          <w:color w:val="002060"/>
          <w:sz w:val="24"/>
          <w:szCs w:val="24"/>
        </w:rPr>
        <w:lastRenderedPageBreak/>
        <w:t>Table 1</w:t>
      </w:r>
      <w:r w:rsidR="008A7DC4">
        <w:rPr>
          <w:rFonts w:asciiTheme="minorHAnsi" w:hAnsiTheme="minorHAnsi"/>
          <w:iCs/>
          <w:color w:val="002060"/>
          <w:sz w:val="24"/>
          <w:szCs w:val="24"/>
        </w:rPr>
        <w:t>2</w:t>
      </w:r>
      <w:r w:rsidRPr="0003376D">
        <w:rPr>
          <w:rFonts w:asciiTheme="minorHAnsi" w:hAnsiTheme="minorHAnsi"/>
          <w:iCs/>
          <w:color w:val="002060"/>
          <w:sz w:val="24"/>
          <w:szCs w:val="24"/>
        </w:rPr>
        <w:t>: Total Class 2 and 3 buildings – More than one fire-fire isolated stair</w:t>
      </w:r>
    </w:p>
    <w:tbl>
      <w:tblPr>
        <w:tblStyle w:val="TableGrid"/>
        <w:tblW w:w="0" w:type="auto"/>
        <w:tblLook w:val="04A0" w:firstRow="1" w:lastRow="0" w:firstColumn="1" w:lastColumn="0" w:noHBand="0" w:noVBand="1"/>
        <w:tblCaption w:val="Table 19 - Total Class 2 and 3 buildings - More than one fire isolated stair. "/>
        <w:tblDescription w:val="This table shows the Present Value costs of each sprinkler option in Class 2 and 3 buildings with more than one fire isolated stair. "/>
      </w:tblPr>
      <w:tblGrid>
        <w:gridCol w:w="1960"/>
        <w:gridCol w:w="2060"/>
        <w:gridCol w:w="2220"/>
        <w:gridCol w:w="2280"/>
      </w:tblGrid>
      <w:tr w:rsidR="00EB19C9" w:rsidRPr="00F6508D" w:rsidTr="00FE3334">
        <w:trPr>
          <w:trHeight w:val="600"/>
          <w:tblHeader/>
        </w:trPr>
        <w:tc>
          <w:tcPr>
            <w:tcW w:w="1960" w:type="dxa"/>
            <w:shd w:val="clear" w:color="auto" w:fill="002060"/>
            <w:hideMark/>
          </w:tcPr>
          <w:p w:rsidR="00EB19C9" w:rsidRPr="00F6508D" w:rsidRDefault="00EB19C9" w:rsidP="00EB19C9">
            <w:pPr>
              <w:jc w:val="center"/>
              <w:rPr>
                <w:rFonts w:ascii="Calibri" w:eastAsia="Times New Roman" w:hAnsi="Calibri" w:cs="Calibri"/>
                <w:color w:val="FFFFFF"/>
                <w:lang w:eastAsia="en-AU"/>
              </w:rPr>
            </w:pPr>
            <w:r w:rsidRPr="00F6508D">
              <w:rPr>
                <w:rFonts w:ascii="Calibri" w:eastAsia="Times New Roman" w:hAnsi="Calibri" w:cs="Calibri"/>
                <w:color w:val="FFFFFF"/>
                <w:lang w:eastAsia="en-AU"/>
              </w:rPr>
              <w:t>Class</w:t>
            </w:r>
            <w:r w:rsidR="002D2DE3">
              <w:rPr>
                <w:rFonts w:ascii="Calibri" w:eastAsia="Times New Roman" w:hAnsi="Calibri" w:cs="Calibri"/>
                <w:color w:val="FFFFFF"/>
                <w:lang w:eastAsia="en-AU"/>
              </w:rPr>
              <w:t xml:space="preserve"> 2</w:t>
            </w:r>
            <w:r w:rsidR="00EF6B73">
              <w:rPr>
                <w:rFonts w:ascii="Calibri" w:eastAsia="Times New Roman" w:hAnsi="Calibri" w:cs="Calibri"/>
                <w:color w:val="FFFFFF"/>
                <w:lang w:eastAsia="en-AU"/>
              </w:rPr>
              <w:t xml:space="preserve"> </w:t>
            </w:r>
            <w:r w:rsidR="002D2DE3">
              <w:rPr>
                <w:rFonts w:ascii="Calibri" w:eastAsia="Times New Roman" w:hAnsi="Calibri" w:cs="Calibri"/>
                <w:color w:val="FFFFFF"/>
                <w:lang w:eastAsia="en-AU"/>
              </w:rPr>
              <w:t>and</w:t>
            </w:r>
            <w:r w:rsidRPr="00F6508D">
              <w:rPr>
                <w:rFonts w:ascii="Calibri" w:eastAsia="Times New Roman" w:hAnsi="Calibri" w:cs="Calibri"/>
                <w:color w:val="FFFFFF"/>
                <w:lang w:eastAsia="en-AU"/>
              </w:rPr>
              <w:t xml:space="preserve"> 3 </w:t>
            </w:r>
          </w:p>
        </w:tc>
        <w:tc>
          <w:tcPr>
            <w:tcW w:w="2060" w:type="dxa"/>
            <w:shd w:val="clear" w:color="auto" w:fill="002060"/>
            <w:hideMark/>
          </w:tcPr>
          <w:p w:rsidR="00EB19C9" w:rsidRPr="00F6508D" w:rsidRDefault="00EB19C9" w:rsidP="00EB19C9">
            <w:pPr>
              <w:jc w:val="center"/>
              <w:rPr>
                <w:rFonts w:ascii="Calibri" w:eastAsia="Times New Roman" w:hAnsi="Calibri" w:cs="Calibri"/>
                <w:color w:val="FFFFFF"/>
                <w:lang w:eastAsia="en-AU"/>
              </w:rPr>
            </w:pPr>
            <w:r w:rsidRPr="00F6508D">
              <w:rPr>
                <w:rFonts w:ascii="Calibri" w:eastAsia="Times New Roman" w:hAnsi="Calibri" w:cs="Calibri"/>
                <w:color w:val="FFFFFF"/>
                <w:lang w:eastAsia="en-AU"/>
              </w:rPr>
              <w:t xml:space="preserve">Present Value </w:t>
            </w:r>
            <w:r>
              <w:rPr>
                <w:rFonts w:ascii="Calibri" w:eastAsia="Times New Roman" w:hAnsi="Calibri" w:cs="Calibri"/>
                <w:color w:val="FFFFFF"/>
                <w:lang w:eastAsia="en-AU"/>
              </w:rPr>
              <w:t>Construction Costs</w:t>
            </w:r>
            <w:r w:rsidRPr="00F6508D">
              <w:rPr>
                <w:rFonts w:ascii="Calibri" w:eastAsia="Times New Roman" w:hAnsi="Calibri" w:cs="Calibri"/>
                <w:color w:val="FFFFFF"/>
                <w:lang w:eastAsia="en-AU"/>
              </w:rPr>
              <w:t xml:space="preserve"> </w:t>
            </w:r>
          </w:p>
        </w:tc>
        <w:tc>
          <w:tcPr>
            <w:tcW w:w="2220" w:type="dxa"/>
            <w:shd w:val="clear" w:color="auto" w:fill="002060"/>
            <w:hideMark/>
          </w:tcPr>
          <w:p w:rsidR="00EB19C9" w:rsidRPr="00F6508D" w:rsidRDefault="00EB19C9" w:rsidP="00EB19C9">
            <w:pPr>
              <w:jc w:val="center"/>
              <w:rPr>
                <w:rFonts w:ascii="Calibri" w:eastAsia="Times New Roman" w:hAnsi="Calibri" w:cs="Calibri"/>
                <w:color w:val="FFFFFF"/>
                <w:lang w:eastAsia="en-AU"/>
              </w:rPr>
            </w:pPr>
            <w:r w:rsidRPr="00F6508D">
              <w:rPr>
                <w:rFonts w:ascii="Calibri" w:eastAsia="Times New Roman" w:hAnsi="Calibri" w:cs="Calibri"/>
                <w:color w:val="FFFFFF"/>
                <w:lang w:eastAsia="en-AU"/>
              </w:rPr>
              <w:t>Present Value Maintenance</w:t>
            </w:r>
          </w:p>
        </w:tc>
        <w:tc>
          <w:tcPr>
            <w:tcW w:w="2280" w:type="dxa"/>
            <w:shd w:val="clear" w:color="auto" w:fill="002060"/>
            <w:hideMark/>
          </w:tcPr>
          <w:p w:rsidR="00EB19C9" w:rsidRPr="00F6508D" w:rsidRDefault="00EB19C9" w:rsidP="00EB19C9">
            <w:pPr>
              <w:jc w:val="center"/>
              <w:rPr>
                <w:rFonts w:ascii="Calibri" w:eastAsia="Times New Roman" w:hAnsi="Calibri" w:cs="Calibri"/>
                <w:color w:val="FFFFFF"/>
                <w:lang w:eastAsia="en-AU"/>
              </w:rPr>
            </w:pPr>
            <w:r w:rsidRPr="00F6508D">
              <w:rPr>
                <w:rFonts w:ascii="Calibri" w:eastAsia="Times New Roman" w:hAnsi="Calibri" w:cs="Calibri"/>
                <w:color w:val="FFFFFF"/>
                <w:lang w:eastAsia="en-AU"/>
              </w:rPr>
              <w:t xml:space="preserve">Total </w:t>
            </w:r>
            <w:r>
              <w:rPr>
                <w:rFonts w:ascii="Calibri" w:eastAsia="Times New Roman" w:hAnsi="Calibri" w:cs="Calibri"/>
                <w:color w:val="FFFFFF"/>
                <w:lang w:eastAsia="en-AU"/>
              </w:rPr>
              <w:t>Cost</w:t>
            </w:r>
            <w:r w:rsidRPr="00F6508D">
              <w:rPr>
                <w:rFonts w:ascii="Calibri" w:eastAsia="Times New Roman" w:hAnsi="Calibri" w:cs="Calibri"/>
                <w:color w:val="FFFFFF"/>
                <w:lang w:eastAsia="en-AU"/>
              </w:rPr>
              <w:t xml:space="preserve"> </w:t>
            </w:r>
          </w:p>
        </w:tc>
      </w:tr>
      <w:tr w:rsidR="00EB19C9" w:rsidRPr="00F6508D" w:rsidTr="00EB19C9">
        <w:trPr>
          <w:trHeight w:val="300"/>
        </w:trPr>
        <w:tc>
          <w:tcPr>
            <w:tcW w:w="1960" w:type="dxa"/>
            <w:hideMark/>
          </w:tcPr>
          <w:p w:rsidR="00EB19C9" w:rsidRPr="00F6508D" w:rsidRDefault="00EB19C9" w:rsidP="00EB19C9">
            <w:pPr>
              <w:jc w:val="center"/>
              <w:rPr>
                <w:rFonts w:ascii="Calibri" w:eastAsia="Times New Roman" w:hAnsi="Calibri" w:cs="Calibri"/>
                <w:bCs/>
                <w:color w:val="000000" w:themeColor="text1"/>
                <w:lang w:eastAsia="en-AU"/>
              </w:rPr>
            </w:pPr>
            <w:r w:rsidRPr="00F6508D">
              <w:rPr>
                <w:rFonts w:ascii="Calibri" w:eastAsia="Times New Roman" w:hAnsi="Calibri" w:cs="Calibri"/>
                <w:bCs/>
                <w:color w:val="000000" w:themeColor="text1"/>
                <w:lang w:eastAsia="en-AU"/>
              </w:rPr>
              <w:t xml:space="preserve">AS 2118.1 </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203,509,843</w:t>
            </w:r>
          </w:p>
        </w:tc>
        <w:tc>
          <w:tcPr>
            <w:tcW w:w="2220" w:type="dxa"/>
            <w:tcBorders>
              <w:top w:val="nil"/>
              <w:left w:val="nil"/>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168,326,299</w:t>
            </w:r>
          </w:p>
        </w:tc>
        <w:tc>
          <w:tcPr>
            <w:tcW w:w="2280" w:type="dxa"/>
            <w:tcBorders>
              <w:top w:val="nil"/>
              <w:left w:val="nil"/>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371,836,141</w:t>
            </w:r>
          </w:p>
        </w:tc>
      </w:tr>
      <w:tr w:rsidR="00EB19C9" w:rsidRPr="00F6508D" w:rsidTr="00EB19C9">
        <w:trPr>
          <w:trHeight w:val="300"/>
        </w:trPr>
        <w:tc>
          <w:tcPr>
            <w:tcW w:w="1960" w:type="dxa"/>
            <w:hideMark/>
          </w:tcPr>
          <w:p w:rsidR="00EB19C9" w:rsidRPr="00F6508D" w:rsidRDefault="00EB19C9" w:rsidP="00EB19C9">
            <w:pPr>
              <w:jc w:val="center"/>
              <w:rPr>
                <w:rFonts w:ascii="Calibri" w:eastAsia="Times New Roman" w:hAnsi="Calibri" w:cs="Calibri"/>
                <w:bCs/>
                <w:color w:val="000000" w:themeColor="text1"/>
                <w:lang w:eastAsia="en-AU"/>
              </w:rPr>
            </w:pPr>
            <w:r w:rsidRPr="00F6508D">
              <w:rPr>
                <w:rFonts w:ascii="Calibri" w:eastAsia="Times New Roman" w:hAnsi="Calibri" w:cs="Calibri"/>
                <w:bCs/>
                <w:color w:val="000000" w:themeColor="text1"/>
                <w:lang w:eastAsia="en-AU"/>
              </w:rPr>
              <w:t>FPAA 101D</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142,306,284</w:t>
            </w:r>
            <w:r>
              <w:rPr>
                <w:rFonts w:ascii="Calibri" w:hAnsi="Calibri" w:cs="Calibri"/>
                <w:color w:val="000000"/>
              </w:rPr>
              <w:t>)</w:t>
            </w:r>
          </w:p>
        </w:tc>
        <w:tc>
          <w:tcPr>
            <w:tcW w:w="2220" w:type="dxa"/>
            <w:tcBorders>
              <w:top w:val="nil"/>
              <w:left w:val="nil"/>
              <w:bottom w:val="single" w:sz="4" w:space="0" w:color="auto"/>
              <w:right w:val="single" w:sz="4" w:space="0" w:color="auto"/>
            </w:tcBorders>
            <w:shd w:val="clear" w:color="auto" w:fill="auto"/>
            <w:vAlign w:val="bottom"/>
            <w:hideMark/>
          </w:tcPr>
          <w:p w:rsidR="00EB19C9" w:rsidRPr="00F6508D" w:rsidRDefault="001F3C93"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EB19C9">
              <w:rPr>
                <w:rFonts w:ascii="Calibri" w:hAnsi="Calibri" w:cs="Calibri"/>
                <w:color w:val="000000"/>
              </w:rPr>
              <w:t>$</w:t>
            </w:r>
            <w:r>
              <w:rPr>
                <w:rFonts w:ascii="Calibri" w:hAnsi="Calibri" w:cs="Calibri"/>
                <w:color w:val="000000"/>
              </w:rPr>
              <w:t>18,890,198)</w:t>
            </w:r>
          </w:p>
        </w:tc>
        <w:tc>
          <w:tcPr>
            <w:tcW w:w="2280" w:type="dxa"/>
            <w:tcBorders>
              <w:top w:val="nil"/>
              <w:left w:val="nil"/>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161,296,482</w:t>
            </w:r>
            <w:r>
              <w:rPr>
                <w:rFonts w:ascii="Calibri" w:hAnsi="Calibri" w:cs="Calibri"/>
                <w:color w:val="000000"/>
              </w:rPr>
              <w:t>)</w:t>
            </w:r>
          </w:p>
        </w:tc>
      </w:tr>
      <w:tr w:rsidR="00EB19C9" w:rsidRPr="00F6508D" w:rsidTr="00EB19C9">
        <w:trPr>
          <w:trHeight w:val="300"/>
        </w:trPr>
        <w:tc>
          <w:tcPr>
            <w:tcW w:w="1960" w:type="dxa"/>
            <w:hideMark/>
          </w:tcPr>
          <w:p w:rsidR="00EB19C9" w:rsidRPr="00F6508D" w:rsidRDefault="00EB19C9" w:rsidP="00EB19C9">
            <w:pPr>
              <w:jc w:val="center"/>
              <w:rPr>
                <w:rFonts w:ascii="Calibri" w:eastAsia="Times New Roman" w:hAnsi="Calibri" w:cs="Calibri"/>
                <w:bCs/>
                <w:color w:val="000000" w:themeColor="text1"/>
                <w:lang w:eastAsia="en-AU"/>
              </w:rPr>
            </w:pPr>
            <w:r w:rsidRPr="00F6508D">
              <w:rPr>
                <w:rFonts w:ascii="Calibri" w:eastAsia="Times New Roman" w:hAnsi="Calibri" w:cs="Calibri"/>
                <w:bCs/>
                <w:color w:val="000000" w:themeColor="text1"/>
                <w:lang w:eastAsia="en-AU"/>
              </w:rPr>
              <w:t>FPAA 101H</w:t>
            </w:r>
          </w:p>
        </w:tc>
        <w:tc>
          <w:tcPr>
            <w:tcW w:w="2060" w:type="dxa"/>
            <w:tcBorders>
              <w:top w:val="nil"/>
              <w:left w:val="single" w:sz="4" w:space="0" w:color="auto"/>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144,869,784</w:t>
            </w:r>
          </w:p>
        </w:tc>
        <w:tc>
          <w:tcPr>
            <w:tcW w:w="2220" w:type="dxa"/>
            <w:tcBorders>
              <w:top w:val="nil"/>
              <w:left w:val="nil"/>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76,024,405</w:t>
            </w:r>
          </w:p>
        </w:tc>
        <w:tc>
          <w:tcPr>
            <w:tcW w:w="2280" w:type="dxa"/>
            <w:tcBorders>
              <w:top w:val="nil"/>
              <w:left w:val="nil"/>
              <w:bottom w:val="single" w:sz="4" w:space="0" w:color="auto"/>
              <w:right w:val="single" w:sz="4" w:space="0" w:color="auto"/>
            </w:tcBorders>
            <w:shd w:val="clear" w:color="auto" w:fill="auto"/>
            <w:vAlign w:val="bottom"/>
            <w:hideMark/>
          </w:tcPr>
          <w:p w:rsidR="00EB19C9" w:rsidRPr="00F6508D" w:rsidRDefault="00EB19C9" w:rsidP="001F3C93">
            <w:pPr>
              <w:jc w:val="center"/>
              <w:rPr>
                <w:rFonts w:ascii="Calibri" w:eastAsia="Times New Roman" w:hAnsi="Calibri" w:cs="Calibri"/>
                <w:bCs/>
                <w:color w:val="000000" w:themeColor="text1"/>
                <w:lang w:eastAsia="en-AU"/>
              </w:rPr>
            </w:pPr>
            <w:r>
              <w:rPr>
                <w:rFonts w:ascii="Calibri" w:hAnsi="Calibri" w:cs="Calibri"/>
                <w:color w:val="000000"/>
              </w:rPr>
              <w:t>$</w:t>
            </w:r>
            <w:r w:rsidR="001F3C93">
              <w:rPr>
                <w:rFonts w:ascii="Calibri" w:hAnsi="Calibri" w:cs="Calibri"/>
                <w:color w:val="000000"/>
              </w:rPr>
              <w:t>220,894,189</w:t>
            </w:r>
          </w:p>
        </w:tc>
      </w:tr>
    </w:tbl>
    <w:p w:rsidR="00EB19C9" w:rsidRDefault="00EB19C9" w:rsidP="00EB19C9">
      <w:pPr>
        <w:spacing w:before="120"/>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 xml:space="preserve">: </w:t>
      </w:r>
    </w:p>
    <w:p w:rsidR="00EB19C9" w:rsidRPr="00F6508D" w:rsidRDefault="00EB19C9" w:rsidP="00EB19C9">
      <w:pPr>
        <w:pStyle w:val="ListParagraph"/>
        <w:numPr>
          <w:ilvl w:val="0"/>
          <w:numId w:val="125"/>
        </w:numPr>
        <w:spacing w:before="120"/>
        <w:rPr>
          <w:rFonts w:asciiTheme="minorHAnsi" w:hAnsiTheme="minorHAnsi"/>
          <w:sz w:val="18"/>
          <w:szCs w:val="18"/>
        </w:rPr>
      </w:pPr>
      <w:r>
        <w:rPr>
          <w:rFonts w:asciiTheme="minorHAnsi" w:hAnsiTheme="minorHAnsi"/>
          <w:sz w:val="18"/>
          <w:szCs w:val="18"/>
        </w:rPr>
        <w:t xml:space="preserve">Bracketed represent cost savings. </w:t>
      </w:r>
    </w:p>
    <w:p w:rsidR="00EB19C9" w:rsidRDefault="00EB19C9" w:rsidP="00EB19C9">
      <w:pPr>
        <w:pStyle w:val="ListParagraph"/>
        <w:numPr>
          <w:ilvl w:val="0"/>
          <w:numId w:val="125"/>
        </w:numPr>
        <w:spacing w:before="120"/>
        <w:rPr>
          <w:rFonts w:asciiTheme="minorHAnsi" w:hAnsiTheme="minorHAnsi"/>
          <w:sz w:val="18"/>
          <w:szCs w:val="18"/>
        </w:rPr>
      </w:pPr>
      <w:r w:rsidRPr="005C6FDB">
        <w:rPr>
          <w:rFonts w:asciiTheme="minorHAnsi" w:hAnsiTheme="minorHAnsi"/>
          <w:sz w:val="18"/>
          <w:szCs w:val="18"/>
        </w:rPr>
        <w:t>Present Value</w:t>
      </w:r>
      <w:r>
        <w:rPr>
          <w:rFonts w:asciiTheme="minorHAnsi" w:hAnsiTheme="minorHAnsi"/>
          <w:sz w:val="18"/>
          <w:szCs w:val="18"/>
        </w:rPr>
        <w:t xml:space="preserve"> construction costs</w:t>
      </w:r>
      <w:r w:rsidRPr="005C6FDB">
        <w:rPr>
          <w:rFonts w:asciiTheme="minorHAnsi" w:hAnsiTheme="minorHAnsi"/>
          <w:sz w:val="18"/>
          <w:szCs w:val="18"/>
        </w:rPr>
        <w:t xml:space="preserve"> have been calculated using a </w:t>
      </w:r>
      <w:r>
        <w:rPr>
          <w:rFonts w:asciiTheme="minorHAnsi" w:hAnsiTheme="minorHAnsi"/>
          <w:sz w:val="18"/>
          <w:szCs w:val="18"/>
        </w:rPr>
        <w:t>7% discount rate over 1</w:t>
      </w:r>
      <w:r w:rsidRPr="005C6FDB">
        <w:rPr>
          <w:rFonts w:asciiTheme="minorHAnsi" w:hAnsiTheme="minorHAnsi"/>
          <w:sz w:val="18"/>
          <w:szCs w:val="18"/>
        </w:rPr>
        <w:t>0 years.</w:t>
      </w:r>
    </w:p>
    <w:p w:rsidR="00EB19C9" w:rsidRDefault="00EB19C9" w:rsidP="00EB19C9">
      <w:pPr>
        <w:pStyle w:val="ListParagraph"/>
        <w:numPr>
          <w:ilvl w:val="0"/>
          <w:numId w:val="125"/>
        </w:numPr>
        <w:spacing w:before="120"/>
        <w:rPr>
          <w:rFonts w:asciiTheme="minorHAnsi" w:hAnsiTheme="minorHAnsi"/>
          <w:sz w:val="18"/>
          <w:szCs w:val="18"/>
        </w:rPr>
      </w:pPr>
      <w:r>
        <w:rPr>
          <w:rFonts w:asciiTheme="minorHAnsi" w:hAnsiTheme="minorHAnsi"/>
          <w:sz w:val="18"/>
          <w:szCs w:val="18"/>
        </w:rPr>
        <w:t xml:space="preserve">Present Value maintenance costs have been calculated using a 7% discount rate over 40 years. </w:t>
      </w:r>
    </w:p>
    <w:p w:rsidR="00EB19C9" w:rsidRDefault="00EB19C9" w:rsidP="00EB19C9">
      <w:pPr>
        <w:spacing w:before="120"/>
        <w:rPr>
          <w:rFonts w:asciiTheme="minorHAnsi" w:hAnsiTheme="minorHAnsi"/>
        </w:rPr>
      </w:pPr>
      <w:r w:rsidRPr="00F6508D">
        <w:rPr>
          <w:rFonts w:asciiTheme="minorHAnsi" w:hAnsiTheme="minorHAnsi"/>
        </w:rPr>
        <w:t xml:space="preserve">Two of the three options demonstrate a net cost when compared with the status quo baseline, ranging from </w:t>
      </w:r>
      <w:r w:rsidRPr="00182CB1">
        <w:rPr>
          <w:rFonts w:asciiTheme="minorHAnsi" w:hAnsiTheme="minorHAnsi"/>
        </w:rPr>
        <w:t>$</w:t>
      </w:r>
      <w:r w:rsidR="00182CB1">
        <w:rPr>
          <w:rFonts w:asciiTheme="minorHAnsi" w:hAnsiTheme="minorHAnsi"/>
        </w:rPr>
        <w:t>2</w:t>
      </w:r>
      <w:r w:rsidR="001F3C93">
        <w:rPr>
          <w:rFonts w:asciiTheme="minorHAnsi" w:hAnsiTheme="minorHAnsi"/>
        </w:rPr>
        <w:t>20</w:t>
      </w:r>
      <w:r w:rsidR="00182CB1">
        <w:rPr>
          <w:rFonts w:asciiTheme="minorHAnsi" w:hAnsiTheme="minorHAnsi"/>
        </w:rPr>
        <w:t xml:space="preserve"> </w:t>
      </w:r>
      <w:r w:rsidRPr="00F6508D">
        <w:rPr>
          <w:rFonts w:asciiTheme="minorHAnsi" w:hAnsiTheme="minorHAnsi"/>
        </w:rPr>
        <w:t xml:space="preserve">million for the FPA 101H option to </w:t>
      </w:r>
      <w:r w:rsidRPr="00182CB1">
        <w:rPr>
          <w:rFonts w:asciiTheme="minorHAnsi" w:hAnsiTheme="minorHAnsi"/>
        </w:rPr>
        <w:t>$3</w:t>
      </w:r>
      <w:r w:rsidR="001F3C93">
        <w:rPr>
          <w:rFonts w:asciiTheme="minorHAnsi" w:hAnsiTheme="minorHAnsi"/>
        </w:rPr>
        <w:t>71</w:t>
      </w:r>
      <w:r w:rsidRPr="00F6508D">
        <w:rPr>
          <w:rFonts w:asciiTheme="minorHAnsi" w:hAnsiTheme="minorHAnsi"/>
        </w:rPr>
        <w:t xml:space="preserve"> million for the AS 2118.1 option. FPAA 101D is more cost effective when compared with the status quo, demonstrating a cost saving of </w:t>
      </w:r>
      <w:r w:rsidR="00182CB1">
        <w:rPr>
          <w:rFonts w:asciiTheme="minorHAnsi" w:hAnsiTheme="minorHAnsi"/>
        </w:rPr>
        <w:t>$16</w:t>
      </w:r>
      <w:r w:rsidR="001F3C93">
        <w:rPr>
          <w:rFonts w:asciiTheme="minorHAnsi" w:hAnsiTheme="minorHAnsi"/>
        </w:rPr>
        <w:t>1</w:t>
      </w:r>
      <w:r w:rsidRPr="00F6508D">
        <w:rPr>
          <w:rFonts w:asciiTheme="minorHAnsi" w:hAnsiTheme="minorHAnsi"/>
        </w:rPr>
        <w:t xml:space="preserve"> million in Present Value terms.</w:t>
      </w:r>
    </w:p>
    <w:p w:rsidR="00EB19C9" w:rsidRDefault="00EB19C9" w:rsidP="0003376D">
      <w:pPr>
        <w:pStyle w:val="Heading2"/>
      </w:pPr>
      <w:r w:rsidRPr="0098630E">
        <w:t xml:space="preserve">Total </w:t>
      </w:r>
      <w:r>
        <w:t xml:space="preserve">Impacts - </w:t>
      </w:r>
      <w:r w:rsidRPr="0098630E">
        <w:t>Construction Cost and Maintenance</w:t>
      </w:r>
    </w:p>
    <w:p w:rsidR="00EB19C9" w:rsidRPr="00D01FB9" w:rsidRDefault="00EB19C9" w:rsidP="00EB19C9">
      <w:pPr>
        <w:spacing w:after="120"/>
        <w:rPr>
          <w:rFonts w:asciiTheme="minorHAnsi" w:hAnsiTheme="minorHAnsi"/>
        </w:rPr>
      </w:pPr>
      <w:r w:rsidRPr="0098630E">
        <w:rPr>
          <w:rFonts w:asciiTheme="minorHAnsi" w:hAnsiTheme="minorHAnsi"/>
        </w:rPr>
        <w:t>The total construction cost and mainte</w:t>
      </w:r>
      <w:r>
        <w:rPr>
          <w:rFonts w:asciiTheme="minorHAnsi" w:hAnsiTheme="minorHAnsi"/>
        </w:rPr>
        <w:t>nance implications of Option 1 are shown in T</w:t>
      </w:r>
      <w:r w:rsidRPr="0098630E">
        <w:rPr>
          <w:rFonts w:asciiTheme="minorHAnsi" w:hAnsiTheme="minorHAnsi"/>
        </w:rPr>
        <w:t xml:space="preserve">able </w:t>
      </w:r>
      <w:r w:rsidR="00515D2C">
        <w:rPr>
          <w:rFonts w:asciiTheme="minorHAnsi" w:hAnsiTheme="minorHAnsi"/>
        </w:rPr>
        <w:t>13</w:t>
      </w:r>
      <w:r w:rsidRPr="0098630E">
        <w:rPr>
          <w:rFonts w:asciiTheme="minorHAnsi" w:hAnsiTheme="minorHAnsi"/>
        </w:rPr>
        <w:t>.</w:t>
      </w:r>
      <w:r>
        <w:rPr>
          <w:rFonts w:asciiTheme="majorHAnsi" w:eastAsiaTheme="majorEastAsia" w:hAnsiTheme="majorHAnsi" w:cstheme="majorBidi"/>
          <w:b/>
          <w:color w:val="002060"/>
          <w:sz w:val="32"/>
          <w:szCs w:val="32"/>
        </w:rPr>
        <w:t xml:space="preserve"> </w:t>
      </w:r>
      <w:r>
        <w:rPr>
          <w:rFonts w:asciiTheme="minorHAnsi" w:hAnsiTheme="minorHAnsi"/>
        </w:rPr>
        <w:t>The below cost outcomes are reported on the basis of full uptake and should therefore be interpreted as a comparative cost analysis of each specification.</w:t>
      </w:r>
    </w:p>
    <w:p w:rsidR="00EB19C9" w:rsidRPr="0003376D" w:rsidRDefault="00EB19C9" w:rsidP="00617F30">
      <w:pPr>
        <w:spacing w:after="0"/>
        <w:jc w:val="center"/>
        <w:rPr>
          <w:rFonts w:asciiTheme="minorHAnsi" w:hAnsiTheme="minorHAnsi"/>
          <w:iCs/>
          <w:color w:val="002060"/>
          <w:sz w:val="24"/>
          <w:szCs w:val="24"/>
        </w:rPr>
      </w:pPr>
      <w:r w:rsidRPr="0003376D">
        <w:rPr>
          <w:rFonts w:asciiTheme="minorHAnsi" w:hAnsiTheme="minorHAnsi"/>
          <w:iCs/>
          <w:color w:val="002060"/>
          <w:sz w:val="24"/>
          <w:szCs w:val="24"/>
        </w:rPr>
        <w:t xml:space="preserve">Table </w:t>
      </w:r>
      <w:r w:rsidR="008A7DC4">
        <w:rPr>
          <w:rFonts w:asciiTheme="minorHAnsi" w:hAnsiTheme="minorHAnsi"/>
          <w:iCs/>
          <w:color w:val="002060"/>
          <w:sz w:val="24"/>
          <w:szCs w:val="24"/>
        </w:rPr>
        <w:t>13</w:t>
      </w:r>
      <w:r w:rsidRPr="0003376D">
        <w:rPr>
          <w:rFonts w:asciiTheme="minorHAnsi" w:hAnsiTheme="minorHAnsi"/>
          <w:iCs/>
          <w:color w:val="002060"/>
          <w:sz w:val="24"/>
          <w:szCs w:val="24"/>
        </w:rPr>
        <w:t xml:space="preserve">: Comparison of total construction cost and maintenance impacts </w:t>
      </w:r>
    </w:p>
    <w:tbl>
      <w:tblPr>
        <w:tblW w:w="8520" w:type="dxa"/>
        <w:tblLook w:val="04A0" w:firstRow="1" w:lastRow="0" w:firstColumn="1" w:lastColumn="0" w:noHBand="0" w:noVBand="1"/>
      </w:tblPr>
      <w:tblGrid>
        <w:gridCol w:w="1960"/>
        <w:gridCol w:w="2060"/>
        <w:gridCol w:w="2220"/>
        <w:gridCol w:w="2280"/>
      </w:tblGrid>
      <w:tr w:rsidR="00EB19C9" w:rsidRPr="0098630E" w:rsidTr="00EB19C9">
        <w:trPr>
          <w:trHeight w:val="300"/>
        </w:trPr>
        <w:tc>
          <w:tcPr>
            <w:tcW w:w="19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EB19C9" w:rsidRPr="0098630E" w:rsidRDefault="00EB19C9" w:rsidP="00EB19C9">
            <w:pPr>
              <w:spacing w:after="0" w:line="240" w:lineRule="auto"/>
              <w:jc w:val="center"/>
              <w:rPr>
                <w:rFonts w:ascii="Calibri" w:eastAsia="Times New Roman" w:hAnsi="Calibri" w:cs="Calibri"/>
                <w:color w:val="FFFFFF"/>
                <w:lang w:eastAsia="en-AU"/>
              </w:rPr>
            </w:pPr>
            <w:r w:rsidRPr="0098630E">
              <w:rPr>
                <w:rFonts w:ascii="Calibri" w:eastAsia="Times New Roman" w:hAnsi="Calibri" w:cs="Calibri"/>
                <w:color w:val="FFFFFF"/>
                <w:lang w:eastAsia="en-AU"/>
              </w:rPr>
              <w:t>Option</w:t>
            </w:r>
          </w:p>
        </w:tc>
        <w:tc>
          <w:tcPr>
            <w:tcW w:w="2060"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98630E" w:rsidRDefault="00EB19C9" w:rsidP="00EB19C9">
            <w:pPr>
              <w:spacing w:after="0" w:line="240" w:lineRule="auto"/>
              <w:jc w:val="center"/>
              <w:rPr>
                <w:rFonts w:ascii="Calibri" w:eastAsia="Times New Roman" w:hAnsi="Calibri" w:cs="Calibri"/>
                <w:color w:val="FFFFFF"/>
                <w:lang w:eastAsia="en-AU"/>
              </w:rPr>
            </w:pPr>
            <w:r w:rsidRPr="0098630E">
              <w:rPr>
                <w:rFonts w:ascii="Calibri" w:eastAsia="Times New Roman" w:hAnsi="Calibri" w:cs="Calibri"/>
                <w:color w:val="FFFFFF"/>
                <w:lang w:eastAsia="en-AU"/>
              </w:rPr>
              <w:t xml:space="preserve">Class 2 </w:t>
            </w:r>
          </w:p>
        </w:tc>
        <w:tc>
          <w:tcPr>
            <w:tcW w:w="2220"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98630E" w:rsidRDefault="00EB19C9" w:rsidP="00EB19C9">
            <w:pPr>
              <w:spacing w:after="0" w:line="240" w:lineRule="auto"/>
              <w:jc w:val="center"/>
              <w:rPr>
                <w:rFonts w:ascii="Calibri" w:eastAsia="Times New Roman" w:hAnsi="Calibri" w:cs="Calibri"/>
                <w:color w:val="FFFFFF"/>
                <w:lang w:eastAsia="en-AU"/>
              </w:rPr>
            </w:pPr>
            <w:r w:rsidRPr="0098630E">
              <w:rPr>
                <w:rFonts w:ascii="Calibri" w:eastAsia="Times New Roman" w:hAnsi="Calibri" w:cs="Calibri"/>
                <w:color w:val="FFFFFF"/>
                <w:lang w:eastAsia="en-AU"/>
              </w:rPr>
              <w:t xml:space="preserve">Class 3 </w:t>
            </w:r>
          </w:p>
        </w:tc>
        <w:tc>
          <w:tcPr>
            <w:tcW w:w="2280"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98630E" w:rsidRDefault="00EB19C9" w:rsidP="00EB19C9">
            <w:pPr>
              <w:spacing w:after="0" w:line="240" w:lineRule="auto"/>
              <w:jc w:val="center"/>
              <w:rPr>
                <w:rFonts w:ascii="Calibri" w:eastAsia="Times New Roman" w:hAnsi="Calibri" w:cs="Calibri"/>
                <w:color w:val="FFFFFF"/>
                <w:lang w:eastAsia="en-AU"/>
              </w:rPr>
            </w:pPr>
            <w:r w:rsidRPr="0098630E">
              <w:rPr>
                <w:rFonts w:ascii="Calibri" w:eastAsia="Times New Roman" w:hAnsi="Calibri" w:cs="Calibri"/>
                <w:color w:val="FFFFFF"/>
                <w:lang w:eastAsia="en-AU"/>
              </w:rPr>
              <w:t xml:space="preserve">Total </w:t>
            </w:r>
          </w:p>
        </w:tc>
      </w:tr>
      <w:tr w:rsidR="00EB19C9" w:rsidRPr="0098630E" w:rsidTr="00EB19C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98630E" w:rsidRDefault="00EB19C9" w:rsidP="00EB19C9">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AS 2118</w:t>
            </w:r>
          </w:p>
        </w:tc>
        <w:tc>
          <w:tcPr>
            <w:tcW w:w="206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1F3C93">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1F3C93">
              <w:rPr>
                <w:rFonts w:ascii="Calibri" w:eastAsia="Times New Roman" w:hAnsi="Calibri" w:cs="Calibri"/>
                <w:color w:val="000000"/>
                <w:lang w:eastAsia="en-AU"/>
              </w:rPr>
              <w:t>778,070,938</w:t>
            </w:r>
          </w:p>
        </w:tc>
        <w:tc>
          <w:tcPr>
            <w:tcW w:w="222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1F3C93">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1F3C93">
              <w:rPr>
                <w:rFonts w:ascii="Calibri" w:eastAsia="Times New Roman" w:hAnsi="Calibri" w:cs="Calibri"/>
                <w:color w:val="000000"/>
                <w:lang w:eastAsia="en-AU"/>
              </w:rPr>
              <w:t>8,229,068</w:t>
            </w:r>
          </w:p>
        </w:tc>
        <w:tc>
          <w:tcPr>
            <w:tcW w:w="228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1F3C93">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1F3C93">
              <w:rPr>
                <w:rFonts w:ascii="Calibri" w:eastAsia="Times New Roman" w:hAnsi="Calibri" w:cs="Calibri"/>
                <w:color w:val="000000"/>
                <w:lang w:eastAsia="en-AU"/>
              </w:rPr>
              <w:t>786,300,006</w:t>
            </w:r>
          </w:p>
        </w:tc>
      </w:tr>
      <w:tr w:rsidR="00EB19C9" w:rsidRPr="0098630E" w:rsidTr="00EB19C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98630E" w:rsidRDefault="00EB19C9" w:rsidP="00EB19C9">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FPAA 101D</w:t>
            </w:r>
          </w:p>
        </w:tc>
        <w:tc>
          <w:tcPr>
            <w:tcW w:w="2060" w:type="dxa"/>
            <w:tcBorders>
              <w:top w:val="nil"/>
              <w:left w:val="nil"/>
              <w:bottom w:val="single" w:sz="4" w:space="0" w:color="auto"/>
              <w:right w:val="single" w:sz="4" w:space="0" w:color="auto"/>
            </w:tcBorders>
            <w:shd w:val="clear" w:color="auto" w:fill="auto"/>
            <w:noWrap/>
            <w:vAlign w:val="bottom"/>
            <w:hideMark/>
          </w:tcPr>
          <w:p w:rsidR="00EB19C9" w:rsidRPr="0098630E" w:rsidRDefault="00437CF7" w:rsidP="001F3C93">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w:t>
            </w:r>
            <w:r w:rsidR="00EB19C9" w:rsidRPr="0098630E">
              <w:rPr>
                <w:rFonts w:ascii="Calibri" w:eastAsia="Times New Roman" w:hAnsi="Calibri" w:cs="Calibri"/>
                <w:color w:val="000000"/>
                <w:lang w:eastAsia="en-AU"/>
              </w:rPr>
              <w:t>$</w:t>
            </w:r>
            <w:r w:rsidR="001F3C93">
              <w:rPr>
                <w:rFonts w:ascii="Calibri" w:eastAsia="Times New Roman" w:hAnsi="Calibri" w:cs="Calibri"/>
                <w:color w:val="000000"/>
                <w:lang w:eastAsia="en-AU"/>
              </w:rPr>
              <w:t>26,206,108</w:t>
            </w:r>
            <w:r>
              <w:rPr>
                <w:rFonts w:ascii="Calibri" w:eastAsia="Times New Roman" w:hAnsi="Calibri" w:cs="Calibri"/>
                <w:color w:val="000000"/>
                <w:lang w:eastAsia="en-AU"/>
              </w:rPr>
              <w:t>)</w:t>
            </w:r>
          </w:p>
        </w:tc>
        <w:tc>
          <w:tcPr>
            <w:tcW w:w="222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1F3C93">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1F3C93">
              <w:rPr>
                <w:rFonts w:ascii="Calibri" w:eastAsia="Times New Roman" w:hAnsi="Calibri" w:cs="Calibri"/>
                <w:color w:val="000000"/>
                <w:lang w:eastAsia="en-AU"/>
              </w:rPr>
              <w:t>216,882</w:t>
            </w:r>
          </w:p>
        </w:tc>
        <w:tc>
          <w:tcPr>
            <w:tcW w:w="2280" w:type="dxa"/>
            <w:tcBorders>
              <w:top w:val="nil"/>
              <w:left w:val="nil"/>
              <w:bottom w:val="single" w:sz="4" w:space="0" w:color="auto"/>
              <w:right w:val="single" w:sz="4" w:space="0" w:color="auto"/>
            </w:tcBorders>
            <w:shd w:val="clear" w:color="auto" w:fill="auto"/>
            <w:noWrap/>
            <w:vAlign w:val="bottom"/>
            <w:hideMark/>
          </w:tcPr>
          <w:p w:rsidR="00EB19C9" w:rsidRPr="0098630E" w:rsidRDefault="006F2A43" w:rsidP="001F3C93">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w:t>
            </w:r>
            <w:r w:rsidR="00EB19C9" w:rsidRPr="0098630E">
              <w:rPr>
                <w:rFonts w:ascii="Calibri" w:eastAsia="Times New Roman" w:hAnsi="Calibri" w:cs="Calibri"/>
                <w:color w:val="000000"/>
                <w:lang w:eastAsia="en-AU"/>
              </w:rPr>
              <w:t>$</w:t>
            </w:r>
            <w:r w:rsidR="00437CF7">
              <w:rPr>
                <w:rFonts w:ascii="Calibri" w:eastAsia="Times New Roman" w:hAnsi="Calibri" w:cs="Calibri"/>
                <w:color w:val="000000"/>
                <w:lang w:eastAsia="en-AU"/>
              </w:rPr>
              <w:t>25,989,226</w:t>
            </w:r>
            <w:r>
              <w:rPr>
                <w:rFonts w:ascii="Calibri" w:eastAsia="Times New Roman" w:hAnsi="Calibri" w:cs="Calibri"/>
                <w:color w:val="000000"/>
                <w:lang w:eastAsia="en-AU"/>
              </w:rPr>
              <w:t>)</w:t>
            </w:r>
          </w:p>
        </w:tc>
      </w:tr>
      <w:tr w:rsidR="00EB19C9" w:rsidRPr="0098630E" w:rsidTr="00EB19C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98630E" w:rsidRDefault="00EB19C9" w:rsidP="00EB19C9">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FPA 101H</w:t>
            </w:r>
          </w:p>
        </w:tc>
        <w:tc>
          <w:tcPr>
            <w:tcW w:w="206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C442E7">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C442E7">
              <w:rPr>
                <w:rFonts w:ascii="Calibri" w:eastAsia="Times New Roman" w:hAnsi="Calibri" w:cs="Calibri"/>
                <w:color w:val="000000"/>
                <w:lang w:eastAsia="en-AU"/>
              </w:rPr>
              <w:t>542,130,159</w:t>
            </w:r>
          </w:p>
        </w:tc>
        <w:tc>
          <w:tcPr>
            <w:tcW w:w="222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C442E7">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C442E7">
              <w:rPr>
                <w:rFonts w:ascii="Calibri" w:eastAsia="Times New Roman" w:hAnsi="Calibri" w:cs="Calibri"/>
                <w:color w:val="000000"/>
                <w:lang w:eastAsia="en-AU"/>
              </w:rPr>
              <w:t>5,217,986</w:t>
            </w:r>
          </w:p>
        </w:tc>
        <w:tc>
          <w:tcPr>
            <w:tcW w:w="2280" w:type="dxa"/>
            <w:tcBorders>
              <w:top w:val="nil"/>
              <w:left w:val="nil"/>
              <w:bottom w:val="single" w:sz="4" w:space="0" w:color="auto"/>
              <w:right w:val="single" w:sz="4" w:space="0" w:color="auto"/>
            </w:tcBorders>
            <w:shd w:val="clear" w:color="auto" w:fill="auto"/>
            <w:noWrap/>
            <w:vAlign w:val="bottom"/>
            <w:hideMark/>
          </w:tcPr>
          <w:p w:rsidR="00EB19C9" w:rsidRPr="0098630E" w:rsidRDefault="00EB19C9" w:rsidP="00C442E7">
            <w:pPr>
              <w:spacing w:after="0" w:line="240" w:lineRule="auto"/>
              <w:jc w:val="center"/>
              <w:rPr>
                <w:rFonts w:ascii="Calibri" w:eastAsia="Times New Roman" w:hAnsi="Calibri" w:cs="Calibri"/>
                <w:color w:val="000000"/>
                <w:lang w:eastAsia="en-AU"/>
              </w:rPr>
            </w:pPr>
            <w:r w:rsidRPr="0098630E">
              <w:rPr>
                <w:rFonts w:ascii="Calibri" w:eastAsia="Times New Roman" w:hAnsi="Calibri" w:cs="Calibri"/>
                <w:color w:val="000000"/>
                <w:lang w:eastAsia="en-AU"/>
              </w:rPr>
              <w:t>$</w:t>
            </w:r>
            <w:r w:rsidR="00C442E7">
              <w:rPr>
                <w:rFonts w:ascii="Calibri" w:eastAsia="Times New Roman" w:hAnsi="Calibri" w:cs="Calibri"/>
                <w:color w:val="000000"/>
                <w:lang w:eastAsia="en-AU"/>
              </w:rPr>
              <w:t>547,348,144</w:t>
            </w:r>
          </w:p>
        </w:tc>
      </w:tr>
    </w:tbl>
    <w:p w:rsidR="009747E2" w:rsidRPr="00C465E5" w:rsidRDefault="009747E2" w:rsidP="00C465E5">
      <w:pPr>
        <w:spacing w:before="120"/>
        <w:rPr>
          <w:rFonts w:asciiTheme="minorHAnsi" w:hAnsiTheme="minorHAnsi"/>
          <w:sz w:val="18"/>
          <w:szCs w:val="18"/>
        </w:rPr>
      </w:pPr>
      <w:r w:rsidRPr="003F55DE">
        <w:rPr>
          <w:rFonts w:asciiTheme="minorHAnsi" w:hAnsiTheme="minorHAnsi"/>
          <w:sz w:val="18"/>
          <w:szCs w:val="18"/>
        </w:rPr>
        <w:t>Note</w:t>
      </w:r>
      <w:r w:rsidR="00C465E5">
        <w:rPr>
          <w:rFonts w:asciiTheme="minorHAnsi" w:hAnsiTheme="minorHAnsi"/>
          <w:sz w:val="18"/>
          <w:szCs w:val="18"/>
        </w:rPr>
        <w:t xml:space="preserve">: </w:t>
      </w:r>
      <w:r w:rsidR="00617F30" w:rsidRPr="00C465E5">
        <w:rPr>
          <w:rFonts w:asciiTheme="minorHAnsi" w:hAnsiTheme="minorHAnsi"/>
          <w:sz w:val="18"/>
          <w:szCs w:val="18"/>
        </w:rPr>
        <w:t>B</w:t>
      </w:r>
      <w:r w:rsidRPr="00C465E5">
        <w:rPr>
          <w:rFonts w:asciiTheme="minorHAnsi" w:hAnsiTheme="minorHAnsi"/>
          <w:sz w:val="18"/>
          <w:szCs w:val="18"/>
        </w:rPr>
        <w:t xml:space="preserve">racketed </w:t>
      </w:r>
      <w:r w:rsidR="00617F30" w:rsidRPr="00C465E5">
        <w:rPr>
          <w:rFonts w:asciiTheme="minorHAnsi" w:hAnsiTheme="minorHAnsi"/>
          <w:sz w:val="18"/>
          <w:szCs w:val="18"/>
        </w:rPr>
        <w:t xml:space="preserve">values </w:t>
      </w:r>
      <w:r w:rsidRPr="00C465E5">
        <w:rPr>
          <w:rFonts w:asciiTheme="minorHAnsi" w:hAnsiTheme="minorHAnsi"/>
          <w:sz w:val="18"/>
          <w:szCs w:val="18"/>
        </w:rPr>
        <w:t xml:space="preserve">represent cost savings. </w:t>
      </w:r>
    </w:p>
    <w:p w:rsidR="00EB19C9" w:rsidRPr="0098630E" w:rsidRDefault="00182CB1" w:rsidP="00EB19C9">
      <w:pPr>
        <w:spacing w:before="120"/>
        <w:rPr>
          <w:rFonts w:asciiTheme="minorHAnsi" w:hAnsiTheme="minorHAnsi"/>
        </w:rPr>
      </w:pPr>
      <w:r>
        <w:rPr>
          <w:rFonts w:asciiTheme="minorHAnsi" w:hAnsiTheme="minorHAnsi"/>
        </w:rPr>
        <w:t xml:space="preserve">Overall, two of the three </w:t>
      </w:r>
      <w:r w:rsidR="00FB3101">
        <w:rPr>
          <w:rFonts w:asciiTheme="minorHAnsi" w:hAnsiTheme="minorHAnsi"/>
        </w:rPr>
        <w:t>specifications</w:t>
      </w:r>
      <w:r>
        <w:rPr>
          <w:rFonts w:asciiTheme="minorHAnsi" w:hAnsiTheme="minorHAnsi"/>
        </w:rPr>
        <w:t xml:space="preserve"> </w:t>
      </w:r>
      <w:r w:rsidR="00EB19C9" w:rsidRPr="0098630E">
        <w:rPr>
          <w:rFonts w:asciiTheme="minorHAnsi" w:hAnsiTheme="minorHAnsi"/>
        </w:rPr>
        <w:t xml:space="preserve">demonstrate net </w:t>
      </w:r>
      <w:r w:rsidR="00FB3101">
        <w:rPr>
          <w:rFonts w:asciiTheme="minorHAnsi" w:hAnsiTheme="minorHAnsi"/>
        </w:rPr>
        <w:t xml:space="preserve">combined </w:t>
      </w:r>
      <w:r w:rsidR="00EB19C9" w:rsidRPr="0098630E">
        <w:rPr>
          <w:rFonts w:asciiTheme="minorHAnsi" w:hAnsiTheme="minorHAnsi"/>
        </w:rPr>
        <w:t>construction</w:t>
      </w:r>
      <w:r w:rsidR="00617F30">
        <w:rPr>
          <w:rFonts w:asciiTheme="minorHAnsi" w:hAnsiTheme="minorHAnsi"/>
        </w:rPr>
        <w:t xml:space="preserve"> and maintenance</w:t>
      </w:r>
      <w:r w:rsidR="00EB19C9" w:rsidRPr="0098630E">
        <w:rPr>
          <w:rFonts w:asciiTheme="minorHAnsi" w:hAnsiTheme="minorHAnsi"/>
        </w:rPr>
        <w:t xml:space="preserve"> cost when compared with the status quo </w:t>
      </w:r>
      <w:r>
        <w:rPr>
          <w:rFonts w:asciiTheme="minorHAnsi" w:hAnsiTheme="minorHAnsi"/>
        </w:rPr>
        <w:t xml:space="preserve">ranging from </w:t>
      </w:r>
      <w:r w:rsidR="00617F30">
        <w:rPr>
          <w:rFonts w:asciiTheme="minorHAnsi" w:hAnsiTheme="minorHAnsi"/>
        </w:rPr>
        <w:t>$</w:t>
      </w:r>
      <w:r>
        <w:rPr>
          <w:rFonts w:asciiTheme="minorHAnsi" w:hAnsiTheme="minorHAnsi"/>
        </w:rPr>
        <w:t>54</w:t>
      </w:r>
      <w:r w:rsidR="00C442E7">
        <w:rPr>
          <w:rFonts w:asciiTheme="minorHAnsi" w:hAnsiTheme="minorHAnsi"/>
        </w:rPr>
        <w:t>7</w:t>
      </w:r>
      <w:r>
        <w:rPr>
          <w:rFonts w:asciiTheme="minorHAnsi" w:hAnsiTheme="minorHAnsi"/>
        </w:rPr>
        <w:t xml:space="preserve"> million for the FPAA 101H option to </w:t>
      </w:r>
      <w:r w:rsidR="00617F30">
        <w:rPr>
          <w:rFonts w:asciiTheme="minorHAnsi" w:hAnsiTheme="minorHAnsi"/>
        </w:rPr>
        <w:t>$</w:t>
      </w:r>
      <w:r>
        <w:rPr>
          <w:rFonts w:asciiTheme="minorHAnsi" w:hAnsiTheme="minorHAnsi"/>
        </w:rPr>
        <w:t>7</w:t>
      </w:r>
      <w:r w:rsidR="00C442E7">
        <w:rPr>
          <w:rFonts w:asciiTheme="minorHAnsi" w:hAnsiTheme="minorHAnsi"/>
        </w:rPr>
        <w:t>86</w:t>
      </w:r>
      <w:r>
        <w:rPr>
          <w:rFonts w:asciiTheme="minorHAnsi" w:hAnsiTheme="minorHAnsi"/>
        </w:rPr>
        <w:t xml:space="preserve"> million for the AS 2118.1 option. FPAA 101D demonstrates small net savings of </w:t>
      </w:r>
      <w:r w:rsidR="00617F30">
        <w:rPr>
          <w:rFonts w:asciiTheme="minorHAnsi" w:hAnsiTheme="minorHAnsi"/>
        </w:rPr>
        <w:t>$</w:t>
      </w:r>
      <w:r w:rsidR="00C442E7">
        <w:rPr>
          <w:rFonts w:asciiTheme="minorHAnsi" w:hAnsiTheme="minorHAnsi"/>
        </w:rPr>
        <w:t xml:space="preserve">26 </w:t>
      </w:r>
      <w:r>
        <w:rPr>
          <w:rFonts w:asciiTheme="minorHAnsi" w:hAnsiTheme="minorHAnsi"/>
        </w:rPr>
        <w:t>million in Present Value terms</w:t>
      </w:r>
      <w:r w:rsidR="00D9364F">
        <w:rPr>
          <w:rFonts w:asciiTheme="minorHAnsi" w:hAnsiTheme="minorHAnsi"/>
        </w:rPr>
        <w:t>.</w:t>
      </w:r>
      <w:r w:rsidR="00EB19C9" w:rsidRPr="0098630E">
        <w:rPr>
          <w:rFonts w:asciiTheme="minorHAnsi" w:hAnsiTheme="minorHAnsi"/>
        </w:rPr>
        <w:t xml:space="preserve"> </w:t>
      </w:r>
      <w:r w:rsidR="00EB19C9">
        <w:rPr>
          <w:rFonts w:asciiTheme="minorHAnsi" w:hAnsiTheme="minorHAnsi"/>
        </w:rPr>
        <w:t xml:space="preserve">These costs will be compared with the expected uptake of each option and the benefits gained from sprinkler protection. </w:t>
      </w:r>
    </w:p>
    <w:tbl>
      <w:tblPr>
        <w:tblStyle w:val="TableGrid"/>
        <w:tblW w:w="0" w:type="auto"/>
        <w:tblBorders>
          <w:insideH w:val="none" w:sz="0" w:space="0" w:color="auto"/>
          <w:insideV w:val="none" w:sz="0" w:space="0" w:color="auto"/>
        </w:tblBorders>
        <w:shd w:val="clear" w:color="auto" w:fill="BFBFBF" w:themeFill="background1" w:themeFillShade="BF"/>
        <w:tblLook w:val="0480" w:firstRow="0" w:lastRow="0" w:firstColumn="1" w:lastColumn="0" w:noHBand="0" w:noVBand="1"/>
        <w:tblCaption w:val="Consultation Textbox"/>
        <w:tblDescription w:val="Stakeholders were asked whether they agreed withthe information on costs used in the Consultation RIS and whether they had any other information that would help inform the Final RIS. "/>
      </w:tblPr>
      <w:tblGrid>
        <w:gridCol w:w="9016"/>
      </w:tblGrid>
      <w:tr w:rsidR="00EB19C9" w:rsidRPr="00B02105" w:rsidTr="00EB19C9">
        <w:trPr>
          <w:trHeight w:val="393"/>
          <w:tblHeader/>
        </w:trPr>
        <w:tc>
          <w:tcPr>
            <w:tcW w:w="9016" w:type="dxa"/>
            <w:shd w:val="clear" w:color="auto" w:fill="BFBFBF" w:themeFill="background1" w:themeFillShade="BF"/>
          </w:tcPr>
          <w:p w:rsidR="00EB19C9" w:rsidRPr="00B02105" w:rsidRDefault="00EB19C9" w:rsidP="00EB19C9">
            <w:pPr>
              <w:rPr>
                <w:rFonts w:asciiTheme="majorHAnsi" w:eastAsiaTheme="majorEastAsia" w:hAnsiTheme="majorHAnsi" w:cstheme="majorBidi"/>
                <w:bCs/>
                <w:color w:val="002060"/>
                <w:sz w:val="40"/>
                <w:szCs w:val="28"/>
              </w:rPr>
            </w:pPr>
            <w:r w:rsidRPr="00B02105">
              <w:rPr>
                <w:rFonts w:asciiTheme="minorHAnsi" w:hAnsiTheme="minorHAnsi"/>
              </w:rPr>
              <w:t>Stakeholders were asked whether they agreed wit</w:t>
            </w:r>
            <w:r>
              <w:rPr>
                <w:rFonts w:asciiTheme="minorHAnsi" w:hAnsiTheme="minorHAnsi"/>
              </w:rPr>
              <w:t xml:space="preserve">h the information on costs used in </w:t>
            </w:r>
            <w:r w:rsidRPr="00B02105">
              <w:rPr>
                <w:rFonts w:asciiTheme="minorHAnsi" w:hAnsiTheme="minorHAnsi"/>
              </w:rPr>
              <w:t>the Consultation RIS and whether they had any other informat</w:t>
            </w:r>
            <w:r>
              <w:rPr>
                <w:rFonts w:asciiTheme="minorHAnsi" w:hAnsiTheme="minorHAnsi"/>
              </w:rPr>
              <w:t>ion that would help inform the F</w:t>
            </w:r>
            <w:r w:rsidRPr="00B02105">
              <w:rPr>
                <w:rFonts w:asciiTheme="minorHAnsi" w:hAnsiTheme="minorHAnsi"/>
              </w:rPr>
              <w:t xml:space="preserve">inal RIS. </w:t>
            </w:r>
          </w:p>
        </w:tc>
      </w:tr>
    </w:tbl>
    <w:p w:rsidR="00EB19C9" w:rsidRPr="00BB2CEF" w:rsidRDefault="00EB19C9" w:rsidP="00EB19C9">
      <w:pPr>
        <w:spacing w:before="240"/>
        <w:rPr>
          <w:rFonts w:asciiTheme="minorHAnsi" w:hAnsiTheme="minorHAnsi"/>
        </w:rPr>
      </w:pPr>
      <w:r>
        <w:rPr>
          <w:rFonts w:asciiTheme="minorHAnsi" w:hAnsiTheme="minorHAnsi"/>
        </w:rPr>
        <w:t>The majority of respondents supported the costs prepared by DCWC, however, felt that some minor concessions wo</w:t>
      </w:r>
      <w:r w:rsidR="00FB3101">
        <w:rPr>
          <w:rFonts w:asciiTheme="minorHAnsi" w:hAnsiTheme="minorHAnsi"/>
        </w:rPr>
        <w:t>uld be unlikely</w:t>
      </w:r>
      <w:r w:rsidR="008A7DC4">
        <w:rPr>
          <w:rFonts w:asciiTheme="minorHAnsi" w:hAnsiTheme="minorHAnsi"/>
        </w:rPr>
        <w:t xml:space="preserve"> to</w:t>
      </w:r>
      <w:r w:rsidR="00FB3101">
        <w:rPr>
          <w:rFonts w:asciiTheme="minorHAnsi" w:hAnsiTheme="minorHAnsi"/>
        </w:rPr>
        <w:t xml:space="preserve"> materialise where</w:t>
      </w:r>
      <w:r>
        <w:rPr>
          <w:rFonts w:asciiTheme="minorHAnsi" w:hAnsiTheme="minorHAnsi"/>
        </w:rPr>
        <w:t xml:space="preserve"> pr</w:t>
      </w:r>
      <w:r w:rsidR="00FA713B">
        <w:rPr>
          <w:rFonts w:asciiTheme="minorHAnsi" w:hAnsiTheme="minorHAnsi"/>
        </w:rPr>
        <w:t xml:space="preserve">oducts were not on the market. </w:t>
      </w:r>
      <w:r>
        <w:rPr>
          <w:rFonts w:asciiTheme="minorHAnsi" w:hAnsiTheme="minorHAnsi"/>
        </w:rPr>
        <w:t>One stakeholder also questioned whether consideration was needed to compensate for the removal of a fire-isolated stair in terms of st</w:t>
      </w:r>
      <w:r w:rsidR="00FA713B">
        <w:rPr>
          <w:rFonts w:asciiTheme="minorHAnsi" w:hAnsiTheme="minorHAnsi"/>
        </w:rPr>
        <w:t xml:space="preserve">ructural robustness (bracing). </w:t>
      </w:r>
      <w:r>
        <w:rPr>
          <w:rFonts w:asciiTheme="minorHAnsi" w:hAnsiTheme="minorHAnsi"/>
        </w:rPr>
        <w:t>Where relevant,</w:t>
      </w:r>
      <w:r w:rsidR="00FB3101">
        <w:rPr>
          <w:rFonts w:asciiTheme="minorHAnsi" w:hAnsiTheme="minorHAnsi"/>
        </w:rPr>
        <w:t xml:space="preserve"> these costs </w:t>
      </w:r>
      <w:r>
        <w:rPr>
          <w:rFonts w:asciiTheme="minorHAnsi" w:hAnsiTheme="minorHAnsi"/>
        </w:rPr>
        <w:t xml:space="preserve">have been revised by </w:t>
      </w:r>
      <w:r w:rsidR="00FB3101">
        <w:rPr>
          <w:rFonts w:asciiTheme="minorHAnsi" w:hAnsiTheme="minorHAnsi"/>
        </w:rPr>
        <w:t>the quantity surveyor</w:t>
      </w:r>
      <w:r>
        <w:rPr>
          <w:rFonts w:asciiTheme="minorHAnsi" w:hAnsiTheme="minorHAnsi"/>
        </w:rPr>
        <w:t xml:space="preserve">. </w:t>
      </w:r>
    </w:p>
    <w:p w:rsidR="0014340A" w:rsidRDefault="00EB19C9" w:rsidP="00EB19C9">
      <w:pPr>
        <w:spacing w:before="240"/>
        <w:rPr>
          <w:rFonts w:asciiTheme="minorHAnsi" w:hAnsiTheme="minorHAnsi"/>
        </w:rPr>
      </w:pPr>
      <w:r w:rsidRPr="00BB2CEF">
        <w:rPr>
          <w:rFonts w:asciiTheme="minorHAnsi" w:hAnsiTheme="minorHAnsi"/>
        </w:rPr>
        <w:lastRenderedPageBreak/>
        <w:t xml:space="preserve">A plumbing </w:t>
      </w:r>
      <w:r w:rsidR="0014340A">
        <w:rPr>
          <w:rFonts w:asciiTheme="minorHAnsi" w:hAnsiTheme="minorHAnsi"/>
        </w:rPr>
        <w:t>stakeholder</w:t>
      </w:r>
      <w:r w:rsidRPr="00BB2CEF">
        <w:rPr>
          <w:rFonts w:asciiTheme="minorHAnsi" w:hAnsiTheme="minorHAnsi"/>
        </w:rPr>
        <w:t xml:space="preserve"> suggested that the b</w:t>
      </w:r>
      <w:r>
        <w:rPr>
          <w:rFonts w:asciiTheme="minorHAnsi" w:hAnsiTheme="minorHAnsi"/>
        </w:rPr>
        <w:t>ac</w:t>
      </w:r>
      <w:r w:rsidR="0014340A">
        <w:rPr>
          <w:rFonts w:asciiTheme="minorHAnsi" w:hAnsiTheme="minorHAnsi"/>
        </w:rPr>
        <w:t>k</w:t>
      </w:r>
      <w:r w:rsidRPr="00BB2CEF">
        <w:rPr>
          <w:rFonts w:asciiTheme="minorHAnsi" w:hAnsiTheme="minorHAnsi"/>
        </w:rPr>
        <w:t>flow prevention requirements should be raised from low to medium where metal piping is used in an SOU</w:t>
      </w:r>
      <w:r>
        <w:rPr>
          <w:rFonts w:asciiTheme="minorHAnsi" w:hAnsiTheme="minorHAnsi"/>
        </w:rPr>
        <w:t>, acknowledging that this would increase the cost of the proposed solutions</w:t>
      </w:r>
      <w:r w:rsidR="0014340A">
        <w:rPr>
          <w:rFonts w:asciiTheme="minorHAnsi" w:hAnsiTheme="minorHAnsi"/>
        </w:rPr>
        <w:t xml:space="preserve">. </w:t>
      </w:r>
    </w:p>
    <w:p w:rsidR="00EB19C9" w:rsidRDefault="00EB19C9" w:rsidP="00EB19C9">
      <w:pPr>
        <w:spacing w:before="240"/>
        <w:rPr>
          <w:rFonts w:asciiTheme="minorHAnsi" w:hAnsiTheme="minorHAnsi"/>
        </w:rPr>
      </w:pPr>
      <w:r w:rsidRPr="00BB2CEF">
        <w:rPr>
          <w:rFonts w:asciiTheme="minorHAnsi" w:hAnsiTheme="minorHAnsi"/>
        </w:rPr>
        <w:t>FPAA</w:t>
      </w:r>
      <w:r>
        <w:rPr>
          <w:rFonts w:asciiTheme="minorHAnsi" w:hAnsiTheme="minorHAnsi"/>
        </w:rPr>
        <w:t xml:space="preserve"> </w:t>
      </w:r>
      <w:r w:rsidRPr="00BB2CEF">
        <w:rPr>
          <w:rFonts w:asciiTheme="minorHAnsi" w:hAnsiTheme="minorHAnsi"/>
        </w:rPr>
        <w:t xml:space="preserve">101D has the same backflow prevention requirements as </w:t>
      </w:r>
      <w:r>
        <w:rPr>
          <w:rFonts w:asciiTheme="minorHAnsi" w:hAnsiTheme="minorHAnsi"/>
        </w:rPr>
        <w:t>other</w:t>
      </w:r>
      <w:r w:rsidRPr="00BB2CEF">
        <w:rPr>
          <w:rFonts w:asciiTheme="minorHAnsi" w:hAnsiTheme="minorHAnsi"/>
        </w:rPr>
        <w:t xml:space="preserve"> sprinkler </w:t>
      </w:r>
      <w:r>
        <w:rPr>
          <w:rFonts w:asciiTheme="minorHAnsi" w:hAnsiTheme="minorHAnsi"/>
        </w:rPr>
        <w:t>specification</w:t>
      </w:r>
      <w:r w:rsidR="00E060FC">
        <w:rPr>
          <w:rFonts w:asciiTheme="minorHAnsi" w:hAnsiTheme="minorHAnsi"/>
        </w:rPr>
        <w:t>s</w:t>
      </w:r>
      <w:r w:rsidRPr="00BB2CEF">
        <w:rPr>
          <w:rFonts w:asciiTheme="minorHAnsi" w:hAnsiTheme="minorHAnsi"/>
        </w:rPr>
        <w:t xml:space="preserve">; that is, there is a backflow prevention device that </w:t>
      </w:r>
      <w:r w:rsidRPr="00F16649">
        <w:rPr>
          <w:rFonts w:asciiTheme="minorHAnsi" w:hAnsiTheme="minorHAnsi"/>
        </w:rPr>
        <w:t>separates</w:t>
      </w:r>
      <w:r w:rsidRPr="00BB2CEF">
        <w:rPr>
          <w:rFonts w:asciiTheme="minorHAnsi" w:hAnsiTheme="minorHAnsi"/>
        </w:rPr>
        <w:t xml:space="preserve"> the sprinkler system </w:t>
      </w:r>
      <w:r>
        <w:rPr>
          <w:rFonts w:asciiTheme="minorHAnsi" w:hAnsiTheme="minorHAnsi"/>
        </w:rPr>
        <w:t>(</w:t>
      </w:r>
      <w:r w:rsidRPr="008C1EE8">
        <w:rPr>
          <w:rFonts w:asciiTheme="minorHAnsi" w:hAnsiTheme="minorHAnsi"/>
        </w:rPr>
        <w:t xml:space="preserve">non-drinking water supply) from domestic water supply </w:t>
      </w:r>
      <w:r w:rsidRPr="00BB2CEF">
        <w:rPr>
          <w:rFonts w:asciiTheme="minorHAnsi" w:hAnsiTheme="minorHAnsi"/>
        </w:rPr>
        <w:t>(drinking water)</w:t>
      </w:r>
      <w:r w:rsidR="00E060FC">
        <w:rPr>
          <w:rFonts w:asciiTheme="minorHAnsi" w:hAnsiTheme="minorHAnsi"/>
        </w:rPr>
        <w:t>.  No cross connection is permitted by the specification either</w:t>
      </w:r>
      <w:r w:rsidRPr="00BB2CEF">
        <w:rPr>
          <w:rFonts w:asciiTheme="minorHAnsi" w:hAnsiTheme="minorHAnsi"/>
        </w:rPr>
        <w:t xml:space="preserve">. This addresses the low risk of contamination </w:t>
      </w:r>
      <w:r>
        <w:rPr>
          <w:rFonts w:asciiTheme="minorHAnsi" w:hAnsiTheme="minorHAnsi"/>
        </w:rPr>
        <w:t>to</w:t>
      </w:r>
      <w:r w:rsidRPr="00BB2CEF">
        <w:rPr>
          <w:rFonts w:asciiTheme="minorHAnsi" w:hAnsiTheme="minorHAnsi"/>
        </w:rPr>
        <w:t xml:space="preserve"> the drinking water supply. </w:t>
      </w:r>
      <w:r>
        <w:rPr>
          <w:rFonts w:asciiTheme="minorHAnsi" w:hAnsiTheme="minorHAnsi"/>
        </w:rPr>
        <w:t>P</w:t>
      </w:r>
      <w:r w:rsidRPr="00BB2CEF">
        <w:rPr>
          <w:rFonts w:asciiTheme="minorHAnsi" w:hAnsiTheme="minorHAnsi"/>
        </w:rPr>
        <w:t>ipework f</w:t>
      </w:r>
      <w:r>
        <w:rPr>
          <w:rFonts w:asciiTheme="minorHAnsi" w:hAnsiTheme="minorHAnsi"/>
        </w:rPr>
        <w:t>or</w:t>
      </w:r>
      <w:r w:rsidRPr="008C1EE8">
        <w:rPr>
          <w:rFonts w:asciiTheme="minorHAnsi" w:hAnsiTheme="minorHAnsi"/>
        </w:rPr>
        <w:t xml:space="preserve"> the FPAA</w:t>
      </w:r>
      <w:r>
        <w:rPr>
          <w:rFonts w:asciiTheme="minorHAnsi" w:hAnsiTheme="minorHAnsi"/>
        </w:rPr>
        <w:t xml:space="preserve"> </w:t>
      </w:r>
      <w:r w:rsidRPr="008C1EE8">
        <w:rPr>
          <w:rFonts w:asciiTheme="minorHAnsi" w:hAnsiTheme="minorHAnsi"/>
        </w:rPr>
        <w:t xml:space="preserve">101D system must </w:t>
      </w:r>
      <w:r>
        <w:rPr>
          <w:rFonts w:asciiTheme="minorHAnsi" w:hAnsiTheme="minorHAnsi"/>
        </w:rPr>
        <w:t xml:space="preserve">also </w:t>
      </w:r>
      <w:r w:rsidRPr="008C1EE8">
        <w:rPr>
          <w:rFonts w:asciiTheme="minorHAnsi" w:hAnsiTheme="minorHAnsi"/>
        </w:rPr>
        <w:t xml:space="preserve">be either copper or PE-X pipe, both of which are currently permitted for use in AS 3500.1 </w:t>
      </w:r>
      <w:r w:rsidRPr="00BB2CEF">
        <w:rPr>
          <w:rFonts w:asciiTheme="minorHAnsi" w:hAnsiTheme="minorHAnsi"/>
        </w:rPr>
        <w:t xml:space="preserve">– 2015 </w:t>
      </w:r>
      <w:r w:rsidR="008864EA" w:rsidRPr="008864EA">
        <w:rPr>
          <w:rFonts w:asciiTheme="minorHAnsi" w:hAnsiTheme="minorHAnsi"/>
          <w:i/>
        </w:rPr>
        <w:t>‘P</w:t>
      </w:r>
      <w:r w:rsidRPr="008864EA">
        <w:rPr>
          <w:rFonts w:asciiTheme="minorHAnsi" w:hAnsiTheme="minorHAnsi"/>
          <w:i/>
        </w:rPr>
        <w:t xml:space="preserve">otable </w:t>
      </w:r>
      <w:r w:rsidR="008864EA" w:rsidRPr="008864EA">
        <w:rPr>
          <w:rFonts w:asciiTheme="minorHAnsi" w:hAnsiTheme="minorHAnsi"/>
          <w:i/>
        </w:rPr>
        <w:t>W</w:t>
      </w:r>
      <w:r w:rsidRPr="008864EA">
        <w:rPr>
          <w:rFonts w:asciiTheme="minorHAnsi" w:hAnsiTheme="minorHAnsi"/>
          <w:i/>
        </w:rPr>
        <w:t xml:space="preserve">ater </w:t>
      </w:r>
      <w:r w:rsidR="008864EA" w:rsidRPr="008864EA">
        <w:rPr>
          <w:rFonts w:asciiTheme="minorHAnsi" w:hAnsiTheme="minorHAnsi"/>
          <w:i/>
        </w:rPr>
        <w:t>S</w:t>
      </w:r>
      <w:r w:rsidRPr="008864EA">
        <w:rPr>
          <w:rFonts w:asciiTheme="minorHAnsi" w:hAnsiTheme="minorHAnsi"/>
          <w:i/>
        </w:rPr>
        <w:t xml:space="preserve">upply </w:t>
      </w:r>
      <w:r w:rsidR="008864EA" w:rsidRPr="008864EA">
        <w:rPr>
          <w:rFonts w:asciiTheme="minorHAnsi" w:hAnsiTheme="minorHAnsi"/>
          <w:i/>
        </w:rPr>
        <w:t>S</w:t>
      </w:r>
      <w:r w:rsidRPr="008864EA">
        <w:rPr>
          <w:rFonts w:asciiTheme="minorHAnsi" w:hAnsiTheme="minorHAnsi"/>
          <w:i/>
        </w:rPr>
        <w:t>ystems</w:t>
      </w:r>
      <w:r w:rsidR="008864EA" w:rsidRPr="008864EA">
        <w:rPr>
          <w:rFonts w:asciiTheme="minorHAnsi" w:hAnsiTheme="minorHAnsi"/>
          <w:i/>
        </w:rPr>
        <w:t>’</w:t>
      </w:r>
      <w:r w:rsidRPr="00BB2CEF">
        <w:rPr>
          <w:rFonts w:asciiTheme="minorHAnsi" w:hAnsiTheme="minorHAnsi"/>
        </w:rPr>
        <w:t>.</w:t>
      </w:r>
      <w:r w:rsidR="00FB3101">
        <w:rPr>
          <w:rFonts w:asciiTheme="minorHAnsi" w:hAnsiTheme="minorHAnsi"/>
        </w:rPr>
        <w:t xml:space="preserve"> As such, no change ha</w:t>
      </w:r>
      <w:r>
        <w:rPr>
          <w:rFonts w:asciiTheme="minorHAnsi" w:hAnsiTheme="minorHAnsi"/>
        </w:rPr>
        <w:t>s</w:t>
      </w:r>
      <w:r w:rsidR="00FB3101">
        <w:rPr>
          <w:rFonts w:asciiTheme="minorHAnsi" w:hAnsiTheme="minorHAnsi"/>
        </w:rPr>
        <w:t xml:space="preserve"> been</w:t>
      </w:r>
      <w:r>
        <w:rPr>
          <w:rFonts w:asciiTheme="minorHAnsi" w:hAnsiTheme="minorHAnsi"/>
        </w:rPr>
        <w:t xml:space="preserve"> deemed </w:t>
      </w:r>
      <w:r w:rsidR="008864EA">
        <w:rPr>
          <w:rFonts w:asciiTheme="minorHAnsi" w:hAnsiTheme="minorHAnsi"/>
        </w:rPr>
        <w:t>necessary</w:t>
      </w:r>
      <w:r>
        <w:rPr>
          <w:rFonts w:asciiTheme="minorHAnsi" w:hAnsiTheme="minorHAnsi"/>
        </w:rPr>
        <w:t xml:space="preserve"> to the specified backflow prevention requirements</w:t>
      </w:r>
      <w:r w:rsidR="00FB3101">
        <w:rPr>
          <w:rFonts w:asciiTheme="minorHAnsi" w:hAnsiTheme="minorHAnsi"/>
        </w:rPr>
        <w:t xml:space="preserve"> as the risk </w:t>
      </w:r>
      <w:r w:rsidR="00FB3101" w:rsidRPr="00FB3101">
        <w:rPr>
          <w:rFonts w:asciiTheme="minorHAnsi" w:hAnsiTheme="minorHAnsi"/>
        </w:rPr>
        <w:t xml:space="preserve">from </w:t>
      </w:r>
      <w:r w:rsidR="0014340A" w:rsidRPr="00FB3101">
        <w:rPr>
          <w:rFonts w:asciiTheme="minorHAnsi" w:hAnsiTheme="minorHAnsi"/>
        </w:rPr>
        <w:t>stagnant</w:t>
      </w:r>
      <w:r w:rsidR="00FB3101" w:rsidRPr="00FB3101">
        <w:rPr>
          <w:rFonts w:asciiTheme="minorHAnsi" w:hAnsiTheme="minorHAnsi"/>
        </w:rPr>
        <w:t xml:space="preserve"> water is </w:t>
      </w:r>
      <w:r w:rsidR="00E10DFB">
        <w:rPr>
          <w:rFonts w:asciiTheme="minorHAnsi" w:hAnsiTheme="minorHAnsi"/>
        </w:rPr>
        <w:t xml:space="preserve">considered </w:t>
      </w:r>
      <w:r w:rsidR="00FB3101" w:rsidRPr="00FB3101">
        <w:rPr>
          <w:rFonts w:asciiTheme="minorHAnsi" w:hAnsiTheme="minorHAnsi"/>
        </w:rPr>
        <w:t>equivalent to existing systems.</w:t>
      </w:r>
    </w:p>
    <w:p w:rsidR="00EB19C9" w:rsidRPr="002E4F1E" w:rsidRDefault="00EB19C9" w:rsidP="00EB19C9">
      <w:pPr>
        <w:pStyle w:val="Heading2"/>
        <w:rPr>
          <w:b w:val="0"/>
          <w:bCs w:val="0"/>
          <w:szCs w:val="32"/>
        </w:rPr>
      </w:pPr>
      <w:r w:rsidRPr="002E4F1E">
        <w:rPr>
          <w:szCs w:val="32"/>
        </w:rPr>
        <w:t>Benefits</w:t>
      </w:r>
    </w:p>
    <w:p w:rsidR="00EB19C9" w:rsidRDefault="00EB19C9" w:rsidP="00F97822">
      <w:pPr>
        <w:spacing w:before="120"/>
        <w:rPr>
          <w:rFonts w:asciiTheme="minorHAnsi" w:hAnsiTheme="minorHAnsi"/>
        </w:rPr>
      </w:pPr>
      <w:r w:rsidRPr="004639DE">
        <w:rPr>
          <w:rFonts w:asciiTheme="minorHAnsi" w:hAnsiTheme="minorHAnsi"/>
        </w:rPr>
        <w:t xml:space="preserve">There are </w:t>
      </w:r>
      <w:r>
        <w:rPr>
          <w:rFonts w:asciiTheme="minorHAnsi" w:hAnsiTheme="minorHAnsi"/>
        </w:rPr>
        <w:t>two</w:t>
      </w:r>
      <w:r w:rsidRPr="004639DE">
        <w:rPr>
          <w:rFonts w:asciiTheme="minorHAnsi" w:hAnsiTheme="minorHAnsi"/>
        </w:rPr>
        <w:t xml:space="preserve"> primary sources of benefits </w:t>
      </w:r>
      <w:r w:rsidR="00E10DFB">
        <w:rPr>
          <w:rFonts w:asciiTheme="minorHAnsi" w:hAnsiTheme="minorHAnsi"/>
        </w:rPr>
        <w:t>arising</w:t>
      </w:r>
      <w:r w:rsidR="00E10DFB" w:rsidRPr="004639DE">
        <w:rPr>
          <w:rFonts w:asciiTheme="minorHAnsi" w:hAnsiTheme="minorHAnsi"/>
        </w:rPr>
        <w:t xml:space="preserve"> </w:t>
      </w:r>
      <w:r w:rsidRPr="004639DE">
        <w:rPr>
          <w:rFonts w:asciiTheme="minorHAnsi" w:hAnsiTheme="minorHAnsi"/>
        </w:rPr>
        <w:t xml:space="preserve">from Option 1. </w:t>
      </w:r>
    </w:p>
    <w:p w:rsidR="00EB19C9" w:rsidRPr="004639DE" w:rsidRDefault="00EB19C9" w:rsidP="00F97822">
      <w:pPr>
        <w:spacing w:after="120"/>
        <w:rPr>
          <w:rFonts w:asciiTheme="minorHAnsi" w:hAnsiTheme="minorHAnsi"/>
        </w:rPr>
      </w:pPr>
      <w:r w:rsidRPr="004639DE">
        <w:rPr>
          <w:rFonts w:asciiTheme="minorHAnsi" w:hAnsiTheme="minorHAnsi"/>
        </w:rPr>
        <w:t>These are:</w:t>
      </w:r>
    </w:p>
    <w:p w:rsidR="00EB19C9" w:rsidRDefault="00EB19C9" w:rsidP="00F97822">
      <w:pPr>
        <w:pStyle w:val="ListParagraph"/>
        <w:numPr>
          <w:ilvl w:val="0"/>
          <w:numId w:val="15"/>
        </w:numPr>
        <w:spacing w:after="120" w:line="259" w:lineRule="auto"/>
        <w:rPr>
          <w:rFonts w:asciiTheme="minorHAnsi" w:hAnsiTheme="minorHAnsi"/>
        </w:rPr>
      </w:pPr>
      <w:r w:rsidRPr="002E4F1E">
        <w:rPr>
          <w:rFonts w:asciiTheme="minorHAnsi" w:hAnsiTheme="minorHAnsi"/>
        </w:rPr>
        <w:t>Avoided fatalities</w:t>
      </w:r>
      <w:r>
        <w:rPr>
          <w:rFonts w:asciiTheme="minorHAnsi" w:hAnsiTheme="minorHAnsi"/>
        </w:rPr>
        <w:t xml:space="preserve"> - </w:t>
      </w:r>
      <w:r w:rsidRPr="004639DE">
        <w:rPr>
          <w:rFonts w:asciiTheme="minorHAnsi" w:hAnsiTheme="minorHAnsi"/>
        </w:rPr>
        <w:t>although already infrequent, the number of fatalities from multi-storey residential fires is expected to fall</w:t>
      </w:r>
      <w:r>
        <w:rPr>
          <w:rFonts w:asciiTheme="minorHAnsi" w:hAnsiTheme="minorHAnsi"/>
        </w:rPr>
        <w:t>.</w:t>
      </w:r>
    </w:p>
    <w:p w:rsidR="00EB19C9" w:rsidRPr="002E4F1E" w:rsidRDefault="00EB19C9" w:rsidP="00EB19C9">
      <w:pPr>
        <w:pStyle w:val="ListParagraph"/>
        <w:numPr>
          <w:ilvl w:val="0"/>
          <w:numId w:val="15"/>
        </w:numPr>
        <w:spacing w:after="160" w:line="259" w:lineRule="auto"/>
        <w:rPr>
          <w:rFonts w:asciiTheme="minorHAnsi" w:hAnsiTheme="minorHAnsi"/>
        </w:rPr>
      </w:pPr>
      <w:r w:rsidRPr="004639DE">
        <w:rPr>
          <w:rFonts w:asciiTheme="minorHAnsi" w:hAnsiTheme="minorHAnsi"/>
        </w:rPr>
        <w:t xml:space="preserve">Avoided injuries – </w:t>
      </w:r>
      <w:r>
        <w:rPr>
          <w:rFonts w:asciiTheme="minorHAnsi" w:hAnsiTheme="minorHAnsi"/>
        </w:rPr>
        <w:t>the</w:t>
      </w:r>
      <w:r w:rsidRPr="004639DE">
        <w:rPr>
          <w:rFonts w:asciiTheme="minorHAnsi" w:hAnsiTheme="minorHAnsi"/>
        </w:rPr>
        <w:t xml:space="preserve"> number of injuries is</w:t>
      </w:r>
      <w:r>
        <w:rPr>
          <w:rFonts w:asciiTheme="minorHAnsi" w:hAnsiTheme="minorHAnsi"/>
        </w:rPr>
        <w:t xml:space="preserve"> also</w:t>
      </w:r>
      <w:r w:rsidRPr="004639DE">
        <w:rPr>
          <w:rFonts w:asciiTheme="minorHAnsi" w:hAnsiTheme="minorHAnsi"/>
        </w:rPr>
        <w:t xml:space="preserve"> expected to fall</w:t>
      </w:r>
      <w:r>
        <w:rPr>
          <w:rFonts w:asciiTheme="minorHAnsi" w:hAnsiTheme="minorHAnsi"/>
        </w:rPr>
        <w:t xml:space="preserve"> at the same rate of fatalities</w:t>
      </w:r>
      <w:r w:rsidR="00FA713B">
        <w:rPr>
          <w:rFonts w:asciiTheme="minorHAnsi" w:hAnsiTheme="minorHAnsi"/>
        </w:rPr>
        <w:t>.</w:t>
      </w:r>
    </w:p>
    <w:p w:rsidR="00EB19C9" w:rsidRDefault="00EB19C9" w:rsidP="00EB19C9">
      <w:pPr>
        <w:spacing w:before="240" w:after="160" w:line="259" w:lineRule="auto"/>
        <w:rPr>
          <w:rFonts w:asciiTheme="minorHAnsi" w:hAnsiTheme="minorHAnsi"/>
        </w:rPr>
      </w:pPr>
      <w:r w:rsidRPr="002E4F1E">
        <w:rPr>
          <w:rFonts w:asciiTheme="minorHAnsi" w:hAnsiTheme="minorHAnsi"/>
        </w:rPr>
        <w:t>In addition to these primary benefits there is the potential for significant secondary benefits to arise</w:t>
      </w:r>
      <w:r>
        <w:rPr>
          <w:rFonts w:asciiTheme="minorHAnsi" w:hAnsiTheme="minorHAnsi"/>
        </w:rPr>
        <w:t>.</w:t>
      </w:r>
    </w:p>
    <w:p w:rsidR="00EB19C9" w:rsidRPr="002E4F1E" w:rsidRDefault="00EB19C9" w:rsidP="00F97822">
      <w:pPr>
        <w:spacing w:before="120" w:after="120" w:line="259" w:lineRule="auto"/>
        <w:rPr>
          <w:rFonts w:asciiTheme="minorHAnsi" w:hAnsiTheme="minorHAnsi"/>
        </w:rPr>
      </w:pPr>
      <w:r>
        <w:rPr>
          <w:rFonts w:asciiTheme="minorHAnsi" w:hAnsiTheme="minorHAnsi"/>
        </w:rPr>
        <w:t xml:space="preserve">These are: </w:t>
      </w:r>
    </w:p>
    <w:p w:rsidR="00EB19C9" w:rsidRDefault="00EB19C9" w:rsidP="00EB19C9">
      <w:pPr>
        <w:pStyle w:val="ListParagraph"/>
        <w:numPr>
          <w:ilvl w:val="0"/>
          <w:numId w:val="15"/>
        </w:numPr>
        <w:spacing w:after="160" w:line="259" w:lineRule="auto"/>
        <w:rPr>
          <w:rFonts w:asciiTheme="minorHAnsi" w:hAnsiTheme="minorHAnsi"/>
        </w:rPr>
      </w:pPr>
      <w:r w:rsidRPr="004639DE">
        <w:rPr>
          <w:rFonts w:asciiTheme="minorHAnsi" w:hAnsiTheme="minorHAnsi"/>
        </w:rPr>
        <w:t xml:space="preserve">Avoided property damage – the cost of property damage as a result of fire will reduce given the effectiveness of sprinkler systems to control fire in its early stages. </w:t>
      </w:r>
    </w:p>
    <w:p w:rsidR="00EB19C9" w:rsidRPr="001F5FC4" w:rsidRDefault="00EB19C9" w:rsidP="00EB19C9">
      <w:pPr>
        <w:pStyle w:val="ListParagraph"/>
        <w:numPr>
          <w:ilvl w:val="0"/>
          <w:numId w:val="15"/>
        </w:numPr>
        <w:spacing w:after="160" w:line="259" w:lineRule="auto"/>
        <w:rPr>
          <w:rFonts w:asciiTheme="minorHAnsi" w:hAnsiTheme="minorHAnsi"/>
        </w:rPr>
      </w:pPr>
      <w:r>
        <w:rPr>
          <w:rFonts w:asciiTheme="minorHAnsi" w:hAnsiTheme="minorHAnsi"/>
        </w:rPr>
        <w:t>The ability to capitalise space arising from removal of a fire-isolated stair.</w:t>
      </w:r>
    </w:p>
    <w:p w:rsidR="00EB19C9" w:rsidRPr="002E4F1E" w:rsidRDefault="00EB19C9" w:rsidP="00EB19C9">
      <w:pPr>
        <w:pStyle w:val="Heading2"/>
      </w:pPr>
      <w:r w:rsidRPr="002E4F1E">
        <w:t>Avoided Fatalities</w:t>
      </w:r>
    </w:p>
    <w:p w:rsidR="00EB19C9" w:rsidRPr="00F25003" w:rsidRDefault="00EB19C9" w:rsidP="00F97822">
      <w:pPr>
        <w:spacing w:before="120"/>
        <w:rPr>
          <w:rFonts w:asciiTheme="minorHAnsi" w:hAnsiTheme="minorHAnsi"/>
          <w:bCs/>
          <w:iCs/>
        </w:rPr>
      </w:pPr>
      <w:r w:rsidRPr="006C410E">
        <w:rPr>
          <w:rFonts w:asciiTheme="minorHAnsi" w:hAnsiTheme="minorHAnsi"/>
          <w:bCs/>
          <w:iCs/>
        </w:rPr>
        <w:t xml:space="preserve">The number of avoided fatalities </w:t>
      </w:r>
      <w:r>
        <w:rPr>
          <w:rFonts w:asciiTheme="minorHAnsi" w:hAnsiTheme="minorHAnsi"/>
          <w:bCs/>
          <w:iCs/>
        </w:rPr>
        <w:t>that</w:t>
      </w:r>
      <w:r w:rsidRPr="006C410E">
        <w:rPr>
          <w:rFonts w:asciiTheme="minorHAnsi" w:hAnsiTheme="minorHAnsi"/>
          <w:bCs/>
          <w:iCs/>
        </w:rPr>
        <w:t xml:space="preserve"> can be attributed to Option 1 is influenced by the current rate of fatality in new Class 2 and 3 </w:t>
      </w:r>
      <w:r w:rsidRPr="00F25003">
        <w:rPr>
          <w:rFonts w:asciiTheme="minorHAnsi" w:hAnsiTheme="minorHAnsi"/>
          <w:bCs/>
          <w:iCs/>
        </w:rPr>
        <w:t xml:space="preserve">buildings and the rate at which fatalities can decline with the presence of sprinkler systems. </w:t>
      </w:r>
    </w:p>
    <w:p w:rsidR="00EB19C9" w:rsidRPr="002E4F1E" w:rsidRDefault="00EB19C9" w:rsidP="00EB19C9">
      <w:pPr>
        <w:pStyle w:val="Heading3"/>
      </w:pPr>
      <w:r w:rsidRPr="002E4F1E">
        <w:t>Risk Reduction</w:t>
      </w:r>
    </w:p>
    <w:p w:rsidR="00EB19C9" w:rsidRDefault="00EB19C9" w:rsidP="00F97822">
      <w:pPr>
        <w:spacing w:before="120"/>
        <w:rPr>
          <w:rFonts w:asciiTheme="minorHAnsi" w:hAnsiTheme="minorHAnsi"/>
        </w:rPr>
      </w:pPr>
      <w:r w:rsidRPr="004639DE">
        <w:rPr>
          <w:rFonts w:asciiTheme="minorHAnsi" w:hAnsiTheme="minorHAnsi"/>
        </w:rPr>
        <w:t xml:space="preserve">A fire safety engineering analysis was undertaken </w:t>
      </w:r>
      <w:r>
        <w:rPr>
          <w:rFonts w:asciiTheme="minorHAnsi" w:hAnsiTheme="minorHAnsi"/>
        </w:rPr>
        <w:t>by EFT Consulting on behalf of FRN</w:t>
      </w:r>
      <w:r w:rsidR="00FB3101">
        <w:rPr>
          <w:rFonts w:asciiTheme="minorHAnsi" w:hAnsiTheme="minorHAnsi"/>
        </w:rPr>
        <w:t>S</w:t>
      </w:r>
      <w:r>
        <w:rPr>
          <w:rFonts w:asciiTheme="minorHAnsi" w:hAnsiTheme="minorHAnsi"/>
        </w:rPr>
        <w:t xml:space="preserve">W that </w:t>
      </w:r>
      <w:r w:rsidRPr="004639DE">
        <w:rPr>
          <w:rFonts w:asciiTheme="minorHAnsi" w:hAnsiTheme="minorHAnsi"/>
        </w:rPr>
        <w:t>compare</w:t>
      </w:r>
      <w:r>
        <w:rPr>
          <w:rFonts w:asciiTheme="minorHAnsi" w:hAnsiTheme="minorHAnsi"/>
        </w:rPr>
        <w:t>s</w:t>
      </w:r>
      <w:r w:rsidRPr="004639DE">
        <w:rPr>
          <w:rFonts w:asciiTheme="minorHAnsi" w:hAnsiTheme="minorHAnsi"/>
        </w:rPr>
        <w:t xml:space="preserve"> the risk levels associated with each </w:t>
      </w:r>
      <w:r>
        <w:rPr>
          <w:rFonts w:asciiTheme="minorHAnsi" w:hAnsiTheme="minorHAnsi"/>
        </w:rPr>
        <w:t>specification</w:t>
      </w:r>
      <w:r w:rsidRPr="004639DE">
        <w:rPr>
          <w:rFonts w:asciiTheme="minorHAnsi" w:hAnsiTheme="minorHAnsi"/>
        </w:rPr>
        <w:t xml:space="preserve"> when compared to an</w:t>
      </w:r>
      <w:r>
        <w:rPr>
          <w:rFonts w:asciiTheme="minorHAnsi" w:hAnsiTheme="minorHAnsi"/>
        </w:rPr>
        <w:t xml:space="preserve"> NCC DtS building and the results are</w:t>
      </w:r>
      <w:r w:rsidRPr="004639DE">
        <w:rPr>
          <w:rFonts w:asciiTheme="minorHAnsi" w:hAnsiTheme="minorHAnsi"/>
        </w:rPr>
        <w:t xml:space="preserve"> shown in </w:t>
      </w:r>
      <w:r>
        <w:rPr>
          <w:rFonts w:asciiTheme="minorHAnsi" w:hAnsiTheme="minorHAnsi"/>
        </w:rPr>
        <w:t>T</w:t>
      </w:r>
      <w:r w:rsidRPr="004639DE">
        <w:rPr>
          <w:rFonts w:asciiTheme="minorHAnsi" w:hAnsiTheme="minorHAnsi"/>
        </w:rPr>
        <w:t>able</w:t>
      </w:r>
      <w:r>
        <w:rPr>
          <w:rFonts w:asciiTheme="minorHAnsi" w:hAnsiTheme="minorHAnsi"/>
        </w:rPr>
        <w:t xml:space="preserve"> </w:t>
      </w:r>
      <w:r w:rsidR="00515D2C">
        <w:rPr>
          <w:rFonts w:asciiTheme="minorHAnsi" w:hAnsiTheme="minorHAnsi"/>
        </w:rPr>
        <w:t>14</w:t>
      </w:r>
      <w:r>
        <w:rPr>
          <w:rFonts w:asciiTheme="minorHAnsi" w:hAnsiTheme="minorHAnsi"/>
        </w:rPr>
        <w:t>. It should be acknowledged that the</w:t>
      </w:r>
      <w:r w:rsidRPr="004639DE">
        <w:rPr>
          <w:rFonts w:asciiTheme="minorHAnsi" w:hAnsiTheme="minorHAnsi"/>
        </w:rPr>
        <w:t xml:space="preserve"> small </w:t>
      </w:r>
      <w:r>
        <w:rPr>
          <w:rFonts w:asciiTheme="minorHAnsi" w:hAnsiTheme="minorHAnsi"/>
        </w:rPr>
        <w:t>difference</w:t>
      </w:r>
      <w:r w:rsidRPr="004639DE">
        <w:rPr>
          <w:rFonts w:asciiTheme="minorHAnsi" w:hAnsiTheme="minorHAnsi"/>
        </w:rPr>
        <w:t xml:space="preserve"> in risk</w:t>
      </w:r>
      <w:r>
        <w:rPr>
          <w:rFonts w:asciiTheme="minorHAnsi" w:hAnsiTheme="minorHAnsi"/>
        </w:rPr>
        <w:t xml:space="preserve"> between options is a result of the degree of system coverage.</w:t>
      </w:r>
    </w:p>
    <w:p w:rsidR="00EB19C9" w:rsidRDefault="00EB19C9" w:rsidP="00EB19C9">
      <w:pPr>
        <w:spacing w:after="160" w:line="259" w:lineRule="auto"/>
        <w:rPr>
          <w:rFonts w:asciiTheme="minorHAnsi" w:hAnsiTheme="minorHAnsi"/>
        </w:rPr>
      </w:pPr>
      <w:r>
        <w:rPr>
          <w:rFonts w:asciiTheme="minorHAnsi" w:hAnsiTheme="minorHAnsi"/>
        </w:rPr>
        <w:br w:type="page"/>
      </w:r>
    </w:p>
    <w:p w:rsidR="00EB19C9" w:rsidRPr="00E71A5B" w:rsidRDefault="00EB19C9" w:rsidP="00EB19C9">
      <w:pPr>
        <w:pStyle w:val="Caption"/>
        <w:keepNext/>
        <w:jc w:val="center"/>
        <w:rPr>
          <w:rFonts w:asciiTheme="minorHAnsi" w:hAnsiTheme="minorHAnsi"/>
          <w:b w:val="0"/>
          <w:bCs w:val="0"/>
          <w:iCs/>
          <w:color w:val="002060"/>
          <w:sz w:val="24"/>
          <w:szCs w:val="24"/>
        </w:rPr>
      </w:pPr>
      <w:r w:rsidRPr="00E71A5B">
        <w:rPr>
          <w:rFonts w:asciiTheme="minorHAnsi" w:hAnsiTheme="minorHAnsi"/>
          <w:b w:val="0"/>
          <w:bCs w:val="0"/>
          <w:iCs/>
          <w:color w:val="002060"/>
          <w:sz w:val="24"/>
          <w:szCs w:val="24"/>
        </w:rPr>
        <w:lastRenderedPageBreak/>
        <w:t xml:space="preserve">Table </w:t>
      </w:r>
      <w:r w:rsidR="008A7DC4">
        <w:rPr>
          <w:rFonts w:asciiTheme="minorHAnsi" w:hAnsiTheme="minorHAnsi"/>
          <w:b w:val="0"/>
          <w:bCs w:val="0"/>
          <w:iCs/>
          <w:color w:val="002060"/>
          <w:sz w:val="24"/>
          <w:szCs w:val="24"/>
        </w:rPr>
        <w:t>14</w:t>
      </w:r>
      <w:r w:rsidRPr="00E71A5B">
        <w:rPr>
          <w:rFonts w:asciiTheme="minorHAnsi" w:hAnsiTheme="minorHAnsi"/>
          <w:b w:val="0"/>
          <w:bCs w:val="0"/>
          <w:iCs/>
          <w:color w:val="002060"/>
          <w:sz w:val="24"/>
          <w:szCs w:val="24"/>
        </w:rPr>
        <w:t>: Comparative risk levels per s</w:t>
      </w:r>
      <w:r>
        <w:rPr>
          <w:rFonts w:asciiTheme="minorHAnsi" w:hAnsiTheme="minorHAnsi"/>
          <w:b w:val="0"/>
          <w:bCs w:val="0"/>
          <w:iCs/>
          <w:color w:val="002060"/>
          <w:sz w:val="24"/>
          <w:szCs w:val="24"/>
        </w:rPr>
        <w:t>pecification</w:t>
      </w:r>
    </w:p>
    <w:tbl>
      <w:tblPr>
        <w:tblStyle w:val="TableGrid"/>
        <w:tblW w:w="8784" w:type="dxa"/>
        <w:tblLook w:val="0480" w:firstRow="0" w:lastRow="0" w:firstColumn="1" w:lastColumn="0" w:noHBand="0" w:noVBand="1"/>
        <w:tblCaption w:val="Table presenting comparative risk levels per specification "/>
      </w:tblPr>
      <w:tblGrid>
        <w:gridCol w:w="2716"/>
        <w:gridCol w:w="1674"/>
        <w:gridCol w:w="1984"/>
        <w:gridCol w:w="2410"/>
      </w:tblGrid>
      <w:tr w:rsidR="00EB19C9" w:rsidRPr="004639DE" w:rsidTr="00EB19C9">
        <w:trPr>
          <w:tblHeader/>
        </w:trPr>
        <w:tc>
          <w:tcPr>
            <w:tcW w:w="2716" w:type="dxa"/>
            <w:shd w:val="clear" w:color="auto" w:fill="002060"/>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S</w:t>
            </w:r>
            <w:r>
              <w:rPr>
                <w:rFonts w:asciiTheme="minorHAnsi" w:hAnsiTheme="minorHAnsi"/>
              </w:rPr>
              <w:t>pecification</w:t>
            </w:r>
          </w:p>
        </w:tc>
        <w:tc>
          <w:tcPr>
            <w:tcW w:w="1674" w:type="dxa"/>
            <w:shd w:val="clear" w:color="auto" w:fill="002060"/>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Risk Level</w:t>
            </w:r>
          </w:p>
        </w:tc>
        <w:tc>
          <w:tcPr>
            <w:tcW w:w="1984" w:type="dxa"/>
            <w:shd w:val="clear" w:color="auto" w:fill="002060"/>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Fatalities per 1</w:t>
            </w:r>
            <w:r w:rsidR="00FE521C">
              <w:rPr>
                <w:rFonts w:asciiTheme="minorHAnsi" w:hAnsiTheme="minorHAnsi"/>
              </w:rPr>
              <w:t>,</w:t>
            </w:r>
            <w:r w:rsidRPr="004639DE">
              <w:rPr>
                <w:rFonts w:asciiTheme="minorHAnsi" w:hAnsiTheme="minorHAnsi"/>
              </w:rPr>
              <w:t>000 Fire Starts</w:t>
            </w:r>
          </w:p>
        </w:tc>
        <w:tc>
          <w:tcPr>
            <w:tcW w:w="2410" w:type="dxa"/>
            <w:shd w:val="clear" w:color="auto" w:fill="002060"/>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Reduction in Risk Level (Percentage)</w:t>
            </w:r>
          </w:p>
        </w:tc>
      </w:tr>
      <w:tr w:rsidR="00EB19C9" w:rsidRPr="004639DE" w:rsidTr="00EB19C9">
        <w:tc>
          <w:tcPr>
            <w:tcW w:w="2716" w:type="dxa"/>
          </w:tcPr>
          <w:p w:rsidR="00EB19C9" w:rsidRPr="004639DE" w:rsidRDefault="00EB19C9" w:rsidP="00FE521C">
            <w:pPr>
              <w:spacing w:before="120" w:after="120"/>
              <w:jc w:val="center"/>
              <w:rPr>
                <w:rFonts w:asciiTheme="minorHAnsi" w:hAnsiTheme="minorHAnsi"/>
              </w:rPr>
            </w:pPr>
            <w:r w:rsidRPr="004639DE">
              <w:rPr>
                <w:rFonts w:asciiTheme="minorHAnsi" w:hAnsiTheme="minorHAnsi"/>
              </w:rPr>
              <w:t xml:space="preserve">Current DtS </w:t>
            </w:r>
            <w:r w:rsidR="00EB4C2E">
              <w:rPr>
                <w:rFonts w:asciiTheme="minorHAnsi" w:hAnsiTheme="minorHAnsi"/>
              </w:rPr>
              <w:t>Provisions</w:t>
            </w:r>
          </w:p>
        </w:tc>
        <w:tc>
          <w:tcPr>
            <w:tcW w:w="167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3.9 x 10</w:t>
            </w:r>
            <w:r w:rsidRPr="004639DE">
              <w:rPr>
                <w:rFonts w:asciiTheme="minorHAnsi" w:hAnsiTheme="minorHAnsi"/>
                <w:vertAlign w:val="superscript"/>
              </w:rPr>
              <w:t>-6</w:t>
            </w:r>
          </w:p>
        </w:tc>
        <w:tc>
          <w:tcPr>
            <w:tcW w:w="198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3.9</w:t>
            </w:r>
          </w:p>
        </w:tc>
        <w:tc>
          <w:tcPr>
            <w:tcW w:w="2410"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w:t>
            </w:r>
          </w:p>
        </w:tc>
      </w:tr>
      <w:tr w:rsidR="00EB19C9" w:rsidRPr="004639DE" w:rsidTr="00EB19C9">
        <w:tc>
          <w:tcPr>
            <w:tcW w:w="2716"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FPAA 101D Sprinkler System Design and Installation – Domestic Water Supply</w:t>
            </w:r>
          </w:p>
        </w:tc>
        <w:tc>
          <w:tcPr>
            <w:tcW w:w="167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1.3 x 10</w:t>
            </w:r>
            <w:r w:rsidRPr="004639DE">
              <w:rPr>
                <w:rFonts w:asciiTheme="minorHAnsi" w:hAnsiTheme="minorHAnsi"/>
                <w:vertAlign w:val="superscript"/>
              </w:rPr>
              <w:t>-6</w:t>
            </w:r>
          </w:p>
        </w:tc>
        <w:tc>
          <w:tcPr>
            <w:tcW w:w="198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1.3</w:t>
            </w:r>
          </w:p>
        </w:tc>
        <w:tc>
          <w:tcPr>
            <w:tcW w:w="2410"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67%</w:t>
            </w:r>
          </w:p>
        </w:tc>
      </w:tr>
      <w:tr w:rsidR="00EB19C9" w:rsidRPr="004639DE" w:rsidTr="00EB19C9">
        <w:tc>
          <w:tcPr>
            <w:tcW w:w="2716"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FPAA 101H Sprinkler System Design and Installation – Hydrant Water Supply</w:t>
            </w:r>
          </w:p>
        </w:tc>
        <w:tc>
          <w:tcPr>
            <w:tcW w:w="167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1.1 x 10</w:t>
            </w:r>
            <w:r w:rsidRPr="004639DE">
              <w:rPr>
                <w:rFonts w:asciiTheme="minorHAnsi" w:hAnsiTheme="minorHAnsi"/>
                <w:vertAlign w:val="superscript"/>
              </w:rPr>
              <w:t>-6</w:t>
            </w:r>
          </w:p>
        </w:tc>
        <w:tc>
          <w:tcPr>
            <w:tcW w:w="198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1.1</w:t>
            </w:r>
          </w:p>
        </w:tc>
        <w:tc>
          <w:tcPr>
            <w:tcW w:w="2410"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72%</w:t>
            </w:r>
          </w:p>
        </w:tc>
      </w:tr>
      <w:tr w:rsidR="00EB19C9" w:rsidRPr="004639DE" w:rsidTr="00EB19C9">
        <w:tc>
          <w:tcPr>
            <w:tcW w:w="2716" w:type="dxa"/>
          </w:tcPr>
          <w:p w:rsidR="00EB19C9" w:rsidRPr="004639DE" w:rsidRDefault="00EB19C9" w:rsidP="00EB19C9">
            <w:pPr>
              <w:spacing w:before="120" w:after="120"/>
              <w:jc w:val="center"/>
              <w:rPr>
                <w:rFonts w:asciiTheme="minorHAnsi" w:hAnsiTheme="minorHAnsi"/>
              </w:rPr>
            </w:pPr>
            <w:r>
              <w:rPr>
                <w:rFonts w:asciiTheme="minorHAnsi" w:hAnsiTheme="minorHAnsi"/>
              </w:rPr>
              <w:t xml:space="preserve">AS 2118.1 </w:t>
            </w:r>
            <w:r w:rsidRPr="004639DE">
              <w:rPr>
                <w:rFonts w:asciiTheme="minorHAnsi" w:hAnsiTheme="minorHAnsi"/>
              </w:rPr>
              <w:t>Sprinkler System Design and Installation</w:t>
            </w:r>
          </w:p>
        </w:tc>
        <w:tc>
          <w:tcPr>
            <w:tcW w:w="167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1.1 x 10</w:t>
            </w:r>
            <w:r w:rsidRPr="004639DE">
              <w:rPr>
                <w:rFonts w:asciiTheme="minorHAnsi" w:hAnsiTheme="minorHAnsi"/>
                <w:vertAlign w:val="superscript"/>
              </w:rPr>
              <w:t>-6</w:t>
            </w:r>
          </w:p>
        </w:tc>
        <w:tc>
          <w:tcPr>
            <w:tcW w:w="1984"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1.1</w:t>
            </w:r>
          </w:p>
        </w:tc>
        <w:tc>
          <w:tcPr>
            <w:tcW w:w="2410" w:type="dxa"/>
          </w:tcPr>
          <w:p w:rsidR="00EB19C9" w:rsidRPr="004639DE" w:rsidRDefault="00EB19C9" w:rsidP="00EB19C9">
            <w:pPr>
              <w:spacing w:before="120" w:after="120"/>
              <w:jc w:val="center"/>
              <w:rPr>
                <w:rFonts w:asciiTheme="minorHAnsi" w:hAnsiTheme="minorHAnsi"/>
              </w:rPr>
            </w:pPr>
            <w:r w:rsidRPr="004639DE">
              <w:rPr>
                <w:rFonts w:asciiTheme="minorHAnsi" w:hAnsiTheme="minorHAnsi"/>
              </w:rPr>
              <w:t>72%</w:t>
            </w:r>
          </w:p>
        </w:tc>
      </w:tr>
    </w:tbl>
    <w:p w:rsidR="00EB19C9" w:rsidRPr="00C94057" w:rsidRDefault="00EB19C9" w:rsidP="00EB19C9">
      <w:pPr>
        <w:spacing w:before="240" w:after="240" w:line="259" w:lineRule="auto"/>
        <w:rPr>
          <w:rFonts w:asciiTheme="minorHAnsi" w:hAnsiTheme="minorHAnsi"/>
        </w:rPr>
      </w:pPr>
      <w:r w:rsidRPr="00C94057">
        <w:rPr>
          <w:rFonts w:asciiTheme="minorHAnsi" w:hAnsiTheme="minorHAnsi"/>
        </w:rPr>
        <w:t xml:space="preserve">As demonstrated by </w:t>
      </w:r>
      <w:r>
        <w:rPr>
          <w:rFonts w:asciiTheme="minorHAnsi" w:hAnsiTheme="minorHAnsi"/>
        </w:rPr>
        <w:t>the fire engineering analysis</w:t>
      </w:r>
      <w:r w:rsidRPr="00C94057">
        <w:rPr>
          <w:rFonts w:asciiTheme="minorHAnsi" w:hAnsiTheme="minorHAnsi"/>
        </w:rPr>
        <w:t xml:space="preserve">, the effectiveness of </w:t>
      </w:r>
      <w:r w:rsidR="00B6645B">
        <w:rPr>
          <w:rFonts w:asciiTheme="minorHAnsi" w:hAnsiTheme="minorHAnsi"/>
        </w:rPr>
        <w:t xml:space="preserve">fire </w:t>
      </w:r>
      <w:r w:rsidRPr="00C94057">
        <w:rPr>
          <w:rFonts w:asciiTheme="minorHAnsi" w:hAnsiTheme="minorHAnsi"/>
        </w:rPr>
        <w:t xml:space="preserve">sprinklers </w:t>
      </w:r>
      <w:r>
        <w:rPr>
          <w:rFonts w:asciiTheme="minorHAnsi" w:hAnsiTheme="minorHAnsi"/>
        </w:rPr>
        <w:t xml:space="preserve">in </w:t>
      </w:r>
      <w:r w:rsidRPr="00C94057">
        <w:rPr>
          <w:rFonts w:asciiTheme="minorHAnsi" w:hAnsiTheme="minorHAnsi"/>
        </w:rPr>
        <w:t xml:space="preserve">reducing fatalities </w:t>
      </w:r>
      <w:r>
        <w:rPr>
          <w:rFonts w:asciiTheme="minorHAnsi" w:hAnsiTheme="minorHAnsi"/>
        </w:rPr>
        <w:t xml:space="preserve">within </w:t>
      </w:r>
      <w:r w:rsidR="00FE521C">
        <w:rPr>
          <w:rFonts w:asciiTheme="minorHAnsi" w:hAnsiTheme="minorHAnsi"/>
        </w:rPr>
        <w:t>SOUs</w:t>
      </w:r>
      <w:r>
        <w:rPr>
          <w:rFonts w:asciiTheme="minorHAnsi" w:hAnsiTheme="minorHAnsi"/>
        </w:rPr>
        <w:t xml:space="preserve"> </w:t>
      </w:r>
      <w:r w:rsidRPr="00C94057">
        <w:rPr>
          <w:rFonts w:asciiTheme="minorHAnsi" w:hAnsiTheme="minorHAnsi"/>
        </w:rPr>
        <w:t xml:space="preserve">is estimated to range from 67% and 72% depending on the adopted system. </w:t>
      </w:r>
      <w:r>
        <w:rPr>
          <w:rFonts w:asciiTheme="minorHAnsi" w:hAnsiTheme="minorHAnsi"/>
        </w:rPr>
        <w:t xml:space="preserve">In this regard, all options demonstrate a high degree of effectiveness in reducing the current rate of fatality when compared with the current DtS Provisions. </w:t>
      </w:r>
    </w:p>
    <w:p w:rsidR="00EB19C9" w:rsidRPr="002E4F1E" w:rsidRDefault="00EB19C9" w:rsidP="00EB19C9">
      <w:pPr>
        <w:pStyle w:val="Heading3"/>
      </w:pPr>
      <w:r w:rsidRPr="002E4F1E">
        <w:t xml:space="preserve">Estimated Benefits </w:t>
      </w:r>
    </w:p>
    <w:p w:rsidR="00EB19C9" w:rsidRDefault="00EB19C9" w:rsidP="00EB19C9">
      <w:pPr>
        <w:spacing w:after="160" w:line="259" w:lineRule="auto"/>
        <w:rPr>
          <w:rFonts w:asciiTheme="minorHAnsi" w:hAnsiTheme="minorHAnsi"/>
        </w:rPr>
      </w:pPr>
      <w:r w:rsidRPr="008A6DCC">
        <w:rPr>
          <w:rFonts w:asciiTheme="minorHAnsi" w:hAnsiTheme="minorHAnsi"/>
        </w:rPr>
        <w:t xml:space="preserve">The </w:t>
      </w:r>
      <w:r>
        <w:rPr>
          <w:rFonts w:asciiTheme="minorHAnsi" w:hAnsiTheme="minorHAnsi"/>
        </w:rPr>
        <w:t xml:space="preserve">National Coronial Information System (NCIS) </w:t>
      </w:r>
      <w:r w:rsidRPr="008A6DCC">
        <w:rPr>
          <w:rFonts w:asciiTheme="minorHAnsi" w:hAnsiTheme="minorHAnsi"/>
        </w:rPr>
        <w:t>identify an average of 2.9 deaths per year between 2000 and 2015 totalling 46 fatalities</w:t>
      </w:r>
      <w:r>
        <w:rPr>
          <w:rFonts w:asciiTheme="minorHAnsi" w:hAnsiTheme="minorHAnsi"/>
        </w:rPr>
        <w:t>,</w:t>
      </w:r>
      <w:r w:rsidRPr="008A6DCC">
        <w:rPr>
          <w:rFonts w:asciiTheme="minorHAnsi" w:hAnsiTheme="minorHAnsi"/>
        </w:rPr>
        <w:t xml:space="preserve"> where the deceased died as a result of a fire in a multi-stor</w:t>
      </w:r>
      <w:r>
        <w:rPr>
          <w:rFonts w:asciiTheme="minorHAnsi" w:hAnsiTheme="minorHAnsi"/>
        </w:rPr>
        <w:t>e</w:t>
      </w:r>
      <w:r w:rsidRPr="008A6DCC">
        <w:rPr>
          <w:rFonts w:asciiTheme="minorHAnsi" w:hAnsiTheme="minorHAnsi"/>
        </w:rPr>
        <w:t>y residential building. The number of fatalities by build</w:t>
      </w:r>
      <w:r>
        <w:rPr>
          <w:rFonts w:asciiTheme="minorHAnsi" w:hAnsiTheme="minorHAnsi"/>
        </w:rPr>
        <w:t xml:space="preserve">ing height is shown in Table </w:t>
      </w:r>
      <w:r w:rsidR="00515D2C">
        <w:rPr>
          <w:rFonts w:asciiTheme="minorHAnsi" w:hAnsiTheme="minorHAnsi"/>
        </w:rPr>
        <w:t>15</w:t>
      </w:r>
      <w:r w:rsidRPr="008A6DCC">
        <w:rPr>
          <w:rFonts w:asciiTheme="minorHAnsi" w:hAnsiTheme="minorHAnsi"/>
        </w:rPr>
        <w:t xml:space="preserve">. </w:t>
      </w:r>
    </w:p>
    <w:p w:rsidR="00EB19C9" w:rsidRPr="008B31B1" w:rsidRDefault="00EB19C9" w:rsidP="00EB19C9">
      <w:pPr>
        <w:spacing w:after="160" w:line="259" w:lineRule="auto"/>
        <w:jc w:val="center"/>
        <w:rPr>
          <w:rFonts w:asciiTheme="minorHAnsi" w:hAnsiTheme="minorHAnsi"/>
          <w:iCs/>
          <w:color w:val="002060"/>
          <w:sz w:val="24"/>
          <w:szCs w:val="24"/>
        </w:rPr>
      </w:pPr>
      <w:r w:rsidRPr="008B31B1">
        <w:rPr>
          <w:rFonts w:asciiTheme="minorHAnsi" w:hAnsiTheme="minorHAnsi"/>
          <w:iCs/>
          <w:color w:val="002060"/>
          <w:sz w:val="24"/>
          <w:szCs w:val="24"/>
        </w:rPr>
        <w:t xml:space="preserve">Table </w:t>
      </w:r>
      <w:r w:rsidR="008A7DC4">
        <w:rPr>
          <w:rFonts w:asciiTheme="minorHAnsi" w:hAnsiTheme="minorHAnsi"/>
          <w:iCs/>
          <w:color w:val="002060"/>
          <w:sz w:val="24"/>
          <w:szCs w:val="24"/>
        </w:rPr>
        <w:t>15</w:t>
      </w:r>
      <w:r w:rsidRPr="008B31B1">
        <w:rPr>
          <w:rFonts w:asciiTheme="minorHAnsi" w:hAnsiTheme="minorHAnsi"/>
          <w:iCs/>
          <w:color w:val="002060"/>
          <w:sz w:val="24"/>
          <w:szCs w:val="24"/>
        </w:rPr>
        <w:t xml:space="preserve">: Fire-related fatalities </w:t>
      </w:r>
      <w:r>
        <w:rPr>
          <w:rFonts w:asciiTheme="minorHAnsi" w:hAnsiTheme="minorHAnsi"/>
          <w:iCs/>
          <w:color w:val="002060"/>
          <w:sz w:val="24"/>
          <w:szCs w:val="24"/>
        </w:rPr>
        <w:t>(2000-2015)</w:t>
      </w:r>
      <w:r w:rsidRPr="008B31B1">
        <w:rPr>
          <w:rFonts w:asciiTheme="minorHAnsi" w:hAnsiTheme="minorHAnsi"/>
          <w:iCs/>
          <w:color w:val="002060"/>
          <w:sz w:val="24"/>
          <w:szCs w:val="24"/>
        </w:rPr>
        <w:t xml:space="preserve"> in multi-storey buildings by number of storeys</w:t>
      </w:r>
    </w:p>
    <w:tbl>
      <w:tblPr>
        <w:tblStyle w:val="TableGrid"/>
        <w:tblW w:w="0" w:type="auto"/>
        <w:jc w:val="center"/>
        <w:tblLook w:val="0480" w:firstRow="0" w:lastRow="0" w:firstColumn="1" w:lastColumn="0" w:noHBand="0" w:noVBand="1"/>
        <w:tblCaption w:val="Table presenting Fire-related fatalities (2000-2015) in multi-storey buildings by number of storeys"/>
      </w:tblPr>
      <w:tblGrid>
        <w:gridCol w:w="3114"/>
        <w:gridCol w:w="2410"/>
      </w:tblGrid>
      <w:tr w:rsidR="00EB19C9" w:rsidTr="00EB19C9">
        <w:trPr>
          <w:tblHeader/>
          <w:jc w:val="center"/>
        </w:trPr>
        <w:tc>
          <w:tcPr>
            <w:tcW w:w="3114" w:type="dxa"/>
            <w:shd w:val="clear" w:color="auto" w:fill="002060"/>
          </w:tcPr>
          <w:p w:rsidR="00EB19C9" w:rsidRPr="008A6DCC" w:rsidRDefault="00EB19C9" w:rsidP="00EB19C9">
            <w:pPr>
              <w:spacing w:before="120" w:after="120" w:line="259" w:lineRule="auto"/>
              <w:jc w:val="center"/>
              <w:rPr>
                <w:rFonts w:asciiTheme="minorHAnsi" w:eastAsiaTheme="majorEastAsia" w:hAnsiTheme="minorHAnsi" w:cstheme="majorBidi"/>
                <w:bCs/>
                <w:iCs/>
                <w:color w:val="FFFFFF" w:themeColor="background1"/>
              </w:rPr>
            </w:pPr>
            <w:r w:rsidRPr="008A6DCC">
              <w:rPr>
                <w:rFonts w:asciiTheme="minorHAnsi" w:eastAsiaTheme="majorEastAsia" w:hAnsiTheme="minorHAnsi" w:cstheme="majorBidi"/>
                <w:bCs/>
                <w:iCs/>
                <w:color w:val="FFFFFF" w:themeColor="background1"/>
              </w:rPr>
              <w:t>Number of Storeys</w:t>
            </w:r>
          </w:p>
        </w:tc>
        <w:tc>
          <w:tcPr>
            <w:tcW w:w="2410" w:type="dxa"/>
            <w:shd w:val="clear" w:color="auto" w:fill="002060"/>
          </w:tcPr>
          <w:p w:rsidR="00EB19C9" w:rsidRPr="008A6DCC" w:rsidRDefault="00EB19C9" w:rsidP="00EB19C9">
            <w:pPr>
              <w:spacing w:before="120" w:after="120" w:line="259" w:lineRule="auto"/>
              <w:jc w:val="center"/>
              <w:rPr>
                <w:rFonts w:asciiTheme="minorHAnsi" w:eastAsiaTheme="majorEastAsia" w:hAnsiTheme="minorHAnsi" w:cstheme="majorBidi"/>
                <w:bCs/>
                <w:iCs/>
                <w:color w:val="FFFFFF" w:themeColor="background1"/>
              </w:rPr>
            </w:pPr>
            <w:r>
              <w:rPr>
                <w:rFonts w:asciiTheme="minorHAnsi" w:eastAsiaTheme="majorEastAsia" w:hAnsiTheme="minorHAnsi" w:cstheme="majorBidi"/>
                <w:bCs/>
                <w:iCs/>
                <w:color w:val="FFFFFF" w:themeColor="background1"/>
              </w:rPr>
              <w:t>Fatalities</w:t>
            </w:r>
          </w:p>
        </w:tc>
      </w:tr>
      <w:tr w:rsidR="00EB19C9" w:rsidTr="00EB19C9">
        <w:trPr>
          <w:jc w:val="center"/>
        </w:trPr>
        <w:tc>
          <w:tcPr>
            <w:tcW w:w="3114"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2</w:t>
            </w:r>
          </w:p>
        </w:tc>
        <w:tc>
          <w:tcPr>
            <w:tcW w:w="2410"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23</w:t>
            </w:r>
          </w:p>
        </w:tc>
      </w:tr>
      <w:tr w:rsidR="00EB19C9" w:rsidTr="00EB19C9">
        <w:trPr>
          <w:jc w:val="center"/>
        </w:trPr>
        <w:tc>
          <w:tcPr>
            <w:tcW w:w="3114"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3</w:t>
            </w:r>
          </w:p>
        </w:tc>
        <w:tc>
          <w:tcPr>
            <w:tcW w:w="2410"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3</w:t>
            </w:r>
          </w:p>
        </w:tc>
      </w:tr>
      <w:tr w:rsidR="00EB19C9" w:rsidTr="00EB19C9">
        <w:trPr>
          <w:jc w:val="center"/>
        </w:trPr>
        <w:tc>
          <w:tcPr>
            <w:tcW w:w="3114"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7</w:t>
            </w:r>
          </w:p>
        </w:tc>
        <w:tc>
          <w:tcPr>
            <w:tcW w:w="2410"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2</w:t>
            </w:r>
          </w:p>
        </w:tc>
      </w:tr>
      <w:tr w:rsidR="00EB19C9" w:rsidTr="00EB19C9">
        <w:trPr>
          <w:jc w:val="center"/>
        </w:trPr>
        <w:tc>
          <w:tcPr>
            <w:tcW w:w="3114"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Unknown*</w:t>
            </w:r>
          </w:p>
        </w:tc>
        <w:tc>
          <w:tcPr>
            <w:tcW w:w="2410" w:type="dxa"/>
            <w:shd w:val="clear" w:color="auto" w:fill="auto"/>
          </w:tcPr>
          <w:p w:rsidR="00EB19C9" w:rsidRPr="008A6DCC"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8A6DCC">
              <w:rPr>
                <w:rFonts w:asciiTheme="minorHAnsi" w:eastAsiaTheme="majorEastAsia" w:hAnsiTheme="minorHAnsi" w:cstheme="majorBidi"/>
                <w:bCs/>
                <w:iCs/>
                <w:color w:val="000000" w:themeColor="text1"/>
              </w:rPr>
              <w:t>18</w:t>
            </w:r>
          </w:p>
        </w:tc>
      </w:tr>
      <w:tr w:rsidR="00EB19C9" w:rsidTr="00EB19C9">
        <w:trPr>
          <w:jc w:val="center"/>
        </w:trPr>
        <w:tc>
          <w:tcPr>
            <w:tcW w:w="3114" w:type="dxa"/>
            <w:shd w:val="clear" w:color="auto" w:fill="auto"/>
          </w:tcPr>
          <w:p w:rsidR="00EB19C9" w:rsidRPr="00BE1D68"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BE1D68">
              <w:rPr>
                <w:rFonts w:asciiTheme="minorHAnsi" w:eastAsiaTheme="majorEastAsia" w:hAnsiTheme="minorHAnsi" w:cstheme="majorBidi"/>
                <w:bCs/>
                <w:iCs/>
                <w:color w:val="000000" w:themeColor="text1"/>
              </w:rPr>
              <w:t>Total</w:t>
            </w:r>
          </w:p>
        </w:tc>
        <w:tc>
          <w:tcPr>
            <w:tcW w:w="2410" w:type="dxa"/>
            <w:shd w:val="clear" w:color="auto" w:fill="auto"/>
          </w:tcPr>
          <w:p w:rsidR="00EB19C9" w:rsidRPr="00BE1D68" w:rsidRDefault="00EB19C9" w:rsidP="00EB19C9">
            <w:pPr>
              <w:spacing w:before="120" w:after="120" w:line="259" w:lineRule="auto"/>
              <w:jc w:val="center"/>
              <w:rPr>
                <w:rFonts w:asciiTheme="minorHAnsi" w:eastAsiaTheme="majorEastAsia" w:hAnsiTheme="minorHAnsi" w:cstheme="majorBidi"/>
                <w:bCs/>
                <w:iCs/>
                <w:color w:val="000000" w:themeColor="text1"/>
              </w:rPr>
            </w:pPr>
            <w:r w:rsidRPr="00BE1D68">
              <w:rPr>
                <w:rFonts w:asciiTheme="minorHAnsi" w:eastAsiaTheme="majorEastAsia" w:hAnsiTheme="minorHAnsi" w:cstheme="majorBidi"/>
                <w:bCs/>
                <w:iCs/>
                <w:color w:val="000000" w:themeColor="text1"/>
              </w:rPr>
              <w:t>46</w:t>
            </w:r>
          </w:p>
        </w:tc>
      </w:tr>
    </w:tbl>
    <w:p w:rsidR="00EB19C9" w:rsidRPr="0023161C" w:rsidRDefault="00EB19C9" w:rsidP="00EB19C9">
      <w:pPr>
        <w:spacing w:before="120" w:after="160" w:line="259" w:lineRule="auto"/>
        <w:rPr>
          <w:rFonts w:asciiTheme="minorHAnsi" w:hAnsiTheme="minorHAnsi"/>
          <w:sz w:val="18"/>
          <w:szCs w:val="18"/>
        </w:rPr>
      </w:pPr>
      <w:r w:rsidRPr="0023161C">
        <w:rPr>
          <w:rFonts w:asciiTheme="minorHAnsi" w:hAnsiTheme="minorHAnsi"/>
          <w:sz w:val="18"/>
          <w:szCs w:val="18"/>
        </w:rPr>
        <w:t xml:space="preserve">Note: The incidence of “Unknown” indicates that a clear reference to the building having multiple storeys was made in the coronial reports, however, the exact number of storeys was not able to be identified. </w:t>
      </w:r>
    </w:p>
    <w:p w:rsidR="00EB19C9" w:rsidRDefault="00EB19C9" w:rsidP="00EB19C9">
      <w:pPr>
        <w:spacing w:after="160" w:line="259" w:lineRule="auto"/>
        <w:rPr>
          <w:rFonts w:asciiTheme="minorHAnsi" w:hAnsiTheme="minorHAnsi"/>
          <w:iCs/>
          <w:color w:val="002060"/>
          <w:sz w:val="24"/>
          <w:szCs w:val="24"/>
        </w:rPr>
      </w:pPr>
      <w:r>
        <w:rPr>
          <w:rFonts w:asciiTheme="minorHAnsi" w:hAnsiTheme="minorHAnsi"/>
        </w:rPr>
        <w:lastRenderedPageBreak/>
        <w:t>The number of fatalities occurring in Class 2 and 3 buildings between four and eight storeys in height is estimated to be 3.3 fatalities over 16 years, or an annual average fatality rate of 0.21.</w:t>
      </w:r>
      <w:r>
        <w:rPr>
          <w:rStyle w:val="FootnoteReference"/>
          <w:rFonts w:asciiTheme="minorHAnsi" w:hAnsiTheme="minorHAnsi"/>
        </w:rPr>
        <w:footnoteReference w:id="24"/>
      </w:r>
      <w:r>
        <w:rPr>
          <w:rFonts w:asciiTheme="minorHAnsi" w:hAnsiTheme="minorHAnsi"/>
        </w:rPr>
        <w:t xml:space="preserve">  The estimated benefits associated with reducing fire fatalities as a result of requiring </w:t>
      </w:r>
      <w:r w:rsidR="00B6645B">
        <w:rPr>
          <w:rFonts w:asciiTheme="minorHAnsi" w:hAnsiTheme="minorHAnsi"/>
        </w:rPr>
        <w:t xml:space="preserve">fire </w:t>
      </w:r>
      <w:r>
        <w:rPr>
          <w:rFonts w:asciiTheme="minorHAnsi" w:hAnsiTheme="minorHAnsi"/>
        </w:rPr>
        <w:t xml:space="preserve">sprinklers is shown in Table </w:t>
      </w:r>
      <w:r w:rsidR="00515D2C">
        <w:rPr>
          <w:rFonts w:asciiTheme="minorHAnsi" w:hAnsiTheme="minorHAnsi"/>
        </w:rPr>
        <w:t>16</w:t>
      </w:r>
      <w:r>
        <w:rPr>
          <w:rFonts w:asciiTheme="minorHAnsi" w:hAnsiTheme="minorHAnsi"/>
        </w:rPr>
        <w:t>.</w:t>
      </w:r>
      <w:r>
        <w:rPr>
          <w:rFonts w:asciiTheme="minorHAnsi" w:hAnsiTheme="minorHAnsi"/>
          <w:iCs/>
          <w:color w:val="002060"/>
          <w:sz w:val="24"/>
          <w:szCs w:val="24"/>
        </w:rPr>
        <w:t xml:space="preserve"> </w:t>
      </w:r>
    </w:p>
    <w:p w:rsidR="00EB19C9" w:rsidRPr="008B31B1" w:rsidRDefault="00EB19C9" w:rsidP="00EB19C9">
      <w:pPr>
        <w:spacing w:after="160" w:line="259" w:lineRule="auto"/>
        <w:jc w:val="center"/>
        <w:rPr>
          <w:rFonts w:asciiTheme="minorHAnsi" w:hAnsiTheme="minorHAnsi"/>
          <w:iCs/>
          <w:color w:val="002060"/>
          <w:sz w:val="24"/>
          <w:szCs w:val="24"/>
        </w:rPr>
      </w:pPr>
      <w:r w:rsidRPr="008B31B1">
        <w:rPr>
          <w:rFonts w:asciiTheme="minorHAnsi" w:hAnsiTheme="minorHAnsi"/>
          <w:iCs/>
          <w:color w:val="002060"/>
          <w:sz w:val="24"/>
          <w:szCs w:val="24"/>
        </w:rPr>
        <w:t xml:space="preserve">Table </w:t>
      </w:r>
      <w:r w:rsidR="008A7DC4">
        <w:rPr>
          <w:rFonts w:asciiTheme="minorHAnsi" w:hAnsiTheme="minorHAnsi"/>
          <w:iCs/>
          <w:color w:val="002060"/>
          <w:sz w:val="24"/>
          <w:szCs w:val="24"/>
        </w:rPr>
        <w:t>16</w:t>
      </w:r>
      <w:r>
        <w:rPr>
          <w:rFonts w:asciiTheme="minorHAnsi" w:hAnsiTheme="minorHAnsi"/>
          <w:iCs/>
          <w:color w:val="002060"/>
          <w:sz w:val="24"/>
          <w:szCs w:val="24"/>
        </w:rPr>
        <w:t>: Benefits from avoidable fatalities</w:t>
      </w:r>
    </w:p>
    <w:tbl>
      <w:tblPr>
        <w:tblStyle w:val="TableGrid"/>
        <w:tblW w:w="0" w:type="auto"/>
        <w:jc w:val="center"/>
        <w:tblLook w:val="0480" w:firstRow="0" w:lastRow="0" w:firstColumn="1" w:lastColumn="0" w:noHBand="0" w:noVBand="1"/>
        <w:tblCaption w:val="Table presenting benefits from avoidable fatalities "/>
      </w:tblPr>
      <w:tblGrid>
        <w:gridCol w:w="5665"/>
        <w:gridCol w:w="2268"/>
      </w:tblGrid>
      <w:tr w:rsidR="00EB19C9" w:rsidTr="00EB19C9">
        <w:trPr>
          <w:tblHeader/>
          <w:jc w:val="center"/>
        </w:trPr>
        <w:tc>
          <w:tcPr>
            <w:tcW w:w="5665" w:type="dxa"/>
            <w:shd w:val="clear" w:color="auto" w:fill="002060"/>
          </w:tcPr>
          <w:p w:rsidR="00EB19C9" w:rsidRPr="008B31B1" w:rsidRDefault="00EB19C9" w:rsidP="00EB19C9">
            <w:pPr>
              <w:spacing w:before="120" w:after="120" w:line="259" w:lineRule="auto"/>
              <w:jc w:val="center"/>
              <w:rPr>
                <w:rFonts w:asciiTheme="minorHAnsi" w:hAnsiTheme="minorHAnsi"/>
                <w:color w:val="FFFFFF" w:themeColor="background1"/>
              </w:rPr>
            </w:pPr>
            <w:r w:rsidRPr="008B31B1">
              <w:rPr>
                <w:rFonts w:asciiTheme="minorHAnsi" w:hAnsiTheme="minorHAnsi"/>
                <w:color w:val="FFFFFF" w:themeColor="background1"/>
              </w:rPr>
              <w:t>Factor</w:t>
            </w:r>
          </w:p>
        </w:tc>
        <w:tc>
          <w:tcPr>
            <w:tcW w:w="2268" w:type="dxa"/>
            <w:shd w:val="clear" w:color="auto" w:fill="002060"/>
          </w:tcPr>
          <w:p w:rsidR="00EB19C9" w:rsidRPr="008B31B1" w:rsidRDefault="00EB19C9" w:rsidP="00EB19C9">
            <w:pPr>
              <w:spacing w:before="120" w:after="120" w:line="259" w:lineRule="auto"/>
              <w:jc w:val="center"/>
              <w:rPr>
                <w:rFonts w:asciiTheme="minorHAnsi" w:hAnsiTheme="minorHAnsi"/>
                <w:color w:val="FFFFFF" w:themeColor="background1"/>
              </w:rPr>
            </w:pPr>
            <w:r w:rsidRPr="008B31B1">
              <w:rPr>
                <w:rFonts w:asciiTheme="minorHAnsi" w:hAnsiTheme="minorHAnsi"/>
                <w:color w:val="FFFFFF" w:themeColor="background1"/>
              </w:rPr>
              <w:t xml:space="preserve">Total </w:t>
            </w:r>
          </w:p>
        </w:tc>
      </w:tr>
      <w:tr w:rsidR="00EB19C9" w:rsidTr="00EB19C9">
        <w:trPr>
          <w:jc w:val="center"/>
        </w:trPr>
        <w:tc>
          <w:tcPr>
            <w:tcW w:w="5665" w:type="dxa"/>
          </w:tcPr>
          <w:p w:rsidR="00EB19C9" w:rsidRDefault="00EB19C9" w:rsidP="00EB19C9">
            <w:pPr>
              <w:spacing w:before="120" w:after="120" w:line="259" w:lineRule="auto"/>
              <w:jc w:val="center"/>
              <w:rPr>
                <w:rFonts w:asciiTheme="minorHAnsi" w:hAnsiTheme="minorHAnsi"/>
              </w:rPr>
            </w:pPr>
            <w:r>
              <w:rPr>
                <w:rFonts w:asciiTheme="minorHAnsi" w:hAnsiTheme="minorHAnsi"/>
              </w:rPr>
              <w:t>Total fatalities 2000 - 2015</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46</w:t>
            </w:r>
          </w:p>
        </w:tc>
      </w:tr>
      <w:tr w:rsidR="00EB19C9" w:rsidTr="00EB19C9">
        <w:trPr>
          <w:jc w:val="center"/>
        </w:trPr>
        <w:tc>
          <w:tcPr>
            <w:tcW w:w="5665" w:type="dxa"/>
          </w:tcPr>
          <w:p w:rsidR="00EB19C9" w:rsidRDefault="00EB19C9" w:rsidP="00EB19C9">
            <w:pPr>
              <w:spacing w:before="120" w:after="120" w:line="259" w:lineRule="auto"/>
              <w:rPr>
                <w:rFonts w:asciiTheme="minorHAnsi" w:hAnsiTheme="minorHAnsi"/>
              </w:rPr>
            </w:pPr>
            <w:r>
              <w:rPr>
                <w:rFonts w:asciiTheme="minorHAnsi" w:hAnsiTheme="minorHAnsi"/>
              </w:rPr>
              <w:t>Total fatalities occurring in 4 – 8 storey height range</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3.3</w:t>
            </w:r>
          </w:p>
        </w:tc>
      </w:tr>
      <w:tr w:rsidR="00EB19C9" w:rsidTr="00EB19C9">
        <w:trPr>
          <w:jc w:val="center"/>
        </w:trPr>
        <w:tc>
          <w:tcPr>
            <w:tcW w:w="5665" w:type="dxa"/>
          </w:tcPr>
          <w:p w:rsidR="00EB19C9" w:rsidRDefault="00EB19C9" w:rsidP="00EB19C9">
            <w:pPr>
              <w:spacing w:before="120" w:after="120" w:line="259" w:lineRule="auto"/>
              <w:jc w:val="center"/>
              <w:rPr>
                <w:rFonts w:asciiTheme="minorHAnsi" w:hAnsiTheme="minorHAnsi"/>
              </w:rPr>
            </w:pPr>
            <w:r>
              <w:rPr>
                <w:rFonts w:asciiTheme="minorHAnsi" w:hAnsiTheme="minorHAnsi"/>
              </w:rPr>
              <w:t>Annual fatality rate occurring in 4 – 8 storey height range</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0.21</w:t>
            </w:r>
          </w:p>
        </w:tc>
      </w:tr>
      <w:tr w:rsidR="00EB19C9" w:rsidTr="00EB19C9">
        <w:trPr>
          <w:jc w:val="center"/>
        </w:trPr>
        <w:tc>
          <w:tcPr>
            <w:tcW w:w="5665" w:type="dxa"/>
          </w:tcPr>
          <w:p w:rsidR="00EB19C9" w:rsidRDefault="00EB19C9" w:rsidP="00E10DFB">
            <w:pPr>
              <w:spacing w:before="120" w:after="120" w:line="259" w:lineRule="auto"/>
              <w:jc w:val="center"/>
              <w:rPr>
                <w:rFonts w:asciiTheme="minorHAnsi" w:hAnsiTheme="minorHAnsi"/>
              </w:rPr>
            </w:pPr>
            <w:r>
              <w:rPr>
                <w:rFonts w:asciiTheme="minorHAnsi" w:hAnsiTheme="minorHAnsi"/>
              </w:rPr>
              <w:t xml:space="preserve">Annual fatality rate occurring in 4 – 8 storey height range </w:t>
            </w:r>
            <w:r w:rsidR="00E10DFB">
              <w:rPr>
                <w:rFonts w:asciiTheme="minorHAnsi" w:hAnsiTheme="minorHAnsi"/>
              </w:rPr>
              <w:t xml:space="preserve">under </w:t>
            </w:r>
            <w:r>
              <w:rPr>
                <w:rFonts w:asciiTheme="minorHAnsi" w:hAnsiTheme="minorHAnsi"/>
              </w:rPr>
              <w:t>DtS</w:t>
            </w:r>
            <w:r w:rsidR="00EB4C2E">
              <w:rPr>
                <w:rFonts w:asciiTheme="minorHAnsi" w:hAnsiTheme="minorHAnsi"/>
              </w:rPr>
              <w:t xml:space="preserve"> Provisions</w:t>
            </w:r>
            <w:r>
              <w:rPr>
                <w:rFonts w:asciiTheme="minorHAnsi" w:hAnsiTheme="minorHAnsi"/>
              </w:rPr>
              <w:t xml:space="preserve"> (47%)</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0.10</w:t>
            </w:r>
          </w:p>
        </w:tc>
      </w:tr>
      <w:tr w:rsidR="00EB19C9" w:rsidTr="00EB19C9">
        <w:trPr>
          <w:jc w:val="center"/>
        </w:trPr>
        <w:tc>
          <w:tcPr>
            <w:tcW w:w="5665" w:type="dxa"/>
          </w:tcPr>
          <w:p w:rsidR="00EB19C9" w:rsidRDefault="00EB19C9" w:rsidP="00EB19C9">
            <w:pPr>
              <w:spacing w:before="120" w:after="120" w:line="259" w:lineRule="auto"/>
              <w:jc w:val="center"/>
              <w:rPr>
                <w:rFonts w:asciiTheme="minorHAnsi" w:hAnsiTheme="minorHAnsi"/>
              </w:rPr>
            </w:pPr>
            <w:r>
              <w:rPr>
                <w:rFonts w:asciiTheme="minorHAnsi" w:hAnsiTheme="minorHAnsi"/>
              </w:rPr>
              <w:t xml:space="preserve">Effectiveness of </w:t>
            </w:r>
            <w:r w:rsidR="00B6645B">
              <w:rPr>
                <w:rFonts w:asciiTheme="minorHAnsi" w:hAnsiTheme="minorHAnsi"/>
              </w:rPr>
              <w:t xml:space="preserve">fire </w:t>
            </w:r>
            <w:r>
              <w:rPr>
                <w:rFonts w:asciiTheme="minorHAnsi" w:hAnsiTheme="minorHAnsi"/>
              </w:rPr>
              <w:t>sprinklers on the rate of fatality (72%)</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0.07</w:t>
            </w:r>
          </w:p>
        </w:tc>
      </w:tr>
      <w:tr w:rsidR="00EB19C9" w:rsidTr="00EB19C9">
        <w:trPr>
          <w:jc w:val="center"/>
        </w:trPr>
        <w:tc>
          <w:tcPr>
            <w:tcW w:w="5665" w:type="dxa"/>
          </w:tcPr>
          <w:p w:rsidR="00EB19C9" w:rsidRDefault="00E10DFB" w:rsidP="00E10DFB">
            <w:pPr>
              <w:spacing w:before="120" w:after="120" w:line="259" w:lineRule="auto"/>
              <w:jc w:val="center"/>
              <w:rPr>
                <w:rFonts w:asciiTheme="minorHAnsi" w:hAnsiTheme="minorHAnsi"/>
              </w:rPr>
            </w:pPr>
            <w:r>
              <w:rPr>
                <w:rFonts w:asciiTheme="minorHAnsi" w:hAnsiTheme="minorHAnsi"/>
              </w:rPr>
              <w:t>Annual r</w:t>
            </w:r>
            <w:r w:rsidR="00EB19C9">
              <w:rPr>
                <w:rFonts w:asciiTheme="minorHAnsi" w:hAnsiTheme="minorHAnsi"/>
              </w:rPr>
              <w:t>ate of avoidable fatalities through changes to the NCC (2%)</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0.001</w:t>
            </w:r>
          </w:p>
        </w:tc>
      </w:tr>
      <w:tr w:rsidR="00EB19C9" w:rsidTr="00EB19C9">
        <w:trPr>
          <w:jc w:val="center"/>
        </w:trPr>
        <w:tc>
          <w:tcPr>
            <w:tcW w:w="5665" w:type="dxa"/>
          </w:tcPr>
          <w:p w:rsidR="00EB19C9" w:rsidRDefault="00EB19C9" w:rsidP="00EB19C9">
            <w:pPr>
              <w:spacing w:before="120" w:after="120" w:line="259" w:lineRule="auto"/>
              <w:jc w:val="center"/>
              <w:rPr>
                <w:rFonts w:asciiTheme="minorHAnsi" w:hAnsiTheme="minorHAnsi"/>
              </w:rPr>
            </w:pPr>
            <w:r>
              <w:rPr>
                <w:rFonts w:asciiTheme="minorHAnsi" w:hAnsiTheme="minorHAnsi"/>
              </w:rPr>
              <w:t xml:space="preserve">Value of Statistical </w:t>
            </w:r>
            <w:r w:rsidRPr="009747E2">
              <w:rPr>
                <w:rFonts w:asciiTheme="minorHAnsi" w:hAnsiTheme="minorHAnsi"/>
              </w:rPr>
              <w:t>Life</w:t>
            </w:r>
            <w:r w:rsidRPr="009747E2">
              <w:rPr>
                <w:rStyle w:val="FootnoteReference"/>
                <w:rFonts w:asciiTheme="minorHAnsi" w:hAnsiTheme="minorHAnsi"/>
              </w:rPr>
              <w:footnoteReference w:id="25"/>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$4.2 million</w:t>
            </w:r>
          </w:p>
        </w:tc>
      </w:tr>
      <w:tr w:rsidR="00EB19C9" w:rsidTr="00EB19C9">
        <w:trPr>
          <w:jc w:val="center"/>
        </w:trPr>
        <w:tc>
          <w:tcPr>
            <w:tcW w:w="5665" w:type="dxa"/>
          </w:tcPr>
          <w:p w:rsidR="00EB19C9" w:rsidRDefault="00EB19C9" w:rsidP="00EB19C9">
            <w:pPr>
              <w:spacing w:before="120" w:after="120" w:line="259" w:lineRule="auto"/>
              <w:jc w:val="center"/>
              <w:rPr>
                <w:rFonts w:asciiTheme="minorHAnsi" w:hAnsiTheme="minorHAnsi"/>
              </w:rPr>
            </w:pPr>
            <w:r>
              <w:rPr>
                <w:rFonts w:asciiTheme="minorHAnsi" w:hAnsiTheme="minorHAnsi"/>
              </w:rPr>
              <w:t>Total Annual Benefit</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$5,863</w:t>
            </w:r>
          </w:p>
        </w:tc>
      </w:tr>
      <w:tr w:rsidR="00EB19C9" w:rsidTr="00EB19C9">
        <w:trPr>
          <w:jc w:val="center"/>
        </w:trPr>
        <w:tc>
          <w:tcPr>
            <w:tcW w:w="5665" w:type="dxa"/>
          </w:tcPr>
          <w:p w:rsidR="00EB19C9" w:rsidRDefault="00EB19C9" w:rsidP="00EB19C9">
            <w:pPr>
              <w:spacing w:before="120" w:after="120" w:line="259" w:lineRule="auto"/>
              <w:jc w:val="center"/>
              <w:rPr>
                <w:rFonts w:asciiTheme="minorHAnsi" w:hAnsiTheme="minorHAnsi"/>
              </w:rPr>
            </w:pPr>
            <w:r>
              <w:rPr>
                <w:rFonts w:asciiTheme="minorHAnsi" w:hAnsiTheme="minorHAnsi"/>
              </w:rPr>
              <w:t>Present Value Benefits</w:t>
            </w:r>
          </w:p>
        </w:tc>
        <w:tc>
          <w:tcPr>
            <w:tcW w:w="2268" w:type="dxa"/>
          </w:tcPr>
          <w:p w:rsidR="00EB19C9" w:rsidRDefault="00EB19C9" w:rsidP="00EB19C9">
            <w:pPr>
              <w:spacing w:before="120" w:after="120" w:line="259" w:lineRule="auto"/>
              <w:jc w:val="center"/>
              <w:rPr>
                <w:rFonts w:asciiTheme="minorHAnsi" w:hAnsiTheme="minorHAnsi"/>
              </w:rPr>
            </w:pPr>
            <w:r>
              <w:rPr>
                <w:rFonts w:asciiTheme="minorHAnsi" w:hAnsiTheme="minorHAnsi"/>
              </w:rPr>
              <w:t>$628,515</w:t>
            </w:r>
          </w:p>
        </w:tc>
      </w:tr>
    </w:tbl>
    <w:p w:rsidR="00EB19C9" w:rsidRPr="004E1C3A" w:rsidRDefault="00EB19C9" w:rsidP="00E10DFB">
      <w:pPr>
        <w:spacing w:before="120"/>
        <w:ind w:firstLine="720"/>
        <w:jc w:val="both"/>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00E10DFB">
        <w:rPr>
          <w:rFonts w:asciiTheme="minorHAnsi" w:hAnsiTheme="minorHAnsi"/>
          <w:sz w:val="18"/>
          <w:szCs w:val="18"/>
        </w:rPr>
        <w:t xml:space="preserve"> </w:t>
      </w:r>
      <w:r>
        <w:rPr>
          <w:rFonts w:asciiTheme="minorHAnsi" w:hAnsiTheme="minorHAnsi"/>
          <w:sz w:val="18"/>
          <w:szCs w:val="18"/>
        </w:rPr>
        <w:t>Present Values have been calculated using a 7% discount rate over 40 years.</w:t>
      </w:r>
    </w:p>
    <w:p w:rsidR="00EB19C9" w:rsidRDefault="00EB19C9" w:rsidP="00EB19C9">
      <w:pPr>
        <w:spacing w:after="160" w:line="259" w:lineRule="auto"/>
        <w:rPr>
          <w:rFonts w:asciiTheme="minorHAnsi" w:hAnsiTheme="minorHAnsi"/>
        </w:rPr>
      </w:pPr>
      <w:r>
        <w:rPr>
          <w:rFonts w:asciiTheme="minorHAnsi" w:hAnsiTheme="minorHAnsi"/>
        </w:rPr>
        <w:t xml:space="preserve">The total benefits resulting from a reduction in fatalities is estimated to be $628,515 in Present Value terms using the FPAA 101H and AS 2118.1 systems and $584,868 in Present Value terms using the FPAA 101D system. </w:t>
      </w:r>
    </w:p>
    <w:tbl>
      <w:tblPr>
        <w:tblStyle w:val="TableGrid"/>
        <w:tblW w:w="0" w:type="auto"/>
        <w:tblBorders>
          <w:insideH w:val="none" w:sz="0" w:space="0" w:color="auto"/>
          <w:insideV w:val="none" w:sz="0" w:space="0" w:color="auto"/>
        </w:tblBorders>
        <w:tblLook w:val="0480" w:firstRow="0" w:lastRow="0" w:firstColumn="1" w:lastColumn="0" w:noHBand="0" w:noVBand="1"/>
        <w:tblCaption w:val="Table containing Consultation Questions"/>
      </w:tblPr>
      <w:tblGrid>
        <w:gridCol w:w="9016"/>
      </w:tblGrid>
      <w:tr w:rsidR="00EB19C9" w:rsidTr="00EB19C9">
        <w:trPr>
          <w:trHeight w:val="449"/>
          <w:tblHeader/>
        </w:trPr>
        <w:tc>
          <w:tcPr>
            <w:tcW w:w="9016" w:type="dxa"/>
            <w:shd w:val="clear" w:color="auto" w:fill="D9D9D9" w:themeFill="background1" w:themeFillShade="D9"/>
          </w:tcPr>
          <w:p w:rsidR="00EB19C9" w:rsidRPr="00743EB9" w:rsidRDefault="00EB19C9" w:rsidP="00FA713B">
            <w:pPr>
              <w:rPr>
                <w:rFonts w:asciiTheme="majorHAnsi" w:eastAsia="Times New Roman" w:hAnsiTheme="majorHAnsi" w:cs="Times New Roman"/>
                <w:b/>
                <w:color w:val="002060"/>
                <w:sz w:val="24"/>
                <w:szCs w:val="24"/>
              </w:rPr>
            </w:pPr>
            <w:r w:rsidRPr="002A203E">
              <w:rPr>
                <w:rFonts w:asciiTheme="minorHAnsi" w:hAnsiTheme="minorHAnsi"/>
              </w:rPr>
              <w:t>Stakeholders where asked in the Consultation RIS whether they had any other information on fatalities.</w:t>
            </w:r>
            <w:r>
              <w:rPr>
                <w:rFonts w:asciiTheme="majorHAnsi" w:eastAsia="Times New Roman" w:hAnsiTheme="majorHAnsi" w:cs="Times New Roman"/>
                <w:b/>
                <w:color w:val="002060"/>
                <w:sz w:val="24"/>
                <w:szCs w:val="24"/>
              </w:rPr>
              <w:t xml:space="preserve"> </w:t>
            </w:r>
          </w:p>
        </w:tc>
      </w:tr>
    </w:tbl>
    <w:p w:rsidR="005C34AD" w:rsidRDefault="00EB19C9" w:rsidP="00CD53E5">
      <w:pPr>
        <w:spacing w:before="240"/>
        <w:rPr>
          <w:rFonts w:asciiTheme="minorHAnsi" w:hAnsiTheme="minorHAnsi"/>
        </w:rPr>
      </w:pPr>
      <w:r w:rsidRPr="009F5993">
        <w:rPr>
          <w:rFonts w:asciiTheme="minorHAnsi" w:hAnsiTheme="minorHAnsi"/>
        </w:rPr>
        <w:t>One stakeholder</w:t>
      </w:r>
      <w:r w:rsidRPr="002A203E">
        <w:rPr>
          <w:rFonts w:asciiTheme="minorHAnsi" w:hAnsiTheme="minorHAnsi"/>
          <w:b/>
          <w:bCs/>
        </w:rPr>
        <w:t xml:space="preserve"> </w:t>
      </w:r>
      <w:r w:rsidRPr="009F5993">
        <w:rPr>
          <w:rFonts w:asciiTheme="minorHAnsi" w:hAnsiTheme="minorHAnsi"/>
        </w:rPr>
        <w:t>questioned the use of historical data to inform the benefits and suggested the benefits are sensitive to changes in fire events.</w:t>
      </w:r>
      <w:r w:rsidR="00E060FC">
        <w:rPr>
          <w:rFonts w:asciiTheme="minorHAnsi" w:hAnsiTheme="minorHAnsi"/>
        </w:rPr>
        <w:t xml:space="preserve"> To emphasize</w:t>
      </w:r>
      <w:r>
        <w:rPr>
          <w:rFonts w:asciiTheme="minorHAnsi" w:hAnsiTheme="minorHAnsi"/>
        </w:rPr>
        <w:t xml:space="preserve"> this point they believed that fire events would likely increase based on high density living and the risks associated with modern flammable furnishings and argued this shou</w:t>
      </w:r>
      <w:r w:rsidR="001507E2">
        <w:rPr>
          <w:rFonts w:asciiTheme="minorHAnsi" w:hAnsiTheme="minorHAnsi"/>
        </w:rPr>
        <w:t xml:space="preserve">ld be reflected by the analysis. </w:t>
      </w:r>
    </w:p>
    <w:p w:rsidR="00EB19C9" w:rsidRDefault="00AA73E6" w:rsidP="00EB19C9">
      <w:pPr>
        <w:spacing w:before="240"/>
        <w:rPr>
          <w:rFonts w:asciiTheme="minorHAnsi" w:hAnsiTheme="minorHAnsi"/>
        </w:rPr>
      </w:pPr>
      <w:r w:rsidRPr="009747E2">
        <w:rPr>
          <w:rFonts w:asciiTheme="minorHAnsi" w:hAnsiTheme="minorHAnsi"/>
        </w:rPr>
        <w:t xml:space="preserve">Chart </w:t>
      </w:r>
      <w:r w:rsidR="00E10DFB">
        <w:rPr>
          <w:rFonts w:asciiTheme="minorHAnsi" w:hAnsiTheme="minorHAnsi"/>
        </w:rPr>
        <w:t>2</w:t>
      </w:r>
      <w:r>
        <w:rPr>
          <w:rFonts w:asciiTheme="minorHAnsi" w:hAnsiTheme="minorHAnsi"/>
        </w:rPr>
        <w:t xml:space="preserve"> reflects the rate of fire and fatality in multi-storey residential building</w:t>
      </w:r>
      <w:r w:rsidR="00FE521C">
        <w:rPr>
          <w:rFonts w:asciiTheme="minorHAnsi" w:hAnsiTheme="minorHAnsi"/>
        </w:rPr>
        <w:t>s</w:t>
      </w:r>
      <w:r>
        <w:rPr>
          <w:rFonts w:asciiTheme="minorHAnsi" w:hAnsiTheme="minorHAnsi"/>
        </w:rPr>
        <w:t xml:space="preserve"> over the recent past based on </w:t>
      </w:r>
      <w:r w:rsidR="005C34AD">
        <w:rPr>
          <w:rFonts w:asciiTheme="minorHAnsi" w:hAnsiTheme="minorHAnsi"/>
        </w:rPr>
        <w:t>available data</w:t>
      </w:r>
      <w:r>
        <w:rPr>
          <w:rFonts w:asciiTheme="minorHAnsi" w:hAnsiTheme="minorHAnsi"/>
        </w:rPr>
        <w:t xml:space="preserve">. </w:t>
      </w:r>
    </w:p>
    <w:p w:rsidR="00EB19C9" w:rsidRPr="003B5E46" w:rsidRDefault="0014340A" w:rsidP="00EB19C9">
      <w:pPr>
        <w:spacing w:before="240"/>
        <w:jc w:val="center"/>
        <w:rPr>
          <w:rFonts w:asciiTheme="minorHAnsi" w:hAnsiTheme="minorHAnsi"/>
          <w:iCs/>
          <w:color w:val="002060"/>
          <w:sz w:val="24"/>
          <w:szCs w:val="24"/>
        </w:rPr>
      </w:pPr>
      <w:r>
        <w:rPr>
          <w:rFonts w:asciiTheme="minorHAnsi" w:hAnsiTheme="minorHAnsi"/>
          <w:iCs/>
          <w:color w:val="002060"/>
          <w:sz w:val="24"/>
          <w:szCs w:val="24"/>
        </w:rPr>
        <w:lastRenderedPageBreak/>
        <w:t xml:space="preserve">Chart </w:t>
      </w:r>
      <w:r w:rsidR="00E10DFB">
        <w:rPr>
          <w:rFonts w:asciiTheme="minorHAnsi" w:hAnsiTheme="minorHAnsi"/>
          <w:iCs/>
          <w:color w:val="002060"/>
          <w:sz w:val="24"/>
          <w:szCs w:val="24"/>
        </w:rPr>
        <w:t>2</w:t>
      </w:r>
      <w:r w:rsidR="00EB19C9" w:rsidRPr="003B5E46">
        <w:rPr>
          <w:rFonts w:asciiTheme="minorHAnsi" w:hAnsiTheme="minorHAnsi"/>
          <w:iCs/>
          <w:color w:val="002060"/>
          <w:sz w:val="24"/>
          <w:szCs w:val="24"/>
        </w:rPr>
        <w:t>: Number of fire related deaths in Class 2 and 3 buildings (2001 – 2015)</w:t>
      </w:r>
      <w:r w:rsidR="004C7255">
        <w:rPr>
          <w:rFonts w:asciiTheme="minorHAnsi" w:hAnsiTheme="minorHAnsi"/>
          <w:iCs/>
          <w:color w:val="002060"/>
          <w:sz w:val="24"/>
          <w:szCs w:val="24"/>
        </w:rPr>
        <w:t xml:space="preserve"> and number of accidental residential structure fires per 100,000 households</w:t>
      </w:r>
    </w:p>
    <w:p w:rsidR="00EB19C9" w:rsidRDefault="00C838DE" w:rsidP="00EB19C9">
      <w:pPr>
        <w:spacing w:before="240"/>
        <w:rPr>
          <w:rFonts w:asciiTheme="minorHAnsi" w:hAnsiTheme="minorHAnsi"/>
        </w:rPr>
      </w:pPr>
      <w:r>
        <w:rPr>
          <w:noProof/>
          <w:lang w:eastAsia="en-AU"/>
        </w:rPr>
        <w:drawing>
          <wp:inline distT="0" distB="0" distL="0" distR="0" wp14:anchorId="1E2B077D" wp14:editId="12B21097">
            <wp:extent cx="5836920" cy="2756535"/>
            <wp:effectExtent l="0" t="0" r="11430" b="5715"/>
            <wp:docPr id="1" name="Chart 1" descr="This chart shows the correlation between fatalities and the rate of fire. " title="Chart 2: Number of fire related deaths in Class 2 and 3 buildings (2001 - 2015) and number of accidental residential structure fires per 100,000 household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C7255" w:rsidRPr="00FE521C" w:rsidRDefault="00EB19C9" w:rsidP="00FE521C">
      <w:pPr>
        <w:jc w:val="center"/>
        <w:rPr>
          <w:rFonts w:asciiTheme="minorHAnsi" w:hAnsiTheme="minorHAnsi"/>
        </w:rPr>
      </w:pPr>
      <w:r w:rsidRPr="00FE521C">
        <w:rPr>
          <w:rFonts w:asciiTheme="minorHAnsi" w:hAnsiTheme="minorHAnsi"/>
        </w:rPr>
        <w:t>Source</w:t>
      </w:r>
      <w:r w:rsidR="004C7255" w:rsidRPr="00FE521C">
        <w:rPr>
          <w:rFonts w:asciiTheme="minorHAnsi" w:hAnsiTheme="minorHAnsi"/>
        </w:rPr>
        <w:t>s</w:t>
      </w:r>
      <w:r w:rsidRPr="00FE521C">
        <w:rPr>
          <w:rFonts w:asciiTheme="minorHAnsi" w:hAnsiTheme="minorHAnsi"/>
        </w:rPr>
        <w:t>: NCIS (2018)</w:t>
      </w:r>
      <w:r w:rsidR="004C7255" w:rsidRPr="00FE521C">
        <w:rPr>
          <w:rFonts w:asciiTheme="minorHAnsi" w:hAnsiTheme="minorHAnsi"/>
        </w:rPr>
        <w:t>, R</w:t>
      </w:r>
      <w:r w:rsidR="00FE521C">
        <w:rPr>
          <w:rFonts w:asciiTheme="minorHAnsi" w:hAnsiTheme="minorHAnsi"/>
        </w:rPr>
        <w:t>o</w:t>
      </w:r>
      <w:r w:rsidR="004C7255" w:rsidRPr="00FE521C">
        <w:rPr>
          <w:rFonts w:asciiTheme="minorHAnsi" w:hAnsiTheme="minorHAnsi"/>
        </w:rPr>
        <w:t>GS (2017).</w:t>
      </w:r>
    </w:p>
    <w:p w:rsidR="00EB19C9" w:rsidRDefault="003E4B52" w:rsidP="00EB19C9">
      <w:pPr>
        <w:spacing w:before="240"/>
        <w:rPr>
          <w:rFonts w:asciiTheme="minorHAnsi" w:hAnsiTheme="minorHAnsi"/>
        </w:rPr>
      </w:pPr>
      <w:r>
        <w:rPr>
          <w:rFonts w:asciiTheme="minorHAnsi" w:hAnsiTheme="minorHAnsi"/>
        </w:rPr>
        <w:t>I</w:t>
      </w:r>
      <w:r w:rsidR="00A203DB">
        <w:rPr>
          <w:rFonts w:asciiTheme="minorHAnsi" w:hAnsiTheme="minorHAnsi"/>
        </w:rPr>
        <w:t>n response to suggestions</w:t>
      </w:r>
      <w:r>
        <w:rPr>
          <w:rFonts w:asciiTheme="minorHAnsi" w:hAnsiTheme="minorHAnsi"/>
        </w:rPr>
        <w:t xml:space="preserve"> these risks are present and increasing</w:t>
      </w:r>
      <w:r w:rsidR="00A203DB">
        <w:rPr>
          <w:rFonts w:asciiTheme="minorHAnsi" w:hAnsiTheme="minorHAnsi"/>
        </w:rPr>
        <w:t>,</w:t>
      </w:r>
      <w:r>
        <w:rPr>
          <w:rFonts w:asciiTheme="minorHAnsi" w:hAnsiTheme="minorHAnsi"/>
        </w:rPr>
        <w:t xml:space="preserve"> they are yet to be reflected </w:t>
      </w:r>
      <w:r w:rsidR="00AA73E6">
        <w:rPr>
          <w:rFonts w:asciiTheme="minorHAnsi" w:hAnsiTheme="minorHAnsi"/>
        </w:rPr>
        <w:t xml:space="preserve">in both the </w:t>
      </w:r>
      <w:r w:rsidR="00A203DB">
        <w:rPr>
          <w:rFonts w:asciiTheme="minorHAnsi" w:hAnsiTheme="minorHAnsi"/>
        </w:rPr>
        <w:t>rate</w:t>
      </w:r>
      <w:r w:rsidR="00AA73E6">
        <w:rPr>
          <w:rFonts w:asciiTheme="minorHAnsi" w:hAnsiTheme="minorHAnsi"/>
        </w:rPr>
        <w:t xml:space="preserve"> of accidental fire and fatalities</w:t>
      </w:r>
      <w:r w:rsidR="00A203DB">
        <w:rPr>
          <w:rFonts w:asciiTheme="minorHAnsi" w:hAnsiTheme="minorHAnsi"/>
        </w:rPr>
        <w:t xml:space="preserve"> in the buildings of interest</w:t>
      </w:r>
      <w:r w:rsidR="00AA73E6">
        <w:rPr>
          <w:rFonts w:asciiTheme="minorHAnsi" w:hAnsiTheme="minorHAnsi"/>
        </w:rPr>
        <w:t xml:space="preserve">. </w:t>
      </w:r>
      <w:r w:rsidR="002E1A12">
        <w:rPr>
          <w:rFonts w:asciiTheme="minorHAnsi" w:hAnsiTheme="minorHAnsi"/>
        </w:rPr>
        <w:t>However, i</w:t>
      </w:r>
      <w:r w:rsidR="004D2FB4">
        <w:rPr>
          <w:rFonts w:asciiTheme="minorHAnsi" w:hAnsiTheme="minorHAnsi"/>
        </w:rPr>
        <w:t>n</w:t>
      </w:r>
      <w:r w:rsidR="00EB19C9">
        <w:rPr>
          <w:rFonts w:asciiTheme="minorHAnsi" w:hAnsiTheme="minorHAnsi"/>
        </w:rPr>
        <w:t xml:space="preserve"> recognition of the view an increase in future fire events</w:t>
      </w:r>
      <w:r w:rsidR="00EB19C9" w:rsidRPr="006026F2">
        <w:rPr>
          <w:rFonts w:asciiTheme="minorHAnsi" w:hAnsiTheme="minorHAnsi"/>
        </w:rPr>
        <w:t xml:space="preserve"> </w:t>
      </w:r>
      <w:r w:rsidR="00663AE7">
        <w:rPr>
          <w:rFonts w:asciiTheme="minorHAnsi" w:hAnsiTheme="minorHAnsi"/>
        </w:rPr>
        <w:t xml:space="preserve">and fatalities </w:t>
      </w:r>
      <w:r w:rsidR="001507E2">
        <w:rPr>
          <w:rFonts w:asciiTheme="minorHAnsi" w:hAnsiTheme="minorHAnsi"/>
        </w:rPr>
        <w:t xml:space="preserve">may arise, </w:t>
      </w:r>
      <w:r w:rsidR="00EB19C9">
        <w:rPr>
          <w:rFonts w:asciiTheme="minorHAnsi" w:hAnsiTheme="minorHAnsi"/>
        </w:rPr>
        <w:t>t</w:t>
      </w:r>
      <w:r w:rsidR="00EB19C9" w:rsidRPr="006026F2">
        <w:rPr>
          <w:rFonts w:asciiTheme="minorHAnsi" w:hAnsiTheme="minorHAnsi"/>
        </w:rPr>
        <w:t>he analysis test</w:t>
      </w:r>
      <w:r w:rsidR="00EB19C9">
        <w:rPr>
          <w:rFonts w:asciiTheme="minorHAnsi" w:hAnsiTheme="minorHAnsi"/>
        </w:rPr>
        <w:t xml:space="preserve">s the robustness of </w:t>
      </w:r>
      <w:r w:rsidR="004D2FB4">
        <w:rPr>
          <w:rFonts w:asciiTheme="minorHAnsi" w:hAnsiTheme="minorHAnsi"/>
        </w:rPr>
        <w:t>the options</w:t>
      </w:r>
      <w:r w:rsidR="00F23059">
        <w:rPr>
          <w:rFonts w:asciiTheme="minorHAnsi" w:hAnsiTheme="minorHAnsi"/>
        </w:rPr>
        <w:t xml:space="preserve"> </w:t>
      </w:r>
      <w:r w:rsidR="00EB19C9">
        <w:rPr>
          <w:rFonts w:asciiTheme="minorHAnsi" w:hAnsiTheme="minorHAnsi"/>
        </w:rPr>
        <w:t>against a high (20%) and very high (40%) increase in injuries and fatalities over the next 40 years</w:t>
      </w:r>
      <w:r w:rsidR="00EB19C9" w:rsidRPr="006026F2">
        <w:rPr>
          <w:rFonts w:asciiTheme="minorHAnsi" w:hAnsiTheme="minorHAnsi"/>
        </w:rPr>
        <w:t>.</w:t>
      </w:r>
      <w:r w:rsidR="00EB19C9">
        <w:rPr>
          <w:rFonts w:asciiTheme="minorHAnsi" w:hAnsiTheme="minorHAnsi"/>
        </w:rPr>
        <w:t xml:space="preserve"> Based</w:t>
      </w:r>
      <w:r w:rsidR="00663AE7">
        <w:rPr>
          <w:rFonts w:asciiTheme="minorHAnsi" w:hAnsiTheme="minorHAnsi"/>
        </w:rPr>
        <w:t xml:space="preserve"> on the</w:t>
      </w:r>
      <w:r w:rsidR="00F23059">
        <w:rPr>
          <w:rFonts w:asciiTheme="minorHAnsi" w:hAnsiTheme="minorHAnsi"/>
        </w:rPr>
        <w:t xml:space="preserve"> </w:t>
      </w:r>
      <w:r>
        <w:rPr>
          <w:rFonts w:asciiTheme="minorHAnsi" w:hAnsiTheme="minorHAnsi"/>
        </w:rPr>
        <w:t xml:space="preserve">information available </w:t>
      </w:r>
      <w:r w:rsidR="00A203DB">
        <w:rPr>
          <w:rFonts w:asciiTheme="minorHAnsi" w:hAnsiTheme="minorHAnsi"/>
        </w:rPr>
        <w:t xml:space="preserve">for this analysis, </w:t>
      </w:r>
      <w:r>
        <w:rPr>
          <w:rFonts w:asciiTheme="minorHAnsi" w:hAnsiTheme="minorHAnsi"/>
        </w:rPr>
        <w:t>further</w:t>
      </w:r>
      <w:r w:rsidR="00EB19C9">
        <w:rPr>
          <w:rFonts w:asciiTheme="minorHAnsi" w:hAnsiTheme="minorHAnsi"/>
        </w:rPr>
        <w:t xml:space="preserve"> investigation </w:t>
      </w:r>
      <w:r w:rsidR="00663AE7">
        <w:rPr>
          <w:rFonts w:asciiTheme="minorHAnsi" w:hAnsiTheme="minorHAnsi"/>
        </w:rPr>
        <w:t xml:space="preserve">of </w:t>
      </w:r>
      <w:r>
        <w:rPr>
          <w:rFonts w:asciiTheme="minorHAnsi" w:hAnsiTheme="minorHAnsi"/>
        </w:rPr>
        <w:t>increased</w:t>
      </w:r>
      <w:r w:rsidR="00663AE7">
        <w:rPr>
          <w:rFonts w:asciiTheme="minorHAnsi" w:hAnsiTheme="minorHAnsi"/>
        </w:rPr>
        <w:t xml:space="preserve"> </w:t>
      </w:r>
      <w:r>
        <w:rPr>
          <w:rFonts w:asciiTheme="minorHAnsi" w:hAnsiTheme="minorHAnsi"/>
        </w:rPr>
        <w:t xml:space="preserve">fatality and injury </w:t>
      </w:r>
      <w:r w:rsidR="00A203DB">
        <w:rPr>
          <w:rFonts w:asciiTheme="minorHAnsi" w:hAnsiTheme="minorHAnsi"/>
        </w:rPr>
        <w:t>is unnecessary</w:t>
      </w:r>
      <w:r w:rsidR="00FE521C">
        <w:rPr>
          <w:rFonts w:asciiTheme="minorHAnsi" w:hAnsiTheme="minorHAnsi"/>
        </w:rPr>
        <w:t xml:space="preserve"> </w:t>
      </w:r>
      <w:r w:rsidR="002C50BF">
        <w:rPr>
          <w:rFonts w:asciiTheme="minorHAnsi" w:hAnsiTheme="minorHAnsi"/>
        </w:rPr>
        <w:t>as the analysis is insensitive</w:t>
      </w:r>
      <w:r w:rsidR="00FE521C">
        <w:rPr>
          <w:rFonts w:asciiTheme="minorHAnsi" w:hAnsiTheme="minorHAnsi"/>
        </w:rPr>
        <w:t xml:space="preserve"> to change</w:t>
      </w:r>
      <w:r w:rsidR="00E10DFB">
        <w:rPr>
          <w:rFonts w:asciiTheme="minorHAnsi" w:hAnsiTheme="minorHAnsi"/>
        </w:rPr>
        <w:t>s</w:t>
      </w:r>
      <w:r w:rsidR="00FE521C">
        <w:rPr>
          <w:rFonts w:asciiTheme="minorHAnsi" w:hAnsiTheme="minorHAnsi"/>
        </w:rPr>
        <w:t xml:space="preserve"> in fatality rate</w:t>
      </w:r>
      <w:r w:rsidR="00EB19C9">
        <w:rPr>
          <w:rFonts w:asciiTheme="minorHAnsi" w:hAnsiTheme="minorHAnsi"/>
        </w:rPr>
        <w:t xml:space="preserve">. </w:t>
      </w:r>
    </w:p>
    <w:p w:rsidR="00EB19C9" w:rsidRPr="000C58C8" w:rsidRDefault="00EB19C9" w:rsidP="00EB19C9">
      <w:pPr>
        <w:pStyle w:val="Heading2"/>
      </w:pPr>
      <w:r w:rsidRPr="000C58C8">
        <w:t>Injuries</w:t>
      </w:r>
    </w:p>
    <w:p w:rsidR="00D9364F" w:rsidRDefault="00EB19C9" w:rsidP="00EB19C9">
      <w:pPr>
        <w:rPr>
          <w:rFonts w:asciiTheme="minorHAnsi" w:hAnsiTheme="minorHAnsi"/>
        </w:rPr>
      </w:pPr>
      <w:r w:rsidRPr="00BC11F9">
        <w:rPr>
          <w:rFonts w:asciiTheme="minorHAnsi" w:hAnsiTheme="minorHAnsi"/>
        </w:rPr>
        <w:t xml:space="preserve">Table </w:t>
      </w:r>
      <w:r w:rsidR="00515D2C">
        <w:rPr>
          <w:rFonts w:asciiTheme="minorHAnsi" w:hAnsiTheme="minorHAnsi"/>
        </w:rPr>
        <w:t>17</w:t>
      </w:r>
      <w:r w:rsidRPr="00BC11F9">
        <w:rPr>
          <w:rFonts w:asciiTheme="minorHAnsi" w:hAnsiTheme="minorHAnsi"/>
        </w:rPr>
        <w:t xml:space="preserve"> shows the estimated total annual cost of fire-related injuries occurring in Class 2 and 3 buildings between four and eight storeys in height. As described in the problem section, where fire injuries occur, they are moderate to severe injuries and often require on-going treatment and rehabilitation.  The costs in Table </w:t>
      </w:r>
      <w:r w:rsidR="00515D2C">
        <w:rPr>
          <w:rFonts w:asciiTheme="minorHAnsi" w:hAnsiTheme="minorHAnsi"/>
        </w:rPr>
        <w:t>17</w:t>
      </w:r>
      <w:r w:rsidRPr="00BC11F9">
        <w:rPr>
          <w:rFonts w:asciiTheme="minorHAnsi" w:hAnsiTheme="minorHAnsi"/>
        </w:rPr>
        <w:t xml:space="preserve"> are based on the Australian estimates for Quality Adjusted Life Years (QALY) and take into account productivity, welfare and medical costs of fire-related injuries.</w:t>
      </w:r>
    </w:p>
    <w:p w:rsidR="00EB19C9" w:rsidRPr="00BC11F9" w:rsidRDefault="00D9364F" w:rsidP="00EB19C9">
      <w:pPr>
        <w:rPr>
          <w:rFonts w:asciiTheme="minorHAnsi" w:hAnsiTheme="minorHAnsi"/>
        </w:rPr>
      </w:pPr>
      <w:r>
        <w:rPr>
          <w:rFonts w:asciiTheme="minorHAnsi" w:hAnsiTheme="minorHAnsi"/>
        </w:rPr>
        <w:br w:type="page"/>
      </w:r>
    </w:p>
    <w:p w:rsidR="00EB19C9" w:rsidRPr="000C58C8" w:rsidRDefault="00EB19C9" w:rsidP="00EB19C9">
      <w:pPr>
        <w:spacing w:after="160" w:line="259" w:lineRule="auto"/>
        <w:rPr>
          <w:rFonts w:asciiTheme="minorHAnsi" w:hAnsiTheme="minorHAnsi"/>
        </w:rPr>
      </w:pPr>
    </w:p>
    <w:p w:rsidR="00EB19C9" w:rsidRPr="007575C4" w:rsidRDefault="00EB19C9" w:rsidP="00FE521C">
      <w:pPr>
        <w:spacing w:after="0" w:line="259" w:lineRule="auto"/>
        <w:jc w:val="center"/>
        <w:rPr>
          <w:rFonts w:asciiTheme="minorHAnsi" w:hAnsiTheme="minorHAnsi"/>
          <w:iCs/>
          <w:color w:val="002060"/>
          <w:sz w:val="24"/>
          <w:szCs w:val="24"/>
        </w:rPr>
      </w:pPr>
      <w:r w:rsidRPr="007575C4">
        <w:rPr>
          <w:rFonts w:asciiTheme="minorHAnsi" w:hAnsiTheme="minorHAnsi"/>
          <w:iCs/>
          <w:color w:val="002060"/>
          <w:sz w:val="24"/>
          <w:szCs w:val="24"/>
        </w:rPr>
        <w:t xml:space="preserve">Table </w:t>
      </w:r>
      <w:r w:rsidR="008A7DC4">
        <w:rPr>
          <w:rFonts w:asciiTheme="minorHAnsi" w:hAnsiTheme="minorHAnsi"/>
          <w:iCs/>
          <w:color w:val="002060"/>
          <w:sz w:val="24"/>
          <w:szCs w:val="24"/>
        </w:rPr>
        <w:t>17</w:t>
      </w:r>
      <w:r w:rsidRPr="007575C4">
        <w:rPr>
          <w:rFonts w:asciiTheme="minorHAnsi" w:hAnsiTheme="minorHAnsi"/>
          <w:iCs/>
          <w:color w:val="002060"/>
          <w:sz w:val="24"/>
          <w:szCs w:val="24"/>
        </w:rPr>
        <w:t>: Total cost of fire</w:t>
      </w:r>
      <w:r>
        <w:rPr>
          <w:rFonts w:asciiTheme="minorHAnsi" w:hAnsiTheme="minorHAnsi"/>
          <w:iCs/>
          <w:color w:val="002060"/>
          <w:sz w:val="24"/>
          <w:szCs w:val="24"/>
        </w:rPr>
        <w:t>-</w:t>
      </w:r>
      <w:r w:rsidRPr="007575C4">
        <w:rPr>
          <w:rFonts w:asciiTheme="minorHAnsi" w:hAnsiTheme="minorHAnsi"/>
          <w:iCs/>
          <w:color w:val="002060"/>
          <w:sz w:val="24"/>
          <w:szCs w:val="24"/>
        </w:rPr>
        <w:t>related injuries each year</w:t>
      </w:r>
    </w:p>
    <w:tbl>
      <w:tblPr>
        <w:tblStyle w:val="TableGrid"/>
        <w:tblW w:w="10343" w:type="dxa"/>
        <w:jc w:val="center"/>
        <w:tblLayout w:type="fixed"/>
        <w:tblLook w:val="0480" w:firstRow="0" w:lastRow="0" w:firstColumn="1" w:lastColumn="0" w:noHBand="0" w:noVBand="1"/>
        <w:tblCaption w:val="Table containing total cost of fire related injuries each year"/>
      </w:tblPr>
      <w:tblGrid>
        <w:gridCol w:w="1271"/>
        <w:gridCol w:w="1559"/>
        <w:gridCol w:w="1123"/>
        <w:gridCol w:w="1277"/>
        <w:gridCol w:w="1278"/>
        <w:gridCol w:w="1277"/>
        <w:gridCol w:w="1141"/>
        <w:gridCol w:w="1417"/>
      </w:tblGrid>
      <w:tr w:rsidR="00EB19C9" w:rsidRPr="002A4CA6" w:rsidTr="00EB19C9">
        <w:trPr>
          <w:trHeight w:val="1140"/>
          <w:tblHeader/>
          <w:jc w:val="center"/>
        </w:trPr>
        <w:tc>
          <w:tcPr>
            <w:tcW w:w="1271"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Incidence </w:t>
            </w:r>
            <w:r>
              <w:rPr>
                <w:rFonts w:asciiTheme="minorHAnsi" w:hAnsiTheme="minorHAnsi"/>
                <w:bCs/>
                <w:color w:val="FFFFFF" w:themeColor="background1"/>
              </w:rPr>
              <w:t>A</w:t>
            </w:r>
            <w:r w:rsidRPr="002A4CA6">
              <w:rPr>
                <w:rFonts w:asciiTheme="minorHAnsi" w:hAnsiTheme="minorHAnsi"/>
                <w:bCs/>
                <w:color w:val="FFFFFF" w:themeColor="background1"/>
              </w:rPr>
              <w:t>voided</w:t>
            </w:r>
          </w:p>
        </w:tc>
        <w:tc>
          <w:tcPr>
            <w:tcW w:w="1559"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Length of </w:t>
            </w:r>
            <w:r>
              <w:rPr>
                <w:rFonts w:asciiTheme="minorHAnsi" w:hAnsiTheme="minorHAnsi"/>
                <w:bCs/>
                <w:color w:val="FFFFFF" w:themeColor="background1"/>
              </w:rPr>
              <w:t>H</w:t>
            </w:r>
            <w:r w:rsidRPr="002A4CA6">
              <w:rPr>
                <w:rFonts w:asciiTheme="minorHAnsi" w:hAnsiTheme="minorHAnsi"/>
                <w:bCs/>
                <w:color w:val="FFFFFF" w:themeColor="background1"/>
              </w:rPr>
              <w:t>ospitalisation</w:t>
            </w:r>
            <w:r>
              <w:rPr>
                <w:rFonts w:asciiTheme="minorHAnsi" w:hAnsiTheme="minorHAnsi"/>
                <w:bCs/>
                <w:color w:val="FFFFFF" w:themeColor="background1"/>
              </w:rPr>
              <w:t xml:space="preserve"> (days)</w:t>
            </w:r>
          </w:p>
        </w:tc>
        <w:tc>
          <w:tcPr>
            <w:tcW w:w="1123"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Disability </w:t>
            </w:r>
            <w:r>
              <w:rPr>
                <w:rFonts w:asciiTheme="minorHAnsi" w:hAnsiTheme="minorHAnsi"/>
                <w:bCs/>
                <w:color w:val="FFFFFF" w:themeColor="background1"/>
              </w:rPr>
              <w:t>W</w:t>
            </w:r>
            <w:r w:rsidRPr="002A4CA6">
              <w:rPr>
                <w:rFonts w:asciiTheme="minorHAnsi" w:hAnsiTheme="minorHAnsi"/>
                <w:bCs/>
                <w:color w:val="FFFFFF" w:themeColor="background1"/>
              </w:rPr>
              <w:t xml:space="preserve">eight </w:t>
            </w:r>
          </w:p>
        </w:tc>
        <w:tc>
          <w:tcPr>
            <w:tcW w:w="1277"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Health </w:t>
            </w:r>
            <w:r>
              <w:rPr>
                <w:rFonts w:asciiTheme="minorHAnsi" w:hAnsiTheme="minorHAnsi"/>
                <w:bCs/>
                <w:color w:val="FFFFFF" w:themeColor="background1"/>
              </w:rPr>
              <w:t>C</w:t>
            </w:r>
            <w:r w:rsidRPr="002A4CA6">
              <w:rPr>
                <w:rFonts w:asciiTheme="minorHAnsi" w:hAnsiTheme="minorHAnsi"/>
                <w:bCs/>
                <w:color w:val="FFFFFF" w:themeColor="background1"/>
              </w:rPr>
              <w:t xml:space="preserve">ost per </w:t>
            </w:r>
            <w:r>
              <w:rPr>
                <w:rFonts w:asciiTheme="minorHAnsi" w:hAnsiTheme="minorHAnsi"/>
                <w:bCs/>
                <w:color w:val="FFFFFF" w:themeColor="background1"/>
              </w:rPr>
              <w:t>C</w:t>
            </w:r>
            <w:r w:rsidRPr="002A4CA6">
              <w:rPr>
                <w:rFonts w:asciiTheme="minorHAnsi" w:hAnsiTheme="minorHAnsi"/>
                <w:bCs/>
                <w:color w:val="FFFFFF" w:themeColor="background1"/>
              </w:rPr>
              <w:t>ase</w:t>
            </w:r>
          </w:p>
        </w:tc>
        <w:tc>
          <w:tcPr>
            <w:tcW w:w="1278"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Medical </w:t>
            </w:r>
            <w:r>
              <w:rPr>
                <w:rFonts w:asciiTheme="minorHAnsi" w:hAnsiTheme="minorHAnsi"/>
                <w:bCs/>
                <w:color w:val="FFFFFF" w:themeColor="background1"/>
              </w:rPr>
              <w:t>C</w:t>
            </w:r>
            <w:r w:rsidRPr="002A4CA6">
              <w:rPr>
                <w:rFonts w:asciiTheme="minorHAnsi" w:hAnsiTheme="minorHAnsi"/>
                <w:bCs/>
                <w:color w:val="FFFFFF" w:themeColor="background1"/>
              </w:rPr>
              <w:t xml:space="preserve">ost per </w:t>
            </w:r>
            <w:r>
              <w:rPr>
                <w:rFonts w:asciiTheme="minorHAnsi" w:hAnsiTheme="minorHAnsi"/>
                <w:bCs/>
                <w:color w:val="FFFFFF" w:themeColor="background1"/>
              </w:rPr>
              <w:t>C</w:t>
            </w:r>
            <w:r w:rsidRPr="002A4CA6">
              <w:rPr>
                <w:rFonts w:asciiTheme="minorHAnsi" w:hAnsiTheme="minorHAnsi"/>
                <w:bCs/>
                <w:color w:val="FFFFFF" w:themeColor="background1"/>
              </w:rPr>
              <w:t>ase</w:t>
            </w:r>
          </w:p>
        </w:tc>
        <w:tc>
          <w:tcPr>
            <w:tcW w:w="1277"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Total </w:t>
            </w:r>
            <w:r>
              <w:rPr>
                <w:rFonts w:asciiTheme="minorHAnsi" w:hAnsiTheme="minorHAnsi"/>
                <w:bCs/>
                <w:color w:val="FFFFFF" w:themeColor="background1"/>
              </w:rPr>
              <w:t>C</w:t>
            </w:r>
            <w:r w:rsidRPr="002A4CA6">
              <w:rPr>
                <w:rFonts w:asciiTheme="minorHAnsi" w:hAnsiTheme="minorHAnsi"/>
                <w:bCs/>
                <w:color w:val="FFFFFF" w:themeColor="background1"/>
              </w:rPr>
              <w:t xml:space="preserve">ost per </w:t>
            </w:r>
            <w:r>
              <w:rPr>
                <w:rFonts w:asciiTheme="minorHAnsi" w:hAnsiTheme="minorHAnsi"/>
                <w:bCs/>
                <w:color w:val="FFFFFF" w:themeColor="background1"/>
              </w:rPr>
              <w:t>C</w:t>
            </w:r>
            <w:r w:rsidRPr="002A4CA6">
              <w:rPr>
                <w:rFonts w:asciiTheme="minorHAnsi" w:hAnsiTheme="minorHAnsi"/>
                <w:bCs/>
                <w:color w:val="FFFFFF" w:themeColor="background1"/>
              </w:rPr>
              <w:t>ase</w:t>
            </w:r>
          </w:p>
        </w:tc>
        <w:tc>
          <w:tcPr>
            <w:tcW w:w="1141"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Total </w:t>
            </w:r>
            <w:r>
              <w:rPr>
                <w:rFonts w:asciiTheme="minorHAnsi" w:hAnsiTheme="minorHAnsi"/>
                <w:bCs/>
                <w:color w:val="FFFFFF" w:themeColor="background1"/>
              </w:rPr>
              <w:t>I</w:t>
            </w:r>
            <w:r w:rsidRPr="002A4CA6">
              <w:rPr>
                <w:rFonts w:asciiTheme="minorHAnsi" w:hAnsiTheme="minorHAnsi"/>
                <w:bCs/>
                <w:color w:val="FFFFFF" w:themeColor="background1"/>
              </w:rPr>
              <w:t xml:space="preserve">ncidence </w:t>
            </w:r>
          </w:p>
        </w:tc>
        <w:tc>
          <w:tcPr>
            <w:tcW w:w="1417" w:type="dxa"/>
            <w:shd w:val="clear" w:color="auto" w:fill="002060"/>
            <w:hideMark/>
          </w:tcPr>
          <w:p w:rsidR="00EB19C9" w:rsidRPr="002A4CA6" w:rsidRDefault="00EB19C9" w:rsidP="00EB19C9">
            <w:pPr>
              <w:spacing w:before="120" w:after="120"/>
              <w:jc w:val="center"/>
              <w:rPr>
                <w:rFonts w:asciiTheme="minorHAnsi" w:hAnsiTheme="minorHAnsi"/>
                <w:bCs/>
                <w:color w:val="FFFFFF" w:themeColor="background1"/>
              </w:rPr>
            </w:pPr>
            <w:r w:rsidRPr="002A4CA6">
              <w:rPr>
                <w:rFonts w:asciiTheme="minorHAnsi" w:hAnsiTheme="minorHAnsi"/>
                <w:bCs/>
                <w:color w:val="FFFFFF" w:themeColor="background1"/>
              </w:rPr>
              <w:t xml:space="preserve">Total </w:t>
            </w:r>
            <w:r>
              <w:rPr>
                <w:rFonts w:asciiTheme="minorHAnsi" w:hAnsiTheme="minorHAnsi"/>
                <w:bCs/>
                <w:color w:val="FFFFFF" w:themeColor="background1"/>
              </w:rPr>
              <w:t>C</w:t>
            </w:r>
            <w:r w:rsidRPr="002A4CA6">
              <w:rPr>
                <w:rFonts w:asciiTheme="minorHAnsi" w:hAnsiTheme="minorHAnsi"/>
                <w:bCs/>
                <w:color w:val="FFFFFF" w:themeColor="background1"/>
              </w:rPr>
              <w:t>ost</w:t>
            </w:r>
          </w:p>
        </w:tc>
      </w:tr>
      <w:tr w:rsidR="00EB19C9" w:rsidRPr="002A4CA6" w:rsidTr="00EB19C9">
        <w:trPr>
          <w:trHeight w:val="300"/>
          <w:jc w:val="center"/>
        </w:trPr>
        <w:tc>
          <w:tcPr>
            <w:tcW w:w="1271"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Moderate</w:t>
            </w:r>
          </w:p>
        </w:tc>
        <w:tc>
          <w:tcPr>
            <w:tcW w:w="1559"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7</w:t>
            </w:r>
          </w:p>
        </w:tc>
        <w:tc>
          <w:tcPr>
            <w:tcW w:w="1123"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0.172</w:t>
            </w:r>
          </w:p>
        </w:tc>
        <w:tc>
          <w:tcPr>
            <w:tcW w:w="1277" w:type="dxa"/>
            <w:noWrap/>
            <w:hideMark/>
          </w:tcPr>
          <w:p w:rsidR="00EB19C9" w:rsidRPr="002A4CA6" w:rsidRDefault="00EB19C9" w:rsidP="00FA696F">
            <w:pPr>
              <w:spacing w:before="120" w:after="120"/>
              <w:jc w:val="center"/>
              <w:rPr>
                <w:rFonts w:asciiTheme="minorHAnsi" w:hAnsiTheme="minorHAnsi"/>
              </w:rPr>
            </w:pPr>
            <w:r w:rsidRPr="002A4CA6">
              <w:rPr>
                <w:rFonts w:asciiTheme="minorHAnsi" w:hAnsiTheme="minorHAnsi"/>
              </w:rPr>
              <w:t>$</w:t>
            </w:r>
            <w:r w:rsidR="00FA696F">
              <w:rPr>
                <w:rFonts w:asciiTheme="minorHAnsi" w:hAnsiTheme="minorHAnsi"/>
              </w:rPr>
              <w:t>32,212</w:t>
            </w:r>
          </w:p>
        </w:tc>
        <w:tc>
          <w:tcPr>
            <w:tcW w:w="1278"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$13,300</w:t>
            </w:r>
          </w:p>
        </w:tc>
        <w:tc>
          <w:tcPr>
            <w:tcW w:w="1277" w:type="dxa"/>
            <w:noWrap/>
            <w:hideMark/>
          </w:tcPr>
          <w:p w:rsidR="00EB19C9" w:rsidRPr="002A4CA6" w:rsidRDefault="00EB19C9" w:rsidP="00FA696F">
            <w:pPr>
              <w:spacing w:before="120" w:after="120"/>
              <w:jc w:val="center"/>
              <w:rPr>
                <w:rFonts w:asciiTheme="minorHAnsi" w:hAnsiTheme="minorHAnsi"/>
              </w:rPr>
            </w:pPr>
            <w:r w:rsidRPr="002A4CA6">
              <w:rPr>
                <w:rFonts w:asciiTheme="minorHAnsi" w:hAnsiTheme="minorHAnsi"/>
              </w:rPr>
              <w:t>$</w:t>
            </w:r>
            <w:r w:rsidR="00FA696F">
              <w:rPr>
                <w:rFonts w:asciiTheme="minorHAnsi" w:hAnsiTheme="minorHAnsi"/>
              </w:rPr>
              <w:t>45,512</w:t>
            </w:r>
          </w:p>
        </w:tc>
        <w:tc>
          <w:tcPr>
            <w:tcW w:w="1141"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115</w:t>
            </w:r>
          </w:p>
        </w:tc>
        <w:tc>
          <w:tcPr>
            <w:tcW w:w="1417" w:type="dxa"/>
            <w:noWrap/>
            <w:hideMark/>
          </w:tcPr>
          <w:p w:rsidR="00EB19C9" w:rsidRPr="002A4CA6" w:rsidRDefault="00EB19C9" w:rsidP="00FA696F">
            <w:pPr>
              <w:spacing w:before="120" w:after="120"/>
              <w:jc w:val="center"/>
              <w:rPr>
                <w:rFonts w:asciiTheme="minorHAnsi" w:hAnsiTheme="minorHAnsi"/>
              </w:rPr>
            </w:pPr>
            <w:r w:rsidRPr="002A4CA6">
              <w:rPr>
                <w:rFonts w:asciiTheme="minorHAnsi" w:hAnsiTheme="minorHAnsi"/>
              </w:rPr>
              <w:t>$</w:t>
            </w:r>
            <w:r w:rsidR="00FA696F">
              <w:rPr>
                <w:rFonts w:asciiTheme="minorHAnsi" w:hAnsiTheme="minorHAnsi"/>
              </w:rPr>
              <w:t>5,233,898</w:t>
            </w:r>
          </w:p>
        </w:tc>
      </w:tr>
      <w:tr w:rsidR="00EB19C9" w:rsidRPr="002A4CA6" w:rsidTr="00EB19C9">
        <w:trPr>
          <w:trHeight w:val="300"/>
          <w:jc w:val="center"/>
        </w:trPr>
        <w:tc>
          <w:tcPr>
            <w:tcW w:w="1271"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Severe</w:t>
            </w:r>
          </w:p>
        </w:tc>
        <w:tc>
          <w:tcPr>
            <w:tcW w:w="1559"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17</w:t>
            </w:r>
          </w:p>
        </w:tc>
        <w:tc>
          <w:tcPr>
            <w:tcW w:w="1123"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0.172</w:t>
            </w:r>
          </w:p>
        </w:tc>
        <w:tc>
          <w:tcPr>
            <w:tcW w:w="1277"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$644,243</w:t>
            </w:r>
          </w:p>
        </w:tc>
        <w:tc>
          <w:tcPr>
            <w:tcW w:w="1278"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$32,300</w:t>
            </w:r>
          </w:p>
        </w:tc>
        <w:tc>
          <w:tcPr>
            <w:tcW w:w="1277"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$676,543</w:t>
            </w:r>
          </w:p>
        </w:tc>
        <w:tc>
          <w:tcPr>
            <w:tcW w:w="1141"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22</w:t>
            </w:r>
          </w:p>
        </w:tc>
        <w:tc>
          <w:tcPr>
            <w:tcW w:w="1417"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$14,883,950</w:t>
            </w:r>
          </w:p>
        </w:tc>
      </w:tr>
      <w:tr w:rsidR="00EB19C9" w:rsidRPr="002A4CA6" w:rsidTr="00EB19C9">
        <w:trPr>
          <w:trHeight w:val="300"/>
          <w:jc w:val="center"/>
        </w:trPr>
        <w:tc>
          <w:tcPr>
            <w:tcW w:w="1271" w:type="dxa"/>
            <w:noWrap/>
            <w:hideMark/>
          </w:tcPr>
          <w:p w:rsidR="00EB19C9" w:rsidRPr="002A4CA6" w:rsidRDefault="00EB19C9" w:rsidP="00EB19C9">
            <w:pPr>
              <w:spacing w:before="120" w:after="120"/>
              <w:jc w:val="center"/>
              <w:rPr>
                <w:rFonts w:asciiTheme="minorHAnsi" w:hAnsiTheme="minorHAnsi"/>
                <w:bCs/>
              </w:rPr>
            </w:pPr>
            <w:r w:rsidRPr="002A4CA6">
              <w:rPr>
                <w:rFonts w:asciiTheme="minorHAnsi" w:hAnsiTheme="minorHAnsi"/>
                <w:bCs/>
              </w:rPr>
              <w:t>Total Cost</w:t>
            </w:r>
          </w:p>
        </w:tc>
        <w:tc>
          <w:tcPr>
            <w:tcW w:w="1559" w:type="dxa"/>
            <w:noWrap/>
            <w:hideMark/>
          </w:tcPr>
          <w:p w:rsidR="00EB19C9" w:rsidRPr="002A4CA6" w:rsidRDefault="00EB19C9" w:rsidP="00EB19C9">
            <w:pPr>
              <w:spacing w:before="120" w:after="120"/>
              <w:jc w:val="center"/>
              <w:rPr>
                <w:rFonts w:asciiTheme="minorHAnsi" w:hAnsiTheme="minorHAnsi"/>
                <w:bCs/>
              </w:rPr>
            </w:pPr>
            <w:r>
              <w:rPr>
                <w:rFonts w:asciiTheme="minorHAnsi" w:hAnsiTheme="minorHAnsi"/>
                <w:bCs/>
              </w:rPr>
              <w:t>-</w:t>
            </w:r>
            <w:r w:rsidRPr="002A4CA6">
              <w:rPr>
                <w:rFonts w:asciiTheme="minorHAnsi" w:hAnsiTheme="minorHAnsi"/>
                <w:bCs/>
              </w:rPr>
              <w:t> </w:t>
            </w:r>
          </w:p>
        </w:tc>
        <w:tc>
          <w:tcPr>
            <w:tcW w:w="1123"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 </w:t>
            </w:r>
            <w:r>
              <w:rPr>
                <w:rFonts w:asciiTheme="minorHAnsi" w:hAnsiTheme="minorHAnsi"/>
              </w:rPr>
              <w:t>-</w:t>
            </w:r>
          </w:p>
        </w:tc>
        <w:tc>
          <w:tcPr>
            <w:tcW w:w="1277"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 </w:t>
            </w:r>
            <w:r>
              <w:rPr>
                <w:rFonts w:asciiTheme="minorHAnsi" w:hAnsiTheme="minorHAnsi"/>
              </w:rPr>
              <w:t>-</w:t>
            </w:r>
          </w:p>
        </w:tc>
        <w:tc>
          <w:tcPr>
            <w:tcW w:w="1278" w:type="dxa"/>
            <w:noWrap/>
            <w:hideMark/>
          </w:tcPr>
          <w:p w:rsidR="00EB19C9" w:rsidRPr="002A4CA6" w:rsidRDefault="00EB19C9" w:rsidP="00EB19C9">
            <w:pPr>
              <w:spacing w:before="120" w:after="120"/>
              <w:jc w:val="center"/>
              <w:rPr>
                <w:rFonts w:asciiTheme="minorHAnsi" w:hAnsiTheme="minorHAnsi"/>
              </w:rPr>
            </w:pPr>
            <w:r>
              <w:rPr>
                <w:rFonts w:asciiTheme="minorHAnsi" w:hAnsiTheme="minorHAnsi"/>
              </w:rPr>
              <w:t>-</w:t>
            </w:r>
            <w:r w:rsidRPr="002A4CA6">
              <w:rPr>
                <w:rFonts w:asciiTheme="minorHAnsi" w:hAnsiTheme="minorHAnsi"/>
              </w:rPr>
              <w:t> </w:t>
            </w:r>
          </w:p>
        </w:tc>
        <w:tc>
          <w:tcPr>
            <w:tcW w:w="1277"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 </w:t>
            </w:r>
            <w:r>
              <w:rPr>
                <w:rFonts w:asciiTheme="minorHAnsi" w:hAnsiTheme="minorHAnsi"/>
              </w:rPr>
              <w:t>-</w:t>
            </w:r>
          </w:p>
        </w:tc>
        <w:tc>
          <w:tcPr>
            <w:tcW w:w="1141" w:type="dxa"/>
            <w:noWrap/>
            <w:hideMark/>
          </w:tcPr>
          <w:p w:rsidR="00EB19C9" w:rsidRPr="002A4CA6" w:rsidRDefault="00EB19C9" w:rsidP="00EB19C9">
            <w:pPr>
              <w:spacing w:before="120" w:after="120"/>
              <w:jc w:val="center"/>
              <w:rPr>
                <w:rFonts w:asciiTheme="minorHAnsi" w:hAnsiTheme="minorHAnsi"/>
              </w:rPr>
            </w:pPr>
            <w:r w:rsidRPr="002A4CA6">
              <w:rPr>
                <w:rFonts w:asciiTheme="minorHAnsi" w:hAnsiTheme="minorHAnsi"/>
              </w:rPr>
              <w:t>137</w:t>
            </w:r>
          </w:p>
        </w:tc>
        <w:tc>
          <w:tcPr>
            <w:tcW w:w="1417" w:type="dxa"/>
            <w:noWrap/>
            <w:hideMark/>
          </w:tcPr>
          <w:p w:rsidR="00EB19C9" w:rsidRPr="002A4CA6" w:rsidRDefault="00EB19C9" w:rsidP="00317AEC">
            <w:pPr>
              <w:spacing w:before="120" w:after="120"/>
              <w:jc w:val="center"/>
              <w:rPr>
                <w:rFonts w:asciiTheme="minorHAnsi" w:hAnsiTheme="minorHAnsi"/>
              </w:rPr>
            </w:pPr>
            <w:r w:rsidRPr="002A4CA6">
              <w:rPr>
                <w:rFonts w:asciiTheme="minorHAnsi" w:hAnsiTheme="minorHAnsi"/>
              </w:rPr>
              <w:t>$</w:t>
            </w:r>
            <w:r w:rsidR="00317AEC">
              <w:rPr>
                <w:rFonts w:asciiTheme="minorHAnsi" w:hAnsiTheme="minorHAnsi"/>
              </w:rPr>
              <w:t>20,117,849</w:t>
            </w:r>
          </w:p>
        </w:tc>
      </w:tr>
    </w:tbl>
    <w:p w:rsidR="00EB19C9" w:rsidRPr="001559CC" w:rsidRDefault="00EB19C9" w:rsidP="00EB19C9">
      <w:pPr>
        <w:spacing w:before="120"/>
        <w:rPr>
          <w:rFonts w:asciiTheme="minorHAnsi" w:hAnsiTheme="minorHAnsi"/>
        </w:rPr>
      </w:pPr>
      <w:r w:rsidRPr="001559CC">
        <w:rPr>
          <w:rFonts w:asciiTheme="minorHAnsi" w:hAnsiTheme="minorHAnsi"/>
        </w:rPr>
        <w:t>Notes:</w:t>
      </w:r>
    </w:p>
    <w:p w:rsidR="00EB19C9" w:rsidRPr="008C0FC9" w:rsidRDefault="00EB19C9" w:rsidP="00EB19C9">
      <w:pPr>
        <w:pStyle w:val="ListParagraph"/>
        <w:numPr>
          <w:ilvl w:val="0"/>
          <w:numId w:val="86"/>
        </w:numPr>
        <w:rPr>
          <w:rFonts w:asciiTheme="minorHAnsi" w:hAnsiTheme="minorHAnsi"/>
          <w:color w:val="002060"/>
        </w:rPr>
      </w:pPr>
      <w:r w:rsidRPr="008C0FC9">
        <w:rPr>
          <w:rFonts w:asciiTheme="minorHAnsi" w:hAnsiTheme="minorHAnsi"/>
          <w:color w:val="002060"/>
        </w:rPr>
        <w:t>Length of hospitalisation:</w:t>
      </w:r>
      <w:r w:rsidRPr="008C0FC9">
        <w:rPr>
          <w:rFonts w:asciiTheme="minorHAnsi" w:hAnsiTheme="minorHAnsi"/>
        </w:rPr>
        <w:t xml:space="preserve"> AIHW (2016) found that the mean length of stay (MLOS) was 7 days for all hospitalised burn cases in 2013 – 2014. The MLOS was much higher for high threat to life cases at 17 days which accounted for 16% of all burns.</w:t>
      </w:r>
      <w:r w:rsidRPr="00817163">
        <w:rPr>
          <w:rStyle w:val="FootnoteReference"/>
          <w:rFonts w:asciiTheme="minorHAnsi" w:hAnsiTheme="minorHAnsi"/>
          <w:color w:val="000000" w:themeColor="text1"/>
        </w:rPr>
        <w:footnoteReference w:id="26"/>
      </w:r>
    </w:p>
    <w:p w:rsidR="00EB19C9" w:rsidRPr="008C0FC9" w:rsidRDefault="00EB19C9" w:rsidP="00EB19C9">
      <w:pPr>
        <w:pStyle w:val="ListParagraph"/>
        <w:numPr>
          <w:ilvl w:val="0"/>
          <w:numId w:val="86"/>
        </w:numPr>
        <w:rPr>
          <w:rFonts w:asciiTheme="minorHAnsi" w:hAnsiTheme="minorHAnsi"/>
        </w:rPr>
      </w:pPr>
      <w:r w:rsidRPr="008C0FC9">
        <w:rPr>
          <w:rFonts w:asciiTheme="minorHAnsi" w:hAnsiTheme="minorHAnsi"/>
          <w:color w:val="002060"/>
        </w:rPr>
        <w:t xml:space="preserve">Disability Weight: </w:t>
      </w:r>
      <w:r w:rsidRPr="008C0FC9">
        <w:rPr>
          <w:rFonts w:asciiTheme="minorHAnsi" w:hAnsiTheme="minorHAnsi"/>
        </w:rPr>
        <w:t xml:space="preserve">The disability weight index provides weight according to the severity of the injury. C. Mathers, T. Vos, C. Stevenson “The Burden of Disease and Injury in Australia (1999) AIHW Canberra. For fire-related burns the disability weight is reported as 0.172. </w:t>
      </w:r>
    </w:p>
    <w:p w:rsidR="00EB19C9" w:rsidRPr="008C0FC9" w:rsidRDefault="00EB19C9" w:rsidP="00EB19C9">
      <w:pPr>
        <w:pStyle w:val="ListParagraph"/>
        <w:numPr>
          <w:ilvl w:val="0"/>
          <w:numId w:val="86"/>
        </w:numPr>
        <w:rPr>
          <w:rFonts w:asciiTheme="minorHAnsi" w:hAnsiTheme="minorHAnsi"/>
        </w:rPr>
      </w:pPr>
      <w:r w:rsidRPr="008C0FC9">
        <w:rPr>
          <w:rFonts w:asciiTheme="minorHAnsi" w:hAnsiTheme="minorHAnsi"/>
          <w:color w:val="002060"/>
        </w:rPr>
        <w:t>Health cost per injury:</w:t>
      </w:r>
      <w:r w:rsidRPr="008C0FC9">
        <w:rPr>
          <w:rFonts w:asciiTheme="minorHAnsi" w:hAnsiTheme="minorHAnsi"/>
        </w:rPr>
        <w:t xml:space="preserve"> Measures the amount the community is willing to pay to avoid an adverse health outcome. It is derived from the Quality of Adjusted Life Year (QALY) in Australia which is $151,000 (Abelson, 2007). Adjusted for 2016 prices, this amounts to $187,280.  Divided by the number of days in a year, a QALD is $513. Hence the cost of a moderate fire-related injury in terms of health costs is $513 x </w:t>
      </w:r>
      <w:r w:rsidR="00FA696F">
        <w:rPr>
          <w:rFonts w:asciiTheme="minorHAnsi" w:hAnsiTheme="minorHAnsi"/>
        </w:rPr>
        <w:t>365</w:t>
      </w:r>
      <w:r w:rsidR="00FA696F" w:rsidRPr="008C0FC9">
        <w:rPr>
          <w:rFonts w:asciiTheme="minorHAnsi" w:hAnsiTheme="minorHAnsi"/>
        </w:rPr>
        <w:t xml:space="preserve"> </w:t>
      </w:r>
      <w:r w:rsidRPr="008C0FC9">
        <w:rPr>
          <w:rFonts w:asciiTheme="minorHAnsi" w:hAnsiTheme="minorHAnsi"/>
        </w:rPr>
        <w:t>day</w:t>
      </w:r>
      <w:r w:rsidR="00FA696F">
        <w:rPr>
          <w:rFonts w:asciiTheme="minorHAnsi" w:hAnsiTheme="minorHAnsi"/>
        </w:rPr>
        <w:t>s</w:t>
      </w:r>
      <w:r w:rsidRPr="008C0FC9">
        <w:rPr>
          <w:rFonts w:asciiTheme="minorHAnsi" w:hAnsiTheme="minorHAnsi"/>
        </w:rPr>
        <w:t xml:space="preserve"> x 0.172 = $</w:t>
      </w:r>
      <w:r w:rsidR="00FA696F">
        <w:rPr>
          <w:rFonts w:asciiTheme="minorHAnsi" w:hAnsiTheme="minorHAnsi"/>
        </w:rPr>
        <w:t>32,212</w:t>
      </w:r>
      <w:r w:rsidRPr="008C0FC9">
        <w:rPr>
          <w:rFonts w:asciiTheme="minorHAnsi" w:hAnsiTheme="minorHAnsi"/>
        </w:rPr>
        <w:t xml:space="preserve">. </w:t>
      </w:r>
      <w:r w:rsidR="00FA696F">
        <w:rPr>
          <w:rFonts w:asciiTheme="minorHAnsi" w:hAnsiTheme="minorHAnsi"/>
        </w:rPr>
        <w:t xml:space="preserve">This analysis assumes that on-going health care is required for one year for moderate injuries and reoccurring for 20 years for severe injuries. </w:t>
      </w:r>
      <w:r w:rsidR="00AB1B82">
        <w:rPr>
          <w:rFonts w:asciiTheme="minorHAnsi" w:hAnsiTheme="minorHAnsi"/>
        </w:rPr>
        <w:t>T</w:t>
      </w:r>
      <w:r w:rsidR="00AB1B82" w:rsidRPr="005158BE">
        <w:rPr>
          <w:rFonts w:asciiTheme="minorHAnsi" w:hAnsiTheme="minorHAnsi"/>
        </w:rPr>
        <w:t xml:space="preserve">here </w:t>
      </w:r>
      <w:r w:rsidR="00AB1B82">
        <w:rPr>
          <w:rFonts w:asciiTheme="minorHAnsi" w:hAnsiTheme="minorHAnsi"/>
        </w:rPr>
        <w:t>is</w:t>
      </w:r>
      <w:r w:rsidR="00AB1B82" w:rsidRPr="005158BE">
        <w:rPr>
          <w:rFonts w:asciiTheme="minorHAnsi" w:hAnsiTheme="minorHAnsi"/>
        </w:rPr>
        <w:t xml:space="preserve"> little published evidence of</w:t>
      </w:r>
      <w:r w:rsidR="00AB1B82">
        <w:rPr>
          <w:rFonts w:asciiTheme="minorHAnsi" w:hAnsiTheme="minorHAnsi"/>
        </w:rPr>
        <w:t xml:space="preserve"> the need for </w:t>
      </w:r>
      <w:r w:rsidR="00AB1B82" w:rsidRPr="005158BE">
        <w:rPr>
          <w:rFonts w:asciiTheme="minorHAnsi" w:hAnsiTheme="minorHAnsi"/>
        </w:rPr>
        <w:t>ongoi</w:t>
      </w:r>
      <w:r w:rsidR="00AB1B82">
        <w:rPr>
          <w:rFonts w:asciiTheme="minorHAnsi" w:hAnsiTheme="minorHAnsi"/>
        </w:rPr>
        <w:t xml:space="preserve">ng care for minor and moderate burn injuries. Surveys </w:t>
      </w:r>
      <w:r w:rsidR="00AB1B82" w:rsidRPr="00397176">
        <w:rPr>
          <w:rFonts w:asciiTheme="minorHAnsi" w:hAnsiTheme="minorHAnsi"/>
        </w:rPr>
        <w:t xml:space="preserve">of burns on patients' physical and psychosocial life </w:t>
      </w:r>
      <w:r w:rsidR="00AB1B82">
        <w:rPr>
          <w:rFonts w:asciiTheme="minorHAnsi" w:hAnsiTheme="minorHAnsi"/>
        </w:rPr>
        <w:t xml:space="preserve">suggest the impact is </w:t>
      </w:r>
      <w:r w:rsidR="00AB1B82" w:rsidRPr="00397176">
        <w:rPr>
          <w:rFonts w:asciiTheme="minorHAnsi" w:hAnsiTheme="minorHAnsi"/>
        </w:rPr>
        <w:t>slight even with respect to severe injuries</w:t>
      </w:r>
      <w:r w:rsidR="00AB1B82">
        <w:rPr>
          <w:rFonts w:asciiTheme="minorHAnsi" w:hAnsiTheme="minorHAnsi"/>
        </w:rPr>
        <w:t>,</w:t>
      </w:r>
      <w:r w:rsidR="00AB1B82" w:rsidRPr="00397176">
        <w:rPr>
          <w:rStyle w:val="FootnoteReference"/>
        </w:rPr>
        <w:footnoteReference w:id="27"/>
      </w:r>
      <w:r w:rsidR="00F24B46">
        <w:rPr>
          <w:rFonts w:asciiTheme="minorHAnsi" w:hAnsiTheme="minorHAnsi"/>
        </w:rPr>
        <w:t xml:space="preserve"> however, this assumption recognises</w:t>
      </w:r>
      <w:r w:rsidR="00AB1B82">
        <w:rPr>
          <w:rFonts w:asciiTheme="minorHAnsi" w:hAnsiTheme="minorHAnsi"/>
        </w:rPr>
        <w:t xml:space="preserve"> there is a</w:t>
      </w:r>
      <w:r w:rsidR="00AB1B82" w:rsidRPr="005158BE">
        <w:rPr>
          <w:rFonts w:asciiTheme="minorHAnsi" w:hAnsiTheme="minorHAnsi"/>
        </w:rPr>
        <w:t xml:space="preserve"> greater risk of poor outcomes and</w:t>
      </w:r>
      <w:r w:rsidR="00AB1B82">
        <w:rPr>
          <w:rFonts w:asciiTheme="minorHAnsi" w:hAnsiTheme="minorHAnsi"/>
        </w:rPr>
        <w:t xml:space="preserve"> longer term rehabilitation</w:t>
      </w:r>
      <w:r w:rsidR="00F24B46">
        <w:rPr>
          <w:rFonts w:asciiTheme="minorHAnsi" w:hAnsiTheme="minorHAnsi"/>
        </w:rPr>
        <w:t xml:space="preserve"> at increased severity</w:t>
      </w:r>
      <w:r w:rsidR="00AB1B82">
        <w:rPr>
          <w:rFonts w:asciiTheme="minorHAnsi" w:hAnsiTheme="minorHAnsi"/>
        </w:rPr>
        <w:t>.</w:t>
      </w:r>
      <w:r w:rsidR="00AB1B82">
        <w:rPr>
          <w:rStyle w:val="FootnoteReference"/>
          <w:rFonts w:asciiTheme="minorHAnsi" w:hAnsiTheme="minorHAnsi"/>
        </w:rPr>
        <w:footnoteReference w:id="28"/>
      </w:r>
    </w:p>
    <w:p w:rsidR="00EB19C9" w:rsidRPr="00FE521C" w:rsidRDefault="00EB19C9" w:rsidP="00FE521C">
      <w:pPr>
        <w:pStyle w:val="ListParagraph"/>
        <w:numPr>
          <w:ilvl w:val="0"/>
          <w:numId w:val="86"/>
        </w:numPr>
        <w:rPr>
          <w:rFonts w:asciiTheme="minorHAnsi" w:hAnsiTheme="minorHAnsi"/>
        </w:rPr>
      </w:pPr>
      <w:r w:rsidRPr="00FE521C">
        <w:rPr>
          <w:rFonts w:asciiTheme="minorHAnsi" w:hAnsiTheme="minorHAnsi"/>
          <w:color w:val="002060"/>
        </w:rPr>
        <w:t>Medical cost per injury:</w:t>
      </w:r>
      <w:r w:rsidRPr="00FE521C">
        <w:rPr>
          <w:rFonts w:asciiTheme="minorHAnsi" w:hAnsiTheme="minorHAnsi"/>
        </w:rPr>
        <w:t xml:space="preserve"> Medical costs have been estimated using the National Hospital Cost Data Collection Report (2016) prepared by the Independent Hospital Pricing Authority (IHPA). The average cost per night was $1</w:t>
      </w:r>
      <w:r w:rsidR="00FE521C">
        <w:rPr>
          <w:rFonts w:asciiTheme="minorHAnsi" w:hAnsiTheme="minorHAnsi"/>
        </w:rPr>
        <w:t>,</w:t>
      </w:r>
      <w:r w:rsidRPr="00FE521C">
        <w:rPr>
          <w:rFonts w:asciiTheme="minorHAnsi" w:hAnsiTheme="minorHAnsi"/>
        </w:rPr>
        <w:t>900 in the 2014-2015 year. This cost has been multiplied by the length of stay based on the severity of the burn, e.g. the medical cost associated with a moderate burn is estimated to be $1,900 x 7 days = $13,300.</w:t>
      </w:r>
      <w:r w:rsidR="00FE521C">
        <w:rPr>
          <w:rFonts w:asciiTheme="minorHAnsi" w:hAnsiTheme="minorHAnsi"/>
        </w:rPr>
        <w:t xml:space="preserve"> </w:t>
      </w:r>
      <w:r w:rsidRPr="00FE521C">
        <w:rPr>
          <w:rFonts w:asciiTheme="minorHAnsi" w:hAnsiTheme="minorHAnsi"/>
        </w:rPr>
        <w:t xml:space="preserve">In line with the estimated impact of the NCC on all building stock, the change would impact an </w:t>
      </w:r>
      <w:r w:rsidRPr="00FE521C">
        <w:rPr>
          <w:rFonts w:asciiTheme="minorHAnsi" w:eastAsiaTheme="minorEastAsia" w:hAnsiTheme="minorHAnsi"/>
        </w:rPr>
        <w:t>estimated 2%</w:t>
      </w:r>
      <w:r w:rsidRPr="00FE521C">
        <w:rPr>
          <w:rFonts w:asciiTheme="minorHAnsi" w:hAnsiTheme="minorHAnsi"/>
        </w:rPr>
        <w:t xml:space="preserve"> of buildings.</w:t>
      </w:r>
      <w:r w:rsidRPr="00FE521C">
        <w:rPr>
          <w:rFonts w:asciiTheme="minorHAnsi" w:eastAsiaTheme="minorEastAsia" w:hAnsiTheme="minorHAnsi"/>
        </w:rPr>
        <w:t xml:space="preserve"> Assuming the same rate of effectiveness in reducing injuries as that of fatalities, </w:t>
      </w:r>
      <w:r w:rsidRPr="00FE521C">
        <w:rPr>
          <w:rFonts w:asciiTheme="minorHAnsi" w:hAnsiTheme="minorHAnsi"/>
        </w:rPr>
        <w:t xml:space="preserve">the total avoided injury cost is calculated to be </w:t>
      </w:r>
      <w:r w:rsidR="00DF358A" w:rsidRPr="00FE521C">
        <w:rPr>
          <w:rFonts w:asciiTheme="minorHAnsi" w:hAnsiTheme="minorHAnsi"/>
        </w:rPr>
        <w:t>$</w:t>
      </w:r>
      <w:r w:rsidR="00AB1B82" w:rsidRPr="00FE521C">
        <w:rPr>
          <w:rFonts w:asciiTheme="minorHAnsi" w:hAnsiTheme="minorHAnsi"/>
        </w:rPr>
        <w:t>14,596,674</w:t>
      </w:r>
      <w:r w:rsidRPr="00FE521C">
        <w:rPr>
          <w:rFonts w:asciiTheme="minorHAnsi" w:hAnsiTheme="minorHAnsi"/>
        </w:rPr>
        <w:t xml:space="preserve"> for the AS 2118.1 and FPAA 101H systems and </w:t>
      </w:r>
      <w:r w:rsidR="00DF358A" w:rsidRPr="00FE521C">
        <w:rPr>
          <w:rFonts w:asciiTheme="minorHAnsi" w:hAnsiTheme="minorHAnsi"/>
        </w:rPr>
        <w:t>$</w:t>
      </w:r>
      <w:r w:rsidR="00AB1B82" w:rsidRPr="00FE521C">
        <w:rPr>
          <w:rFonts w:asciiTheme="minorHAnsi" w:hAnsiTheme="minorHAnsi"/>
        </w:rPr>
        <w:t>13,583,016</w:t>
      </w:r>
      <w:r w:rsidR="00DF358A" w:rsidRPr="00FE521C">
        <w:rPr>
          <w:rFonts w:asciiTheme="minorHAnsi" w:hAnsiTheme="minorHAnsi"/>
        </w:rPr>
        <w:t xml:space="preserve"> </w:t>
      </w:r>
      <w:r w:rsidRPr="00FE521C">
        <w:rPr>
          <w:rFonts w:asciiTheme="minorHAnsi" w:hAnsiTheme="minorHAnsi"/>
        </w:rPr>
        <w:t>for the FPAA 101D system in Present Value terms under Option 1.</w:t>
      </w:r>
      <w:r>
        <w:rPr>
          <w:rStyle w:val="FootnoteReference"/>
        </w:rPr>
        <w:footnoteReference w:id="29"/>
      </w:r>
      <w:r w:rsidRPr="00FE521C">
        <w:rPr>
          <w:rFonts w:asciiTheme="minorHAnsi" w:hAnsiTheme="minorHAnsi"/>
        </w:rPr>
        <w:t xml:space="preserve"> That is </w:t>
      </w:r>
      <w:r w:rsidRPr="00FE521C">
        <w:rPr>
          <w:rFonts w:asciiTheme="minorHAnsi" w:hAnsiTheme="minorHAnsi"/>
        </w:rPr>
        <w:lastRenderedPageBreak/>
        <w:t>72% and 67% (respective effectiveness) of 47% (percentage of DtS solutions) of 2% (impact of new buildings) of $</w:t>
      </w:r>
      <w:r w:rsidR="00AB1B82" w:rsidRPr="00FE521C">
        <w:rPr>
          <w:rFonts w:asciiTheme="minorHAnsi" w:hAnsiTheme="minorHAnsi"/>
        </w:rPr>
        <w:t>20,117,849</w:t>
      </w:r>
      <w:r w:rsidRPr="00FE521C">
        <w:rPr>
          <w:rFonts w:asciiTheme="minorHAnsi" w:hAnsiTheme="minorHAnsi"/>
        </w:rPr>
        <w:t xml:space="preserve"> (total cost of injuries) each year. </w:t>
      </w:r>
    </w:p>
    <w:tbl>
      <w:tblPr>
        <w:tblStyle w:val="TableGrid"/>
        <w:tblW w:w="0" w:type="auto"/>
        <w:tblBorders>
          <w:insideH w:val="none" w:sz="0" w:space="0" w:color="auto"/>
          <w:insideV w:val="none" w:sz="0" w:space="0" w:color="auto"/>
        </w:tblBorders>
        <w:tblLook w:val="04A0" w:firstRow="1" w:lastRow="0" w:firstColumn="1" w:lastColumn="0" w:noHBand="0" w:noVBand="1"/>
        <w:tblCaption w:val="Table containing consultation question"/>
      </w:tblPr>
      <w:tblGrid>
        <w:gridCol w:w="9016"/>
      </w:tblGrid>
      <w:tr w:rsidR="00EB19C9" w:rsidTr="00EB19C9">
        <w:trPr>
          <w:tblHeader/>
        </w:trPr>
        <w:tc>
          <w:tcPr>
            <w:tcW w:w="9016" w:type="dxa"/>
            <w:shd w:val="clear" w:color="auto" w:fill="BFBFBF" w:themeFill="background1" w:themeFillShade="BF"/>
          </w:tcPr>
          <w:p w:rsidR="00EB19C9" w:rsidRPr="008C0FC9" w:rsidRDefault="00EB19C9" w:rsidP="00EB19C9">
            <w:pPr>
              <w:rPr>
                <w:sz w:val="24"/>
                <w:szCs w:val="24"/>
              </w:rPr>
            </w:pPr>
            <w:r w:rsidRPr="008401C5">
              <w:rPr>
                <w:rFonts w:asciiTheme="minorHAnsi" w:hAnsiTheme="minorHAnsi"/>
              </w:rPr>
              <w:t xml:space="preserve">The Consultation RIS asked </w:t>
            </w:r>
            <w:r>
              <w:rPr>
                <w:rFonts w:asciiTheme="minorHAnsi" w:hAnsiTheme="minorHAnsi"/>
              </w:rPr>
              <w:t>s</w:t>
            </w:r>
            <w:r w:rsidRPr="003A04E8">
              <w:rPr>
                <w:rFonts w:asciiTheme="minorHAnsi" w:hAnsiTheme="minorHAnsi"/>
              </w:rPr>
              <w:t>takeholders whether they had any other information on injuries.</w:t>
            </w:r>
            <w:r>
              <w:rPr>
                <w:rFonts w:asciiTheme="majorHAnsi" w:eastAsiaTheme="majorEastAsia" w:hAnsiTheme="majorHAnsi" w:cstheme="majorBidi"/>
                <w:b/>
                <w:bCs/>
                <w:color w:val="002060"/>
                <w:sz w:val="24"/>
                <w:szCs w:val="24"/>
              </w:rPr>
              <w:t xml:space="preserve"> </w:t>
            </w:r>
          </w:p>
        </w:tc>
      </w:tr>
    </w:tbl>
    <w:p w:rsidR="00EB19C9" w:rsidRPr="00B52900" w:rsidRDefault="00EB19C9" w:rsidP="00EB19C9">
      <w:pPr>
        <w:spacing w:before="240"/>
        <w:rPr>
          <w:rFonts w:asciiTheme="minorHAnsi" w:hAnsiTheme="minorHAnsi"/>
        </w:rPr>
      </w:pPr>
      <w:r>
        <w:rPr>
          <w:rFonts w:asciiTheme="minorHAnsi" w:hAnsiTheme="minorHAnsi"/>
        </w:rPr>
        <w:t>There was broad support for the information relied upon by the Consultation RIS from those who responded to this question.</w:t>
      </w:r>
    </w:p>
    <w:p w:rsidR="00EB19C9" w:rsidRPr="000C58C8" w:rsidRDefault="00EB19C9" w:rsidP="00EB19C9">
      <w:pPr>
        <w:pStyle w:val="Heading2"/>
      </w:pPr>
      <w:r w:rsidRPr="000C58C8">
        <w:t xml:space="preserve">Avoided Property Loss </w:t>
      </w:r>
    </w:p>
    <w:p w:rsidR="00EB19C9" w:rsidRDefault="00EB19C9" w:rsidP="00EB19C9">
      <w:pPr>
        <w:rPr>
          <w:rFonts w:asciiTheme="minorHAnsi" w:hAnsiTheme="minorHAnsi"/>
        </w:rPr>
      </w:pPr>
      <w:r w:rsidRPr="004639DE">
        <w:rPr>
          <w:rFonts w:asciiTheme="minorHAnsi" w:hAnsiTheme="minorHAnsi"/>
        </w:rPr>
        <w:t>There are some difficulties associated with quantifying property damag</w:t>
      </w:r>
      <w:r>
        <w:rPr>
          <w:rFonts w:asciiTheme="minorHAnsi" w:hAnsiTheme="minorHAnsi"/>
        </w:rPr>
        <w:t>e</w:t>
      </w:r>
      <w:r w:rsidRPr="004639DE">
        <w:rPr>
          <w:rFonts w:asciiTheme="minorHAnsi" w:hAnsiTheme="minorHAnsi"/>
        </w:rPr>
        <w:t xml:space="preserve"> arising from fire</w:t>
      </w:r>
      <w:r>
        <w:rPr>
          <w:rFonts w:asciiTheme="minorHAnsi" w:hAnsiTheme="minorHAnsi"/>
        </w:rPr>
        <w:t>-</w:t>
      </w:r>
      <w:r w:rsidRPr="004639DE">
        <w:rPr>
          <w:rFonts w:asciiTheme="minorHAnsi" w:hAnsiTheme="minorHAnsi"/>
        </w:rPr>
        <w:t>related incidents. Fires may not be reported and homes may not be insured, in which case the property damage is not recorded for statistical purposes. Smoke and fire</w:t>
      </w:r>
      <w:r>
        <w:rPr>
          <w:rFonts w:asciiTheme="minorHAnsi" w:hAnsiTheme="minorHAnsi"/>
        </w:rPr>
        <w:t>-</w:t>
      </w:r>
      <w:r w:rsidRPr="004639DE">
        <w:rPr>
          <w:rFonts w:asciiTheme="minorHAnsi" w:hAnsiTheme="minorHAnsi"/>
        </w:rPr>
        <w:t xml:space="preserve">related damage can also result in loss of personal possessions, essential documents and valuables that resist </w:t>
      </w:r>
      <w:r>
        <w:rPr>
          <w:rFonts w:asciiTheme="minorHAnsi" w:hAnsiTheme="minorHAnsi"/>
        </w:rPr>
        <w:t>complete quantification.</w:t>
      </w:r>
    </w:p>
    <w:tbl>
      <w:tblPr>
        <w:tblStyle w:val="TableGrid"/>
        <w:tblW w:w="0" w:type="auto"/>
        <w:shd w:val="clear" w:color="auto" w:fill="BFBFBF" w:themeFill="background1" w:themeFillShade="BF"/>
        <w:tblLook w:val="04A0" w:firstRow="1" w:lastRow="0" w:firstColumn="1" w:lastColumn="0" w:noHBand="0" w:noVBand="1"/>
        <w:tblCaption w:val="Table containing consultation question"/>
      </w:tblPr>
      <w:tblGrid>
        <w:gridCol w:w="9016"/>
      </w:tblGrid>
      <w:tr w:rsidR="00EB19C9" w:rsidTr="00EB19C9">
        <w:trPr>
          <w:tblHeader/>
        </w:trPr>
        <w:tc>
          <w:tcPr>
            <w:tcW w:w="9016" w:type="dxa"/>
            <w:shd w:val="clear" w:color="auto" w:fill="BFBFBF" w:themeFill="background1" w:themeFillShade="BF"/>
          </w:tcPr>
          <w:p w:rsidR="00EB19C9" w:rsidRPr="00393409" w:rsidRDefault="00EB19C9" w:rsidP="00EB19C9">
            <w:pPr>
              <w:rPr>
                <w:rFonts w:asciiTheme="majorHAnsi" w:eastAsia="Times New Roman" w:hAnsiTheme="majorHAnsi" w:cs="Times New Roman"/>
                <w:b/>
                <w:color w:val="002060"/>
                <w:sz w:val="24"/>
                <w:szCs w:val="24"/>
              </w:rPr>
            </w:pPr>
            <w:r w:rsidRPr="004A021F">
              <w:rPr>
                <w:rFonts w:asciiTheme="minorHAnsi" w:hAnsiTheme="minorHAnsi"/>
              </w:rPr>
              <w:t>The Consultation RIS asked stakeholders whether they agreed with the information on property loss and whether they agreed that the effectiveness of</w:t>
            </w:r>
            <w:r w:rsidR="00B6645B">
              <w:rPr>
                <w:rFonts w:asciiTheme="minorHAnsi" w:hAnsiTheme="minorHAnsi"/>
              </w:rPr>
              <w:t xml:space="preserve"> fire</w:t>
            </w:r>
            <w:r w:rsidRPr="004A021F">
              <w:rPr>
                <w:rFonts w:asciiTheme="minorHAnsi" w:hAnsiTheme="minorHAnsi"/>
              </w:rPr>
              <w:t xml:space="preserve"> sprinklers in reducin</w:t>
            </w:r>
            <w:r>
              <w:rPr>
                <w:rFonts w:asciiTheme="minorHAnsi" w:hAnsiTheme="minorHAnsi"/>
              </w:rPr>
              <w:t>g damage would be the same as th</w:t>
            </w:r>
            <w:r w:rsidRPr="004A021F">
              <w:rPr>
                <w:rFonts w:asciiTheme="minorHAnsi" w:hAnsiTheme="minorHAnsi"/>
              </w:rPr>
              <w:t>e rate in reducing injuries and fatalities.</w:t>
            </w:r>
          </w:p>
        </w:tc>
      </w:tr>
    </w:tbl>
    <w:p w:rsidR="00EB19C9" w:rsidRPr="005901CA" w:rsidRDefault="00EB19C9" w:rsidP="00EB19C9">
      <w:pPr>
        <w:spacing w:before="240"/>
        <w:rPr>
          <w:rFonts w:asciiTheme="minorHAnsi" w:hAnsiTheme="minorHAnsi"/>
        </w:rPr>
      </w:pPr>
      <w:r w:rsidRPr="004310FF">
        <w:rPr>
          <w:rFonts w:asciiTheme="minorHAnsi" w:hAnsiTheme="minorHAnsi"/>
        </w:rPr>
        <w:t>Two stakeholders suggested that</w:t>
      </w:r>
      <w:r>
        <w:rPr>
          <w:rFonts w:asciiTheme="minorHAnsi" w:hAnsiTheme="minorHAnsi"/>
        </w:rPr>
        <w:t xml:space="preserve"> the options would not be as effective at reducing property loss</w:t>
      </w:r>
      <w:r w:rsidR="007D469F">
        <w:rPr>
          <w:rFonts w:asciiTheme="minorHAnsi" w:hAnsiTheme="minorHAnsi"/>
        </w:rPr>
        <w:t>,</w:t>
      </w:r>
      <w:r>
        <w:rPr>
          <w:rFonts w:asciiTheme="minorHAnsi" w:hAnsiTheme="minorHAnsi"/>
        </w:rPr>
        <w:t xml:space="preserve"> citing that </w:t>
      </w:r>
      <w:r w:rsidR="00B6645B">
        <w:rPr>
          <w:rFonts w:asciiTheme="minorHAnsi" w:hAnsiTheme="minorHAnsi"/>
        </w:rPr>
        <w:t xml:space="preserve">fire </w:t>
      </w:r>
      <w:r w:rsidRPr="005901CA">
        <w:rPr>
          <w:rFonts w:asciiTheme="minorHAnsi" w:hAnsiTheme="minorHAnsi"/>
        </w:rPr>
        <w:t>sprinklers wer</w:t>
      </w:r>
      <w:r w:rsidR="00FA713B">
        <w:rPr>
          <w:rFonts w:asciiTheme="minorHAnsi" w:hAnsiTheme="minorHAnsi"/>
        </w:rPr>
        <w:t>e not loss prevention features.</w:t>
      </w:r>
      <w:r w:rsidRPr="005901CA">
        <w:rPr>
          <w:rFonts w:asciiTheme="minorHAnsi" w:hAnsiTheme="minorHAnsi"/>
        </w:rPr>
        <w:t xml:space="preserve"> One </w:t>
      </w:r>
      <w:r w:rsidRPr="004310FF">
        <w:rPr>
          <w:rFonts w:asciiTheme="minorHAnsi" w:hAnsiTheme="minorHAnsi"/>
        </w:rPr>
        <w:t>further stakeholder added that any additional costs in construction should be</w:t>
      </w:r>
      <w:r>
        <w:rPr>
          <w:rFonts w:asciiTheme="minorHAnsi" w:hAnsiTheme="minorHAnsi"/>
        </w:rPr>
        <w:t xml:space="preserve"> aimed at</w:t>
      </w:r>
      <w:r w:rsidRPr="004310FF">
        <w:rPr>
          <w:rFonts w:asciiTheme="minorHAnsi" w:hAnsiTheme="minorHAnsi"/>
        </w:rPr>
        <w:t xml:space="preserve"> reduc</w:t>
      </w:r>
      <w:r>
        <w:rPr>
          <w:rFonts w:asciiTheme="minorHAnsi" w:hAnsiTheme="minorHAnsi"/>
        </w:rPr>
        <w:t xml:space="preserve">ing </w:t>
      </w:r>
      <w:r w:rsidRPr="004310FF">
        <w:rPr>
          <w:rFonts w:asciiTheme="minorHAnsi" w:hAnsiTheme="minorHAnsi"/>
        </w:rPr>
        <w:t>fatalities and injuries</w:t>
      </w:r>
      <w:r w:rsidR="00C56F0C">
        <w:rPr>
          <w:rFonts w:asciiTheme="minorHAnsi" w:hAnsiTheme="minorHAnsi"/>
        </w:rPr>
        <w:t>,</w:t>
      </w:r>
      <w:r w:rsidR="00FA713B">
        <w:rPr>
          <w:rFonts w:asciiTheme="minorHAnsi" w:hAnsiTheme="minorHAnsi"/>
        </w:rPr>
        <w:t xml:space="preserve"> and not protecting property.</w:t>
      </w:r>
      <w:r w:rsidRPr="004310FF">
        <w:rPr>
          <w:rFonts w:asciiTheme="minorHAnsi" w:hAnsiTheme="minorHAnsi"/>
        </w:rPr>
        <w:t xml:space="preserve"> </w:t>
      </w:r>
      <w:r>
        <w:rPr>
          <w:rFonts w:asciiTheme="minorHAnsi" w:hAnsiTheme="minorHAnsi"/>
          <w:bCs/>
        </w:rPr>
        <w:t xml:space="preserve">It is acknowledged that there may be a proportion of fires </w:t>
      </w:r>
      <w:r w:rsidR="00C56F0C">
        <w:rPr>
          <w:rFonts w:asciiTheme="minorHAnsi" w:hAnsiTheme="minorHAnsi"/>
          <w:bCs/>
        </w:rPr>
        <w:t>where</w:t>
      </w:r>
      <w:r>
        <w:rPr>
          <w:rFonts w:asciiTheme="minorHAnsi" w:hAnsiTheme="minorHAnsi"/>
          <w:bCs/>
        </w:rPr>
        <w:t xml:space="preserve"> </w:t>
      </w:r>
      <w:r w:rsidR="00B6645B">
        <w:rPr>
          <w:rFonts w:asciiTheme="minorHAnsi" w:hAnsiTheme="minorHAnsi"/>
          <w:bCs/>
        </w:rPr>
        <w:t xml:space="preserve">fire </w:t>
      </w:r>
      <w:r>
        <w:rPr>
          <w:rFonts w:asciiTheme="minorHAnsi" w:hAnsiTheme="minorHAnsi"/>
          <w:bCs/>
        </w:rPr>
        <w:t xml:space="preserve">sprinklers do not mitigate damage (e.g. smouldering fires) and some damage </w:t>
      </w:r>
      <w:r w:rsidR="00F23059">
        <w:rPr>
          <w:rFonts w:asciiTheme="minorHAnsi" w:hAnsiTheme="minorHAnsi"/>
          <w:bCs/>
        </w:rPr>
        <w:t xml:space="preserve">can be </w:t>
      </w:r>
      <w:r>
        <w:rPr>
          <w:rFonts w:asciiTheme="minorHAnsi" w:hAnsiTheme="minorHAnsi"/>
          <w:bCs/>
        </w:rPr>
        <w:t xml:space="preserve">associated with </w:t>
      </w:r>
      <w:r w:rsidR="00F23059">
        <w:rPr>
          <w:rFonts w:asciiTheme="minorHAnsi" w:hAnsiTheme="minorHAnsi"/>
          <w:bCs/>
        </w:rPr>
        <w:t>a sprinkler’s a</w:t>
      </w:r>
      <w:r>
        <w:rPr>
          <w:rFonts w:asciiTheme="minorHAnsi" w:hAnsiTheme="minorHAnsi"/>
          <w:bCs/>
        </w:rPr>
        <w:t>ctivation</w:t>
      </w:r>
      <w:r w:rsidR="00C56F0C">
        <w:rPr>
          <w:rFonts w:asciiTheme="minorHAnsi" w:hAnsiTheme="minorHAnsi"/>
          <w:bCs/>
        </w:rPr>
        <w:t>, again noting that property protection is not the primary objective of this exercise</w:t>
      </w:r>
      <w:r>
        <w:rPr>
          <w:rFonts w:asciiTheme="minorHAnsi" w:hAnsiTheme="minorHAnsi"/>
          <w:bCs/>
        </w:rPr>
        <w:t>.</w:t>
      </w:r>
    </w:p>
    <w:p w:rsidR="00D41BA4" w:rsidRDefault="00EB19C9" w:rsidP="00EB19C9">
      <w:pPr>
        <w:rPr>
          <w:rFonts w:asciiTheme="minorHAnsi" w:hAnsiTheme="minorHAnsi"/>
          <w:bCs/>
        </w:rPr>
      </w:pPr>
      <w:r>
        <w:rPr>
          <w:rFonts w:asciiTheme="minorHAnsi" w:hAnsiTheme="minorHAnsi"/>
          <w:bCs/>
        </w:rPr>
        <w:t>In 2017, a contemporary analysis by the</w:t>
      </w:r>
      <w:r w:rsidR="00FE27DD">
        <w:rPr>
          <w:rFonts w:asciiTheme="minorHAnsi" w:hAnsiTheme="minorHAnsi"/>
          <w:bCs/>
        </w:rPr>
        <w:t xml:space="preserve"> U.S</w:t>
      </w:r>
      <w:r>
        <w:rPr>
          <w:rFonts w:asciiTheme="minorHAnsi" w:hAnsiTheme="minorHAnsi"/>
          <w:bCs/>
        </w:rPr>
        <w:t xml:space="preserve"> National Fire Protection Association (NFPA) into the effects of fire sprinklers reducing property loss</w:t>
      </w:r>
      <w:r w:rsidR="007D469F">
        <w:rPr>
          <w:rFonts w:asciiTheme="minorHAnsi" w:hAnsiTheme="minorHAnsi"/>
          <w:bCs/>
        </w:rPr>
        <w:t xml:space="preserve"> revealed that of 356,000 fires</w:t>
      </w:r>
      <w:r>
        <w:rPr>
          <w:rFonts w:asciiTheme="minorHAnsi" w:hAnsiTheme="minorHAnsi"/>
          <w:bCs/>
        </w:rPr>
        <w:t xml:space="preserve"> that occurred between 2010 and 2014, average losses reduced from $19,301 per fire to $8,100 where fire sprinklers were present</w:t>
      </w:r>
      <w:r>
        <w:rPr>
          <w:rStyle w:val="FootnoteReference"/>
          <w:rFonts w:asciiTheme="minorHAnsi" w:hAnsiTheme="minorHAnsi"/>
          <w:bCs/>
        </w:rPr>
        <w:footnoteReference w:id="30"/>
      </w:r>
      <w:r>
        <w:rPr>
          <w:rFonts w:asciiTheme="minorHAnsi" w:hAnsiTheme="minorHAnsi"/>
          <w:bCs/>
        </w:rPr>
        <w:t xml:space="preserve">. </w:t>
      </w:r>
    </w:p>
    <w:p w:rsidR="00EB19C9" w:rsidRDefault="00EB19C9" w:rsidP="00EB19C9">
      <w:pPr>
        <w:rPr>
          <w:rFonts w:asciiTheme="minorHAnsi" w:hAnsiTheme="minorHAnsi"/>
          <w:bCs/>
        </w:rPr>
      </w:pPr>
      <w:r>
        <w:rPr>
          <w:rFonts w:asciiTheme="minorHAnsi" w:hAnsiTheme="minorHAnsi"/>
          <w:bCs/>
        </w:rPr>
        <w:t>This equates to a 58% reduction in property loss where fire sprinklers were installed. As these figures include single dwellings with less fire resistance than that of apartments, damage under the non-sprinkler protected scenario has the potential to b</w:t>
      </w:r>
      <w:r w:rsidR="00FA713B">
        <w:rPr>
          <w:rFonts w:asciiTheme="minorHAnsi" w:hAnsiTheme="minorHAnsi"/>
          <w:bCs/>
        </w:rPr>
        <w:t xml:space="preserve">e a non-conservative estimate. </w:t>
      </w:r>
      <w:r>
        <w:rPr>
          <w:rFonts w:asciiTheme="minorHAnsi" w:hAnsiTheme="minorHAnsi"/>
          <w:bCs/>
        </w:rPr>
        <w:t>Another study into the impacts of the Fire Code Reform Centre in 2001 published analysis of U</w:t>
      </w:r>
      <w:r w:rsidR="007D469F">
        <w:rPr>
          <w:rFonts w:asciiTheme="minorHAnsi" w:hAnsiTheme="minorHAnsi"/>
          <w:bCs/>
        </w:rPr>
        <w:t>.</w:t>
      </w:r>
      <w:r>
        <w:rPr>
          <w:rFonts w:asciiTheme="minorHAnsi" w:hAnsiTheme="minorHAnsi"/>
          <w:bCs/>
        </w:rPr>
        <w:t>S statistics on the cost of property loss arising from fire where a sprinkler system was present in residential apartments (Class 2) and hotels/motels (Class 3).</w:t>
      </w:r>
      <w:r>
        <w:rPr>
          <w:rStyle w:val="FootnoteReference"/>
          <w:rFonts w:asciiTheme="minorHAnsi" w:hAnsiTheme="minorHAnsi"/>
          <w:bCs/>
        </w:rPr>
        <w:footnoteReference w:id="31"/>
      </w:r>
      <w:r>
        <w:rPr>
          <w:rFonts w:asciiTheme="minorHAnsi" w:hAnsiTheme="minorHAnsi"/>
          <w:bCs/>
        </w:rPr>
        <w:t xml:space="preserve"> This study found that property loss from fires in apartments and hotels/motels was on average reduced by 47% and 62% respectively.</w:t>
      </w:r>
    </w:p>
    <w:p w:rsidR="00B6645B" w:rsidRDefault="00EB19C9" w:rsidP="00EB19C9">
      <w:pPr>
        <w:rPr>
          <w:rFonts w:asciiTheme="minorHAnsi" w:hAnsiTheme="minorHAnsi"/>
          <w:iCs/>
          <w:color w:val="002060"/>
          <w:sz w:val="24"/>
          <w:szCs w:val="24"/>
        </w:rPr>
      </w:pPr>
      <w:r>
        <w:rPr>
          <w:rFonts w:asciiTheme="minorHAnsi" w:hAnsiTheme="minorHAnsi"/>
          <w:bCs/>
        </w:rPr>
        <w:t>This Final RIS uses a 58% reduction of property loss as a central case acknowledging this would be an upper bound estimate of the likely benefits.</w:t>
      </w:r>
      <w:r>
        <w:rPr>
          <w:rFonts w:asciiTheme="minorHAnsi" w:hAnsiTheme="minorHAnsi"/>
        </w:rPr>
        <w:t xml:space="preserve"> The expected annual avoidable costs from installing </w:t>
      </w:r>
      <w:r w:rsidR="00B6645B">
        <w:rPr>
          <w:rFonts w:asciiTheme="minorHAnsi" w:hAnsiTheme="minorHAnsi"/>
        </w:rPr>
        <w:t xml:space="preserve">fire </w:t>
      </w:r>
      <w:r>
        <w:rPr>
          <w:rFonts w:asciiTheme="minorHAnsi" w:hAnsiTheme="minorHAnsi"/>
        </w:rPr>
        <w:t xml:space="preserve">sprinklers is shown in Table </w:t>
      </w:r>
      <w:r w:rsidR="00515D2C">
        <w:rPr>
          <w:rFonts w:asciiTheme="minorHAnsi" w:hAnsiTheme="minorHAnsi"/>
        </w:rPr>
        <w:t>18</w:t>
      </w:r>
      <w:r>
        <w:rPr>
          <w:rFonts w:asciiTheme="minorHAnsi" w:hAnsiTheme="minorHAnsi"/>
        </w:rPr>
        <w:t>.</w:t>
      </w:r>
      <w:r>
        <w:rPr>
          <w:rFonts w:asciiTheme="minorHAnsi" w:hAnsiTheme="minorHAnsi"/>
          <w:iCs/>
          <w:color w:val="002060"/>
          <w:sz w:val="24"/>
          <w:szCs w:val="24"/>
        </w:rPr>
        <w:t xml:space="preserve"> </w:t>
      </w:r>
    </w:p>
    <w:p w:rsidR="00EB19C9" w:rsidRDefault="00B6645B" w:rsidP="00EB19C9">
      <w:pPr>
        <w:rPr>
          <w:rFonts w:asciiTheme="minorHAnsi" w:hAnsiTheme="minorHAnsi"/>
          <w:iCs/>
          <w:color w:val="002060"/>
          <w:sz w:val="24"/>
          <w:szCs w:val="24"/>
        </w:rPr>
      </w:pPr>
      <w:r>
        <w:rPr>
          <w:rFonts w:asciiTheme="minorHAnsi" w:hAnsiTheme="minorHAnsi"/>
          <w:iCs/>
          <w:color w:val="002060"/>
          <w:sz w:val="24"/>
          <w:szCs w:val="24"/>
        </w:rPr>
        <w:br w:type="page"/>
      </w:r>
    </w:p>
    <w:p w:rsidR="00EB19C9" w:rsidRPr="006D08AA" w:rsidRDefault="00EB19C9" w:rsidP="00EB19C9">
      <w:pPr>
        <w:spacing w:after="160" w:line="259" w:lineRule="auto"/>
        <w:jc w:val="center"/>
        <w:rPr>
          <w:rFonts w:asciiTheme="minorHAnsi" w:hAnsiTheme="minorHAnsi"/>
          <w:iCs/>
          <w:color w:val="002060"/>
          <w:sz w:val="24"/>
          <w:szCs w:val="24"/>
        </w:rPr>
      </w:pPr>
      <w:r w:rsidRPr="007575C4">
        <w:rPr>
          <w:rFonts w:asciiTheme="minorHAnsi" w:hAnsiTheme="minorHAnsi"/>
          <w:iCs/>
          <w:color w:val="002060"/>
          <w:sz w:val="24"/>
          <w:szCs w:val="24"/>
        </w:rPr>
        <w:lastRenderedPageBreak/>
        <w:t xml:space="preserve">Table </w:t>
      </w:r>
      <w:r w:rsidR="008A7DC4">
        <w:rPr>
          <w:rFonts w:asciiTheme="minorHAnsi" w:hAnsiTheme="minorHAnsi"/>
          <w:iCs/>
          <w:color w:val="002060"/>
          <w:sz w:val="24"/>
          <w:szCs w:val="24"/>
        </w:rPr>
        <w:t>18</w:t>
      </w:r>
      <w:r w:rsidRPr="007575C4">
        <w:rPr>
          <w:rFonts w:asciiTheme="minorHAnsi" w:hAnsiTheme="minorHAnsi"/>
          <w:iCs/>
          <w:color w:val="002060"/>
          <w:sz w:val="24"/>
          <w:szCs w:val="24"/>
        </w:rPr>
        <w:t xml:space="preserve">: Total cost of </w:t>
      </w:r>
      <w:r>
        <w:rPr>
          <w:rFonts w:asciiTheme="minorHAnsi" w:hAnsiTheme="minorHAnsi"/>
          <w:iCs/>
          <w:color w:val="002060"/>
          <w:sz w:val="24"/>
          <w:szCs w:val="24"/>
        </w:rPr>
        <w:t>fire-related property damage each year</w:t>
      </w:r>
    </w:p>
    <w:tbl>
      <w:tblPr>
        <w:tblW w:w="8926" w:type="dxa"/>
        <w:tblLook w:val="0480" w:firstRow="0" w:lastRow="0" w:firstColumn="1" w:lastColumn="0" w:noHBand="0" w:noVBand="1"/>
      </w:tblPr>
      <w:tblGrid>
        <w:gridCol w:w="1271"/>
        <w:gridCol w:w="1985"/>
        <w:gridCol w:w="1842"/>
        <w:gridCol w:w="1701"/>
        <w:gridCol w:w="2127"/>
      </w:tblGrid>
      <w:tr w:rsidR="00EB19C9" w:rsidRPr="00390F9A" w:rsidTr="00EB19C9">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FFFFFF"/>
                <w:lang w:eastAsia="en-AU"/>
              </w:rPr>
            </w:pPr>
            <w:r w:rsidRPr="00390F9A">
              <w:rPr>
                <w:rFonts w:ascii="Calibri" w:eastAsia="Times New Roman" w:hAnsi="Calibri" w:cs="Times New Roman"/>
                <w:color w:val="FFFFFF"/>
                <w:lang w:eastAsia="en-AU"/>
              </w:rPr>
              <w:t>State</w:t>
            </w:r>
          </w:p>
        </w:tc>
        <w:tc>
          <w:tcPr>
            <w:tcW w:w="1985"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FFFFFF"/>
                <w:lang w:eastAsia="en-AU"/>
              </w:rPr>
            </w:pPr>
            <w:r w:rsidRPr="00390F9A">
              <w:rPr>
                <w:rFonts w:ascii="Calibri" w:eastAsia="Times New Roman" w:hAnsi="Calibri" w:cs="Times New Roman"/>
                <w:color w:val="FFFFFF"/>
                <w:lang w:eastAsia="en-AU"/>
              </w:rPr>
              <w:t>Percentage of Fires</w:t>
            </w:r>
          </w:p>
        </w:tc>
        <w:tc>
          <w:tcPr>
            <w:tcW w:w="1842"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FFFFFF"/>
                <w:lang w:eastAsia="en-AU"/>
              </w:rPr>
            </w:pPr>
            <w:r w:rsidRPr="00390F9A">
              <w:rPr>
                <w:rFonts w:ascii="Calibri" w:eastAsia="Times New Roman" w:hAnsi="Calibri" w:cs="Times New Roman"/>
                <w:color w:val="FFFFFF"/>
                <w:lang w:eastAsia="en-AU"/>
              </w:rPr>
              <w:t>Cost of Fire</w:t>
            </w:r>
          </w:p>
        </w:tc>
        <w:tc>
          <w:tcPr>
            <w:tcW w:w="1701"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FFFFFF"/>
                <w:lang w:eastAsia="en-AU"/>
              </w:rPr>
            </w:pPr>
            <w:r w:rsidRPr="00390F9A">
              <w:rPr>
                <w:rFonts w:ascii="Calibri" w:eastAsia="Times New Roman" w:hAnsi="Calibri" w:cs="Times New Roman"/>
                <w:color w:val="FFFFFF"/>
                <w:lang w:eastAsia="en-AU"/>
              </w:rPr>
              <w:t>Avoidable Costs</w:t>
            </w:r>
          </w:p>
        </w:tc>
        <w:tc>
          <w:tcPr>
            <w:tcW w:w="2127" w:type="dxa"/>
            <w:tcBorders>
              <w:top w:val="single" w:sz="4" w:space="0" w:color="auto"/>
              <w:left w:val="nil"/>
              <w:bottom w:val="single" w:sz="4" w:space="0" w:color="auto"/>
              <w:right w:val="single" w:sz="4" w:space="0" w:color="auto"/>
            </w:tcBorders>
            <w:shd w:val="clear" w:color="000000" w:fill="002060"/>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FFFFFF"/>
                <w:lang w:eastAsia="en-AU"/>
              </w:rPr>
            </w:pPr>
            <w:r w:rsidRPr="00390F9A">
              <w:rPr>
                <w:rFonts w:ascii="Calibri" w:eastAsia="Times New Roman" w:hAnsi="Calibri" w:cs="Times New Roman"/>
                <w:color w:val="FFFFFF"/>
                <w:lang w:eastAsia="en-AU"/>
              </w:rPr>
              <w:t>Present Value</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NSW</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36%</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sidDel="0047123E">
              <w:rPr>
                <w:rFonts w:ascii="Calibri" w:eastAsia="Times New Roman" w:hAnsi="Calibri" w:cs="Times New Roman"/>
                <w:color w:val="000000"/>
                <w:lang w:eastAsia="en-AU"/>
              </w:rPr>
              <w:t>$17,245,285</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$47,011</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$3,173,216</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VIC</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30%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sidDel="0047123E">
              <w:rPr>
                <w:rFonts w:ascii="Calibri" w:eastAsia="Times New Roman" w:hAnsi="Calibri" w:cs="Times New Roman"/>
                <w:color w:val="000000"/>
                <w:lang w:eastAsia="en-AU"/>
              </w:rPr>
              <w:t>$14,741,857</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$40,186</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$2,644,347</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QLD</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14%</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sidDel="0047123E">
              <w:rPr>
                <w:rFonts w:ascii="Calibri" w:eastAsia="Times New Roman" w:hAnsi="Calibri" w:cs="Times New Roman"/>
                <w:color w:val="000000"/>
                <w:lang w:eastAsia="en-AU"/>
              </w:rPr>
              <w:t>$6,691,427</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$18,241</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$1,234,028</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WA</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7%</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sidDel="0047123E">
              <w:rPr>
                <w:rFonts w:ascii="Calibri" w:eastAsia="Times New Roman" w:hAnsi="Calibri" w:cs="Times New Roman"/>
                <w:color w:val="000000"/>
                <w:lang w:eastAsia="en-AU"/>
              </w:rPr>
              <w:t>$3,354,346</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$9,144</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$617,014</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SA</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8%</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Del="0047123E">
              <w:rPr>
                <w:rFonts w:ascii="Calibri" w:hAnsi="Calibri" w:cs="Calibri"/>
                <w:color w:val="000000"/>
              </w:rPr>
              <w:t>$3,637,986</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$9,917</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$705,159</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TAS</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3%</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Del="0047123E">
              <w:rPr>
                <w:rFonts w:ascii="Calibri" w:hAnsi="Calibri" w:cs="Calibri"/>
                <w:color w:val="000000"/>
              </w:rPr>
              <w:t>$1,556,318</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$4,243</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$264,435</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ACT</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1%</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Del="0047123E">
              <w:rPr>
                <w:rFonts w:ascii="Calibri" w:hAnsi="Calibri" w:cs="Calibri"/>
                <w:color w:val="000000"/>
              </w:rPr>
              <w:t>$589,477</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$1,607</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$88,145</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NT</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1%</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Del="0047123E">
              <w:rPr>
                <w:rFonts w:ascii="Calibri" w:hAnsi="Calibri" w:cs="Calibri"/>
                <w:color w:val="000000"/>
              </w:rPr>
              <w:t>$337,901</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$921</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$88,145</w:t>
            </w:r>
          </w:p>
        </w:tc>
      </w:tr>
      <w:tr w:rsidR="00EB19C9" w:rsidRPr="00390F9A" w:rsidTr="00EB19C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AUS</w:t>
            </w:r>
          </w:p>
        </w:tc>
        <w:tc>
          <w:tcPr>
            <w:tcW w:w="1985" w:type="dxa"/>
            <w:tcBorders>
              <w:top w:val="nil"/>
              <w:left w:val="nil"/>
              <w:bottom w:val="single" w:sz="4" w:space="0" w:color="auto"/>
              <w:right w:val="single" w:sz="4" w:space="0" w:color="auto"/>
            </w:tcBorders>
            <w:shd w:val="clear" w:color="auto" w:fill="auto"/>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RPr="00390F9A">
              <w:rPr>
                <w:rFonts w:ascii="Calibri" w:eastAsia="Times New Roman" w:hAnsi="Calibri" w:cs="Times New Roman"/>
                <w:color w:val="000000"/>
                <w:lang w:eastAsia="en-AU"/>
              </w:rPr>
              <w:t>100%</w:t>
            </w:r>
          </w:p>
        </w:tc>
        <w:tc>
          <w:tcPr>
            <w:tcW w:w="1842"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sidDel="0047123E">
              <w:rPr>
                <w:rFonts w:ascii="Calibri" w:hAnsi="Calibri" w:cs="Calibri"/>
                <w:color w:val="000000"/>
              </w:rPr>
              <w:t>$48,154,596</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$131,269</w:t>
            </w:r>
          </w:p>
        </w:tc>
        <w:tc>
          <w:tcPr>
            <w:tcW w:w="2127" w:type="dxa"/>
            <w:tcBorders>
              <w:top w:val="nil"/>
              <w:left w:val="nil"/>
              <w:bottom w:val="single" w:sz="4" w:space="0" w:color="auto"/>
              <w:right w:val="single" w:sz="4" w:space="0" w:color="auto"/>
            </w:tcBorders>
            <w:shd w:val="clear" w:color="auto" w:fill="FFFFFF" w:themeFill="background1"/>
            <w:noWrap/>
            <w:vAlign w:val="bottom"/>
            <w:hideMark/>
          </w:tcPr>
          <w:p w:rsidR="00EB19C9" w:rsidRPr="00390F9A" w:rsidRDefault="00EB19C9" w:rsidP="00EB19C9">
            <w:pPr>
              <w:spacing w:before="120" w:after="120" w:line="240" w:lineRule="auto"/>
              <w:jc w:val="center"/>
              <w:rPr>
                <w:rFonts w:ascii="Calibri" w:eastAsia="Times New Roman" w:hAnsi="Calibri" w:cs="Times New Roman"/>
                <w:color w:val="000000"/>
                <w:lang w:eastAsia="en-AU"/>
              </w:rPr>
            </w:pPr>
            <w:r>
              <w:rPr>
                <w:rFonts w:ascii="Calibri" w:hAnsi="Calibri" w:cs="Calibri"/>
                <w:color w:val="000000"/>
              </w:rPr>
              <w:t>$8,814,489</w:t>
            </w:r>
          </w:p>
        </w:tc>
      </w:tr>
    </w:tbl>
    <w:p w:rsidR="00EB19C9" w:rsidRDefault="00EB19C9" w:rsidP="00EB19C9">
      <w:pPr>
        <w:spacing w:before="120" w:after="0"/>
        <w:rPr>
          <w:rFonts w:asciiTheme="minorHAnsi" w:hAnsiTheme="minorHAnsi"/>
          <w:sz w:val="18"/>
          <w:szCs w:val="18"/>
        </w:rPr>
      </w:pPr>
      <w:r w:rsidRPr="003F55DE">
        <w:rPr>
          <w:rFonts w:asciiTheme="minorHAnsi" w:hAnsiTheme="minorHAnsi"/>
          <w:sz w:val="18"/>
          <w:szCs w:val="18"/>
        </w:rPr>
        <w:t>Note</w:t>
      </w:r>
      <w:r>
        <w:rPr>
          <w:rFonts w:asciiTheme="minorHAnsi" w:hAnsiTheme="minorHAnsi"/>
          <w:sz w:val="18"/>
          <w:szCs w:val="18"/>
        </w:rPr>
        <w:t>s</w:t>
      </w:r>
      <w:r w:rsidRPr="003F55DE">
        <w:rPr>
          <w:rFonts w:asciiTheme="minorHAnsi" w:hAnsiTheme="minorHAnsi"/>
          <w:sz w:val="18"/>
          <w:szCs w:val="18"/>
        </w:rPr>
        <w:t>:</w:t>
      </w:r>
    </w:p>
    <w:p w:rsidR="00EB19C9" w:rsidRDefault="00EB19C9" w:rsidP="00EB19C9">
      <w:pPr>
        <w:spacing w:after="0"/>
        <w:ind w:left="720"/>
        <w:rPr>
          <w:rFonts w:asciiTheme="minorHAnsi" w:hAnsiTheme="minorHAnsi"/>
          <w:sz w:val="18"/>
          <w:szCs w:val="18"/>
        </w:rPr>
      </w:pPr>
      <w:r>
        <w:rPr>
          <w:rFonts w:asciiTheme="minorHAnsi" w:hAnsiTheme="minorHAnsi"/>
          <w:sz w:val="18"/>
          <w:szCs w:val="18"/>
        </w:rPr>
        <w:t>1. Information has been sourced from unpublished AFAC data and extrapolated using a Report on Government Services</w:t>
      </w:r>
      <w:r w:rsidR="00515D2C">
        <w:rPr>
          <w:rFonts w:asciiTheme="minorHAnsi" w:hAnsiTheme="minorHAnsi"/>
          <w:sz w:val="18"/>
          <w:szCs w:val="18"/>
        </w:rPr>
        <w:t>.</w:t>
      </w:r>
      <w:r w:rsidR="00515D2C">
        <w:rPr>
          <w:rStyle w:val="FootnoteReference"/>
          <w:rFonts w:asciiTheme="minorHAnsi" w:hAnsiTheme="minorHAnsi"/>
          <w:sz w:val="18"/>
          <w:szCs w:val="18"/>
        </w:rPr>
        <w:footnoteReference w:id="32"/>
      </w:r>
    </w:p>
    <w:p w:rsidR="00EB19C9" w:rsidRDefault="00EB19C9" w:rsidP="00EB19C9">
      <w:pPr>
        <w:spacing w:after="0"/>
        <w:ind w:firstLine="720"/>
        <w:rPr>
          <w:rFonts w:asciiTheme="minorHAnsi" w:hAnsiTheme="minorHAnsi"/>
          <w:sz w:val="18"/>
          <w:szCs w:val="18"/>
        </w:rPr>
      </w:pPr>
      <w:r>
        <w:rPr>
          <w:rFonts w:asciiTheme="minorHAnsi" w:hAnsiTheme="minorHAnsi"/>
          <w:sz w:val="18"/>
          <w:szCs w:val="18"/>
        </w:rPr>
        <w:t>2. Present Values have been calculated using a 7% discount rate over 40 years.</w:t>
      </w:r>
    </w:p>
    <w:p w:rsidR="00EB19C9" w:rsidRPr="004E1C3A" w:rsidRDefault="00EB19C9" w:rsidP="00EB19C9">
      <w:pPr>
        <w:spacing w:after="240"/>
        <w:ind w:firstLine="720"/>
        <w:rPr>
          <w:rFonts w:asciiTheme="minorHAnsi" w:hAnsiTheme="minorHAnsi"/>
          <w:sz w:val="18"/>
          <w:szCs w:val="18"/>
        </w:rPr>
      </w:pPr>
      <w:r>
        <w:rPr>
          <w:rFonts w:asciiTheme="minorHAnsi" w:hAnsiTheme="minorHAnsi"/>
          <w:sz w:val="18"/>
          <w:szCs w:val="18"/>
        </w:rPr>
        <w:t xml:space="preserve">3. </w:t>
      </w:r>
      <w:r w:rsidRPr="006C410E">
        <w:rPr>
          <w:rFonts w:asciiTheme="minorHAnsi" w:hAnsiTheme="minorHAnsi"/>
          <w:sz w:val="18"/>
          <w:szCs w:val="18"/>
        </w:rPr>
        <w:t xml:space="preserve">The avoidable costs </w:t>
      </w:r>
      <w:r>
        <w:rPr>
          <w:rFonts w:asciiTheme="minorHAnsi" w:hAnsiTheme="minorHAnsi"/>
          <w:sz w:val="18"/>
          <w:szCs w:val="18"/>
        </w:rPr>
        <w:t>are</w:t>
      </w:r>
      <w:r w:rsidRPr="006C410E">
        <w:rPr>
          <w:rFonts w:asciiTheme="minorHAnsi" w:hAnsiTheme="minorHAnsi"/>
          <w:sz w:val="18"/>
          <w:szCs w:val="18"/>
        </w:rPr>
        <w:t xml:space="preserve"> based on the proportion of new construction compared with the existing stock (2%).</w:t>
      </w:r>
    </w:p>
    <w:p w:rsidR="00EB19C9" w:rsidRPr="003B5E46" w:rsidRDefault="00EB19C9" w:rsidP="00EB19C9">
      <w:pPr>
        <w:spacing w:before="240"/>
        <w:rPr>
          <w:rFonts w:asciiTheme="minorHAnsi" w:hAnsiTheme="minorHAnsi"/>
        </w:rPr>
      </w:pPr>
      <w:r w:rsidRPr="005901CA">
        <w:rPr>
          <w:rFonts w:asciiTheme="minorHAnsi" w:hAnsiTheme="minorHAnsi"/>
        </w:rPr>
        <w:t xml:space="preserve">The </w:t>
      </w:r>
      <w:r w:rsidR="00D41BA4">
        <w:rPr>
          <w:rFonts w:asciiTheme="minorHAnsi" w:hAnsiTheme="minorHAnsi"/>
        </w:rPr>
        <w:t>RIS</w:t>
      </w:r>
      <w:r w:rsidRPr="005901CA">
        <w:rPr>
          <w:rFonts w:asciiTheme="minorHAnsi" w:hAnsiTheme="minorHAnsi"/>
        </w:rPr>
        <w:t xml:space="preserve"> acknowledges that the benefits of protecting property are secondary </w:t>
      </w:r>
      <w:r>
        <w:rPr>
          <w:rFonts w:asciiTheme="minorHAnsi" w:hAnsiTheme="minorHAnsi"/>
        </w:rPr>
        <w:t>effects of the proposed regulatory change</w:t>
      </w:r>
      <w:r w:rsidRPr="005901CA">
        <w:rPr>
          <w:rFonts w:asciiTheme="minorHAnsi" w:hAnsiTheme="minorHAnsi"/>
        </w:rPr>
        <w:t xml:space="preserve"> and should be considered incidental to t</w:t>
      </w:r>
      <w:r>
        <w:rPr>
          <w:rFonts w:asciiTheme="minorHAnsi" w:hAnsiTheme="minorHAnsi"/>
        </w:rPr>
        <w:t>he primary goal of providing an</w:t>
      </w:r>
      <w:r w:rsidRPr="005901CA">
        <w:rPr>
          <w:rFonts w:asciiTheme="minorHAnsi" w:hAnsiTheme="minorHAnsi"/>
        </w:rPr>
        <w:t xml:space="preserve"> adequa</w:t>
      </w:r>
      <w:r>
        <w:rPr>
          <w:rFonts w:asciiTheme="minorHAnsi" w:hAnsiTheme="minorHAnsi"/>
        </w:rPr>
        <w:t xml:space="preserve">te level of health and safety. </w:t>
      </w:r>
    </w:p>
    <w:p w:rsidR="00EB19C9" w:rsidRPr="000C58C8" w:rsidRDefault="00EB19C9" w:rsidP="007D469F">
      <w:pPr>
        <w:pStyle w:val="Heading2"/>
      </w:pPr>
      <w:r w:rsidRPr="000C58C8">
        <w:t xml:space="preserve">Additional Saleable Space </w:t>
      </w:r>
    </w:p>
    <w:p w:rsidR="00EB19C9" w:rsidRPr="00652CF5" w:rsidRDefault="00CD53E5" w:rsidP="007D469F">
      <w:pPr>
        <w:rPr>
          <w:rFonts w:asciiTheme="minorHAnsi" w:hAnsiTheme="minorHAnsi"/>
        </w:rPr>
      </w:pPr>
      <w:r w:rsidRPr="00D87639">
        <w:rPr>
          <w:rFonts w:asciiTheme="minorHAnsi" w:hAnsiTheme="minorHAnsi"/>
        </w:rPr>
        <w:t>Th</w:t>
      </w:r>
      <w:r>
        <w:rPr>
          <w:rFonts w:asciiTheme="minorHAnsi" w:hAnsiTheme="minorHAnsi"/>
        </w:rPr>
        <w:t xml:space="preserve">e Consultation </w:t>
      </w:r>
      <w:r w:rsidRPr="00D87639">
        <w:rPr>
          <w:rFonts w:asciiTheme="minorHAnsi" w:hAnsiTheme="minorHAnsi"/>
        </w:rPr>
        <w:t>RIS</w:t>
      </w:r>
      <w:r>
        <w:rPr>
          <w:rFonts w:asciiTheme="minorHAnsi" w:hAnsiTheme="minorHAnsi"/>
        </w:rPr>
        <w:t xml:space="preserve"> identified, but did not quantify</w:t>
      </w:r>
      <w:r w:rsidR="00D41BA4">
        <w:rPr>
          <w:rFonts w:asciiTheme="minorHAnsi" w:hAnsiTheme="minorHAnsi"/>
        </w:rPr>
        <w:t>,</w:t>
      </w:r>
      <w:r>
        <w:rPr>
          <w:rFonts w:asciiTheme="minorHAnsi" w:hAnsiTheme="minorHAnsi"/>
        </w:rPr>
        <w:t xml:space="preserve"> the </w:t>
      </w:r>
      <w:r w:rsidRPr="00D87639">
        <w:rPr>
          <w:rFonts w:asciiTheme="minorHAnsi" w:hAnsiTheme="minorHAnsi"/>
        </w:rPr>
        <w:t>potential gain from increasing the saleable</w:t>
      </w:r>
      <w:r>
        <w:rPr>
          <w:rFonts w:asciiTheme="minorHAnsi" w:hAnsiTheme="minorHAnsi"/>
        </w:rPr>
        <w:t>/lettable</w:t>
      </w:r>
      <w:r w:rsidRPr="00D87639">
        <w:rPr>
          <w:rFonts w:asciiTheme="minorHAnsi" w:hAnsiTheme="minorHAnsi"/>
        </w:rPr>
        <w:t xml:space="preserve"> space as a result of </w:t>
      </w:r>
      <w:r>
        <w:rPr>
          <w:rFonts w:asciiTheme="minorHAnsi" w:hAnsiTheme="minorHAnsi"/>
        </w:rPr>
        <w:t>the reduction in</w:t>
      </w:r>
      <w:r w:rsidRPr="00D87639">
        <w:rPr>
          <w:rFonts w:asciiTheme="minorHAnsi" w:hAnsiTheme="minorHAnsi"/>
        </w:rPr>
        <w:t xml:space="preserve"> the number of fire</w:t>
      </w:r>
      <w:r>
        <w:rPr>
          <w:rFonts w:asciiTheme="minorHAnsi" w:hAnsiTheme="minorHAnsi"/>
        </w:rPr>
        <w:t>-</w:t>
      </w:r>
      <w:r w:rsidRPr="00D87639">
        <w:rPr>
          <w:rFonts w:asciiTheme="minorHAnsi" w:hAnsiTheme="minorHAnsi"/>
        </w:rPr>
        <w:t>isolated stairs</w:t>
      </w:r>
      <w:r>
        <w:rPr>
          <w:rFonts w:asciiTheme="minorHAnsi" w:hAnsiTheme="minorHAnsi"/>
        </w:rPr>
        <w:t xml:space="preserve"> required under </w:t>
      </w:r>
      <w:r w:rsidRPr="00D87639">
        <w:rPr>
          <w:rFonts w:asciiTheme="minorHAnsi" w:hAnsiTheme="minorHAnsi"/>
        </w:rPr>
        <w:t>both options</w:t>
      </w:r>
      <w:r>
        <w:rPr>
          <w:rFonts w:asciiTheme="minorHAnsi" w:hAnsiTheme="minorHAnsi"/>
        </w:rPr>
        <w:t xml:space="preserve">. </w:t>
      </w:r>
    </w:p>
    <w:tbl>
      <w:tblPr>
        <w:tblStyle w:val="TableGrid"/>
        <w:tblW w:w="0" w:type="auto"/>
        <w:tblBorders>
          <w:insideH w:val="none" w:sz="0" w:space="0" w:color="auto"/>
          <w:insideV w:val="none" w:sz="0" w:space="0" w:color="auto"/>
        </w:tblBorders>
        <w:shd w:val="clear" w:color="auto" w:fill="BFBFBF" w:themeFill="background1" w:themeFillShade="BF"/>
        <w:tblLook w:val="04A0" w:firstRow="1" w:lastRow="0" w:firstColumn="1" w:lastColumn="0" w:noHBand="0" w:noVBand="1"/>
        <w:tblCaption w:val="Table containing Consultation Questions"/>
      </w:tblPr>
      <w:tblGrid>
        <w:gridCol w:w="9016"/>
      </w:tblGrid>
      <w:tr w:rsidR="00EB19C9" w:rsidTr="00EB19C9">
        <w:trPr>
          <w:tblHeader/>
        </w:trPr>
        <w:tc>
          <w:tcPr>
            <w:tcW w:w="9016" w:type="dxa"/>
            <w:shd w:val="clear" w:color="auto" w:fill="BFBFBF" w:themeFill="background1" w:themeFillShade="BF"/>
          </w:tcPr>
          <w:p w:rsidR="00EB19C9" w:rsidRDefault="00EB19C9" w:rsidP="00EB19C9">
            <w:pPr>
              <w:rPr>
                <w:rFonts w:asciiTheme="minorHAnsi" w:hAnsiTheme="minorHAnsi"/>
              </w:rPr>
            </w:pPr>
            <w:r w:rsidRPr="00D07E46">
              <w:rPr>
                <w:rFonts w:asciiTheme="minorHAnsi" w:hAnsiTheme="minorHAnsi"/>
              </w:rPr>
              <w:t xml:space="preserve">The Consultation RIS </w:t>
            </w:r>
            <w:r>
              <w:rPr>
                <w:rFonts w:asciiTheme="minorHAnsi" w:hAnsiTheme="minorHAnsi"/>
              </w:rPr>
              <w:t>asked:</w:t>
            </w:r>
          </w:p>
          <w:p w:rsidR="00EB19C9" w:rsidRPr="00652CF5" w:rsidRDefault="00EB19C9" w:rsidP="00EB19C9">
            <w:pPr>
              <w:pStyle w:val="ListParagraph"/>
              <w:numPr>
                <w:ilvl w:val="0"/>
                <w:numId w:val="107"/>
              </w:numPr>
              <w:rPr>
                <w:rFonts w:asciiTheme="minorHAnsi" w:hAnsiTheme="minorHAnsi"/>
              </w:rPr>
            </w:pPr>
            <w:r w:rsidRPr="00652CF5">
              <w:rPr>
                <w:rFonts w:asciiTheme="minorHAnsi" w:hAnsiTheme="minorHAnsi"/>
              </w:rPr>
              <w:t>Do you have any information that could inform the extent an increase in saleable/lettable space will be achieved in practice?</w:t>
            </w:r>
          </w:p>
          <w:p w:rsidR="00EB19C9" w:rsidRPr="00652CF5" w:rsidRDefault="00EB19C9" w:rsidP="00EB19C9">
            <w:pPr>
              <w:pStyle w:val="ListParagraph"/>
              <w:numPr>
                <w:ilvl w:val="0"/>
                <w:numId w:val="107"/>
              </w:numPr>
              <w:rPr>
                <w:rFonts w:asciiTheme="minorHAnsi" w:hAnsiTheme="minorHAnsi"/>
              </w:rPr>
            </w:pPr>
            <w:r w:rsidRPr="00652CF5">
              <w:rPr>
                <w:rFonts w:asciiTheme="minorHAnsi" w:hAnsiTheme="minorHAnsi"/>
              </w:rPr>
              <w:t>Do you have any information that would assist in quantifying the impacts of increasing the saleable/lettable space of new Class 2 and 3 buildings?</w:t>
            </w:r>
          </w:p>
          <w:p w:rsidR="00EB19C9" w:rsidRDefault="00EB19C9" w:rsidP="00EB19C9">
            <w:pPr>
              <w:pStyle w:val="ListParagraph"/>
              <w:numPr>
                <w:ilvl w:val="0"/>
                <w:numId w:val="107"/>
              </w:numPr>
            </w:pPr>
            <w:r w:rsidRPr="00652CF5">
              <w:rPr>
                <w:rFonts w:asciiTheme="minorHAnsi" w:hAnsiTheme="minorHAnsi"/>
              </w:rPr>
              <w:t>In the absence of information, what is a reasonable estimate of the value of saleable/lettable space in a new Class 2 and 3 building on a per square meter basis?</w:t>
            </w:r>
          </w:p>
        </w:tc>
      </w:tr>
    </w:tbl>
    <w:p w:rsidR="00CD53E5" w:rsidRDefault="00CD53E5" w:rsidP="00CD53E5">
      <w:pPr>
        <w:spacing w:before="240" w:after="120"/>
        <w:rPr>
          <w:rFonts w:asciiTheme="minorHAnsi" w:hAnsiTheme="minorHAnsi"/>
        </w:rPr>
      </w:pPr>
      <w:r>
        <w:rPr>
          <w:rFonts w:asciiTheme="minorHAnsi" w:hAnsiTheme="minorHAnsi"/>
        </w:rPr>
        <w:t>I</w:t>
      </w:r>
      <w:r w:rsidR="007D469F">
        <w:rPr>
          <w:rFonts w:asciiTheme="minorHAnsi" w:hAnsiTheme="minorHAnsi"/>
        </w:rPr>
        <w:t>n response to these questions, AFAC</w:t>
      </w:r>
      <w:r w:rsidRPr="00A144AA">
        <w:rPr>
          <w:rFonts w:asciiTheme="minorHAnsi" w:hAnsiTheme="minorHAnsi"/>
        </w:rPr>
        <w:t xml:space="preserve"> commissioned KPMG </w:t>
      </w:r>
      <w:r>
        <w:rPr>
          <w:rFonts w:asciiTheme="minorHAnsi" w:hAnsiTheme="minorHAnsi"/>
        </w:rPr>
        <w:t xml:space="preserve">to quantify </w:t>
      </w:r>
      <w:r w:rsidRPr="00A144AA">
        <w:rPr>
          <w:rFonts w:asciiTheme="minorHAnsi" w:hAnsiTheme="minorHAnsi"/>
        </w:rPr>
        <w:t xml:space="preserve">the contribution of saleable space to </w:t>
      </w:r>
      <w:r>
        <w:rPr>
          <w:rFonts w:asciiTheme="minorHAnsi" w:hAnsiTheme="minorHAnsi"/>
        </w:rPr>
        <w:t xml:space="preserve">the total </w:t>
      </w:r>
      <w:r w:rsidRPr="00A144AA">
        <w:rPr>
          <w:rFonts w:asciiTheme="minorHAnsi" w:hAnsiTheme="minorHAnsi"/>
        </w:rPr>
        <w:t>benefits of fire sprinklers in Class 2 and 3 buildings. The estimate based on Victorian market analysis</w:t>
      </w:r>
      <w:r>
        <w:rPr>
          <w:rFonts w:asciiTheme="minorHAnsi" w:hAnsiTheme="minorHAnsi"/>
        </w:rPr>
        <w:t xml:space="preserve"> of median sale prices of 1, 2 and 3 bedroom apartments over 12 months to December </w:t>
      </w:r>
      <w:r>
        <w:rPr>
          <w:rFonts w:asciiTheme="minorHAnsi" w:hAnsiTheme="minorHAnsi"/>
        </w:rPr>
        <w:lastRenderedPageBreak/>
        <w:t>2017 suggested</w:t>
      </w:r>
      <w:r w:rsidRPr="00A144AA">
        <w:rPr>
          <w:rFonts w:asciiTheme="minorHAnsi" w:hAnsiTheme="minorHAnsi"/>
        </w:rPr>
        <w:t xml:space="preserve"> a premium of $2</w:t>
      </w:r>
      <w:r>
        <w:rPr>
          <w:rFonts w:asciiTheme="minorHAnsi" w:hAnsiTheme="minorHAnsi"/>
        </w:rPr>
        <w:t>,</w:t>
      </w:r>
      <w:r w:rsidRPr="00A144AA">
        <w:rPr>
          <w:rFonts w:asciiTheme="minorHAnsi" w:hAnsiTheme="minorHAnsi"/>
        </w:rPr>
        <w:t xml:space="preserve">878 </w:t>
      </w:r>
      <w:r>
        <w:rPr>
          <w:rFonts w:asciiTheme="minorHAnsi" w:hAnsiTheme="minorHAnsi"/>
        </w:rPr>
        <w:t>per square metre</w:t>
      </w:r>
      <w:r>
        <w:rPr>
          <w:rFonts w:asciiTheme="minorHAnsi" w:hAnsiTheme="minorHAnsi"/>
          <w:vertAlign w:val="superscript"/>
        </w:rPr>
        <w:t xml:space="preserve"> </w:t>
      </w:r>
      <w:r w:rsidRPr="00A144AA">
        <w:rPr>
          <w:rFonts w:asciiTheme="minorHAnsi" w:hAnsiTheme="minorHAnsi"/>
        </w:rPr>
        <w:t xml:space="preserve">is available </w:t>
      </w:r>
      <w:r>
        <w:rPr>
          <w:rFonts w:asciiTheme="minorHAnsi" w:hAnsiTheme="minorHAnsi"/>
        </w:rPr>
        <w:t>for 2 bedroom apartments – equivalent to the size used in the DCWC assumptions.</w:t>
      </w:r>
    </w:p>
    <w:p w:rsidR="00CD53E5" w:rsidRDefault="00CD53E5" w:rsidP="00CD53E5">
      <w:pPr>
        <w:spacing w:after="120"/>
        <w:rPr>
          <w:rFonts w:asciiTheme="minorHAnsi" w:hAnsiTheme="minorHAnsi"/>
        </w:rPr>
      </w:pPr>
      <w:r>
        <w:rPr>
          <w:rFonts w:asciiTheme="minorHAnsi" w:hAnsiTheme="minorHAnsi"/>
        </w:rPr>
        <w:t>It should be acknowledged that the</w:t>
      </w:r>
      <w:r w:rsidR="00D41BA4">
        <w:rPr>
          <w:rFonts w:asciiTheme="minorHAnsi" w:hAnsiTheme="minorHAnsi"/>
        </w:rPr>
        <w:t>se estimates are based on short-</w:t>
      </w:r>
      <w:r>
        <w:rPr>
          <w:rFonts w:asciiTheme="minorHAnsi" w:hAnsiTheme="minorHAnsi"/>
        </w:rPr>
        <w:t>term trends and may be sensitive to time and location chosen. Victorian data is likely to over</w:t>
      </w:r>
      <w:r w:rsidR="00D41BA4">
        <w:rPr>
          <w:rFonts w:asciiTheme="minorHAnsi" w:hAnsiTheme="minorHAnsi"/>
        </w:rPr>
        <w:t>-</w:t>
      </w:r>
      <w:r>
        <w:rPr>
          <w:rFonts w:asciiTheme="minorHAnsi" w:hAnsiTheme="minorHAnsi"/>
        </w:rPr>
        <w:t>estimate prices nationally, as Melbourne is second only to Sydney in medial quarterly dwelling p</w:t>
      </w:r>
      <w:r w:rsidR="00FA713B">
        <w:rPr>
          <w:rFonts w:asciiTheme="minorHAnsi" w:hAnsiTheme="minorHAnsi"/>
        </w:rPr>
        <w:t xml:space="preserve">rices over the past 10 years. </w:t>
      </w:r>
      <w:r w:rsidR="00D41BA4">
        <w:rPr>
          <w:rFonts w:asciiTheme="minorHAnsi" w:hAnsiTheme="minorHAnsi"/>
        </w:rPr>
        <w:t xml:space="preserve"> A</w:t>
      </w:r>
      <w:r>
        <w:rPr>
          <w:rFonts w:asciiTheme="minorHAnsi" w:hAnsiTheme="minorHAnsi"/>
        </w:rPr>
        <w:t xml:space="preserve">partment development outside of capital cities is less than 10 percent of all approvals concentrated to inner and middle suburbs. </w:t>
      </w:r>
    </w:p>
    <w:p w:rsidR="00CD53E5" w:rsidRDefault="00CD53E5" w:rsidP="0062442C">
      <w:pPr>
        <w:spacing w:before="240" w:after="120"/>
        <w:rPr>
          <w:rFonts w:asciiTheme="minorHAnsi" w:hAnsiTheme="minorHAnsi"/>
        </w:rPr>
      </w:pPr>
      <w:r>
        <w:rPr>
          <w:rFonts w:asciiTheme="minorHAnsi" w:hAnsiTheme="minorHAnsi"/>
        </w:rPr>
        <w:t>The KPMG</w:t>
      </w:r>
      <w:r w:rsidR="00E10DFB">
        <w:rPr>
          <w:rFonts w:asciiTheme="minorHAnsi" w:hAnsiTheme="minorHAnsi"/>
        </w:rPr>
        <w:t>’s</w:t>
      </w:r>
      <w:r>
        <w:rPr>
          <w:rFonts w:asciiTheme="minorHAnsi" w:hAnsiTheme="minorHAnsi"/>
        </w:rPr>
        <w:t xml:space="preserve"> </w:t>
      </w:r>
      <w:r w:rsidR="00C838DE">
        <w:rPr>
          <w:rFonts w:asciiTheme="minorHAnsi" w:hAnsiTheme="minorHAnsi"/>
        </w:rPr>
        <w:t xml:space="preserve">adjusted </w:t>
      </w:r>
      <w:r>
        <w:rPr>
          <w:rFonts w:asciiTheme="minorHAnsi" w:hAnsiTheme="minorHAnsi"/>
        </w:rPr>
        <w:t>benefit estimates were not able to be used as part of the Final RIS as t</w:t>
      </w:r>
      <w:r w:rsidRPr="00652CF5">
        <w:rPr>
          <w:rFonts w:asciiTheme="minorHAnsi" w:hAnsiTheme="minorHAnsi"/>
        </w:rPr>
        <w:t>he</w:t>
      </w:r>
      <w:r>
        <w:rPr>
          <w:rFonts w:asciiTheme="minorHAnsi" w:hAnsiTheme="minorHAnsi"/>
        </w:rPr>
        <w:t>se</w:t>
      </w:r>
      <w:r w:rsidRPr="00652CF5">
        <w:rPr>
          <w:rFonts w:asciiTheme="minorHAnsi" w:hAnsiTheme="minorHAnsi"/>
        </w:rPr>
        <w:t xml:space="preserve"> </w:t>
      </w:r>
      <w:r>
        <w:rPr>
          <w:rFonts w:asciiTheme="minorHAnsi" w:hAnsiTheme="minorHAnsi"/>
        </w:rPr>
        <w:t xml:space="preserve">values did not include the costs </w:t>
      </w:r>
      <w:r w:rsidRPr="00652CF5">
        <w:rPr>
          <w:rFonts w:asciiTheme="minorHAnsi" w:hAnsiTheme="minorHAnsi"/>
        </w:rPr>
        <w:t xml:space="preserve">associated with capitalising </w:t>
      </w:r>
      <w:r>
        <w:rPr>
          <w:rFonts w:asciiTheme="minorHAnsi" w:hAnsiTheme="minorHAnsi"/>
        </w:rPr>
        <w:t xml:space="preserve">a space otherwise occupied by a fire-isolated stair. However, the impacts of Option 1 on increasing saleable space has been quantified for the Final RIS using adjusted costs </w:t>
      </w:r>
      <w:r w:rsidR="00D41BA4">
        <w:rPr>
          <w:rFonts w:asciiTheme="minorHAnsi" w:hAnsiTheme="minorHAnsi"/>
        </w:rPr>
        <w:t>that</w:t>
      </w:r>
      <w:r>
        <w:rPr>
          <w:rFonts w:asciiTheme="minorHAnsi" w:hAnsiTheme="minorHAnsi"/>
        </w:rPr>
        <w:t xml:space="preserve"> include those associated with capitalisation of the space. Table </w:t>
      </w:r>
      <w:r w:rsidR="00515D2C">
        <w:rPr>
          <w:rFonts w:asciiTheme="minorHAnsi" w:hAnsiTheme="minorHAnsi"/>
        </w:rPr>
        <w:t>19</w:t>
      </w:r>
      <w:r>
        <w:rPr>
          <w:rFonts w:asciiTheme="minorHAnsi" w:hAnsiTheme="minorHAnsi"/>
        </w:rPr>
        <w:t xml:space="preserve"> shows the total premium for saleable space under Option 1 which ha</w:t>
      </w:r>
      <w:r w:rsidR="007D469F">
        <w:rPr>
          <w:rFonts w:asciiTheme="minorHAnsi" w:hAnsiTheme="minorHAnsi"/>
        </w:rPr>
        <w:t>s</w:t>
      </w:r>
      <w:r>
        <w:rPr>
          <w:rFonts w:asciiTheme="minorHAnsi" w:hAnsiTheme="minorHAnsi"/>
        </w:rPr>
        <w:t xml:space="preserve"> been adjusted based on updated quantity surveying.</w:t>
      </w:r>
    </w:p>
    <w:p w:rsidR="00EB19C9" w:rsidRPr="000C58C8" w:rsidRDefault="00EB19C9" w:rsidP="00CD53E5">
      <w:pPr>
        <w:spacing w:after="160" w:line="259" w:lineRule="auto"/>
        <w:jc w:val="center"/>
        <w:rPr>
          <w:rFonts w:asciiTheme="minorHAnsi" w:hAnsiTheme="minorHAnsi"/>
          <w:iCs/>
          <w:color w:val="002060"/>
          <w:sz w:val="24"/>
          <w:szCs w:val="24"/>
        </w:rPr>
      </w:pPr>
      <w:r w:rsidRPr="000C58C8">
        <w:rPr>
          <w:rFonts w:asciiTheme="minorHAnsi" w:hAnsiTheme="minorHAnsi"/>
          <w:iCs/>
          <w:color w:val="002060"/>
          <w:sz w:val="24"/>
          <w:szCs w:val="24"/>
        </w:rPr>
        <w:t xml:space="preserve">Table </w:t>
      </w:r>
      <w:r w:rsidR="008A7DC4">
        <w:rPr>
          <w:rFonts w:asciiTheme="minorHAnsi" w:hAnsiTheme="minorHAnsi"/>
          <w:iCs/>
          <w:color w:val="002060"/>
          <w:sz w:val="24"/>
          <w:szCs w:val="24"/>
        </w:rPr>
        <w:t>19</w:t>
      </w:r>
      <w:r>
        <w:rPr>
          <w:rFonts w:asciiTheme="minorHAnsi" w:hAnsiTheme="minorHAnsi"/>
          <w:iCs/>
          <w:color w:val="002060"/>
          <w:sz w:val="24"/>
          <w:szCs w:val="24"/>
        </w:rPr>
        <w:t>:</w:t>
      </w:r>
      <w:r w:rsidRPr="000C58C8">
        <w:rPr>
          <w:rFonts w:asciiTheme="minorHAnsi" w:hAnsiTheme="minorHAnsi"/>
          <w:iCs/>
          <w:color w:val="002060"/>
          <w:sz w:val="24"/>
          <w:szCs w:val="24"/>
        </w:rPr>
        <w:t xml:space="preserve"> </w:t>
      </w:r>
      <w:r>
        <w:rPr>
          <w:rFonts w:asciiTheme="minorHAnsi" w:hAnsiTheme="minorHAnsi"/>
          <w:iCs/>
          <w:color w:val="002060"/>
          <w:sz w:val="24"/>
          <w:szCs w:val="24"/>
        </w:rPr>
        <w:t>Total premium for s</w:t>
      </w:r>
      <w:r w:rsidRPr="000C58C8">
        <w:rPr>
          <w:rFonts w:asciiTheme="minorHAnsi" w:hAnsiTheme="minorHAnsi"/>
          <w:iCs/>
          <w:color w:val="002060"/>
          <w:sz w:val="24"/>
          <w:szCs w:val="24"/>
        </w:rPr>
        <w:t xml:space="preserve">aleable </w:t>
      </w:r>
      <w:r>
        <w:rPr>
          <w:rFonts w:asciiTheme="minorHAnsi" w:hAnsiTheme="minorHAnsi"/>
          <w:iCs/>
          <w:color w:val="002060"/>
          <w:sz w:val="24"/>
          <w:szCs w:val="24"/>
        </w:rPr>
        <w:t>s</w:t>
      </w:r>
      <w:r w:rsidRPr="000C58C8">
        <w:rPr>
          <w:rFonts w:asciiTheme="minorHAnsi" w:hAnsiTheme="minorHAnsi"/>
          <w:iCs/>
          <w:color w:val="002060"/>
          <w:sz w:val="24"/>
          <w:szCs w:val="24"/>
        </w:rPr>
        <w:t xml:space="preserve">pace </w:t>
      </w:r>
      <w:r>
        <w:rPr>
          <w:rFonts w:asciiTheme="minorHAnsi" w:hAnsiTheme="minorHAnsi"/>
          <w:iCs/>
          <w:color w:val="002060"/>
          <w:sz w:val="24"/>
          <w:szCs w:val="24"/>
        </w:rPr>
        <w:t xml:space="preserve">arising from Option 1 </w:t>
      </w:r>
    </w:p>
    <w:tbl>
      <w:tblPr>
        <w:tblW w:w="9351" w:type="dxa"/>
        <w:tblLook w:val="04A0" w:firstRow="1" w:lastRow="0" w:firstColumn="1" w:lastColumn="0" w:noHBand="0" w:noVBand="1"/>
      </w:tblPr>
      <w:tblGrid>
        <w:gridCol w:w="1960"/>
        <w:gridCol w:w="1579"/>
        <w:gridCol w:w="1843"/>
        <w:gridCol w:w="2126"/>
        <w:gridCol w:w="1843"/>
      </w:tblGrid>
      <w:tr w:rsidR="00EB19C9" w:rsidRPr="00EF5B3E" w:rsidTr="00EB19C9">
        <w:trPr>
          <w:trHeight w:val="600"/>
        </w:trPr>
        <w:tc>
          <w:tcPr>
            <w:tcW w:w="1960" w:type="dxa"/>
            <w:tcBorders>
              <w:top w:val="single" w:sz="4" w:space="0" w:color="auto"/>
              <w:left w:val="single" w:sz="4" w:space="0" w:color="auto"/>
              <w:bottom w:val="single" w:sz="4" w:space="0" w:color="auto"/>
              <w:right w:val="single" w:sz="4" w:space="0" w:color="auto"/>
            </w:tcBorders>
            <w:shd w:val="clear" w:color="000000" w:fill="002060"/>
            <w:vAlign w:val="bottom"/>
            <w:hideMark/>
          </w:tcPr>
          <w:p w:rsidR="00EB19C9" w:rsidRPr="00EF5B3E" w:rsidRDefault="00EB19C9" w:rsidP="00EB19C9">
            <w:pPr>
              <w:spacing w:after="0" w:line="240" w:lineRule="auto"/>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Number of buildings</w:t>
            </w:r>
          </w:p>
        </w:tc>
        <w:tc>
          <w:tcPr>
            <w:tcW w:w="1579" w:type="dxa"/>
            <w:tcBorders>
              <w:top w:val="single" w:sz="4" w:space="0" w:color="auto"/>
              <w:left w:val="nil"/>
              <w:bottom w:val="single" w:sz="4" w:space="0" w:color="auto"/>
              <w:right w:val="single" w:sz="4" w:space="0" w:color="auto"/>
            </w:tcBorders>
            <w:shd w:val="clear" w:color="000000" w:fill="002060"/>
            <w:vAlign w:val="bottom"/>
            <w:hideMark/>
          </w:tcPr>
          <w:p w:rsidR="00EB19C9" w:rsidRPr="00EF5B3E" w:rsidRDefault="00EB19C9" w:rsidP="00EB19C9">
            <w:pPr>
              <w:spacing w:after="0" w:line="240" w:lineRule="auto"/>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Number of Storeys</w:t>
            </w:r>
          </w:p>
        </w:tc>
        <w:tc>
          <w:tcPr>
            <w:tcW w:w="1843" w:type="dxa"/>
            <w:tcBorders>
              <w:top w:val="single" w:sz="4" w:space="0" w:color="auto"/>
              <w:left w:val="nil"/>
              <w:bottom w:val="single" w:sz="4" w:space="0" w:color="auto"/>
              <w:right w:val="single" w:sz="4" w:space="0" w:color="auto"/>
            </w:tcBorders>
            <w:shd w:val="clear" w:color="000000" w:fill="002060"/>
            <w:vAlign w:val="bottom"/>
            <w:hideMark/>
          </w:tcPr>
          <w:p w:rsidR="00EB19C9" w:rsidRPr="00EF5B3E" w:rsidRDefault="00EB19C9" w:rsidP="00EB19C9">
            <w:pPr>
              <w:spacing w:after="0" w:line="240" w:lineRule="auto"/>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Premium</w:t>
            </w:r>
          </w:p>
        </w:tc>
        <w:tc>
          <w:tcPr>
            <w:tcW w:w="2126" w:type="dxa"/>
            <w:tcBorders>
              <w:top w:val="single" w:sz="4" w:space="0" w:color="auto"/>
              <w:left w:val="nil"/>
              <w:bottom w:val="single" w:sz="4" w:space="0" w:color="auto"/>
              <w:right w:val="single" w:sz="4" w:space="0" w:color="auto"/>
            </w:tcBorders>
            <w:shd w:val="clear" w:color="000000" w:fill="002060"/>
            <w:vAlign w:val="bottom"/>
            <w:hideMark/>
          </w:tcPr>
          <w:p w:rsidR="00EB19C9" w:rsidRPr="00EF5B3E" w:rsidRDefault="00EB19C9" w:rsidP="00EB19C9">
            <w:pPr>
              <w:spacing w:after="0" w:line="240" w:lineRule="auto"/>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Total</w:t>
            </w:r>
          </w:p>
        </w:tc>
        <w:tc>
          <w:tcPr>
            <w:tcW w:w="1843" w:type="dxa"/>
            <w:tcBorders>
              <w:top w:val="single" w:sz="4" w:space="0" w:color="auto"/>
              <w:left w:val="nil"/>
              <w:bottom w:val="single" w:sz="4" w:space="0" w:color="auto"/>
              <w:right w:val="single" w:sz="4" w:space="0" w:color="auto"/>
            </w:tcBorders>
            <w:shd w:val="clear" w:color="000000" w:fill="002060"/>
            <w:vAlign w:val="bottom"/>
            <w:hideMark/>
          </w:tcPr>
          <w:p w:rsidR="00EB19C9" w:rsidRPr="00EF5B3E" w:rsidRDefault="00EB19C9" w:rsidP="00EB19C9">
            <w:pPr>
              <w:spacing w:after="0" w:line="240" w:lineRule="auto"/>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 xml:space="preserve">Present Value </w:t>
            </w:r>
          </w:p>
        </w:tc>
      </w:tr>
      <w:tr w:rsidR="00EB19C9" w:rsidRPr="00EF5B3E" w:rsidTr="00EB19C9">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EF5B3E"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266</w:t>
            </w:r>
          </w:p>
        </w:tc>
        <w:tc>
          <w:tcPr>
            <w:tcW w:w="1579"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6</w:t>
            </w:r>
          </w:p>
        </w:tc>
        <w:tc>
          <w:tcPr>
            <w:tcW w:w="1843"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$43,170</w:t>
            </w:r>
          </w:p>
        </w:tc>
        <w:tc>
          <w:tcPr>
            <w:tcW w:w="2126"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$68,796,152</w:t>
            </w:r>
          </w:p>
        </w:tc>
        <w:tc>
          <w:tcPr>
            <w:tcW w:w="1843"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$517,019,063</w:t>
            </w:r>
          </w:p>
        </w:tc>
      </w:tr>
    </w:tbl>
    <w:p w:rsidR="0022623A" w:rsidRDefault="00EB19C9" w:rsidP="00EB19C9">
      <w:pPr>
        <w:rPr>
          <w:rFonts w:asciiTheme="minorHAnsi" w:hAnsiTheme="minorHAnsi" w:cstheme="minorHAnsi"/>
          <w:sz w:val="20"/>
          <w:szCs w:val="24"/>
        </w:rPr>
      </w:pPr>
      <w:r>
        <w:rPr>
          <w:rFonts w:asciiTheme="minorHAnsi" w:hAnsiTheme="minorHAnsi" w:cstheme="minorHAnsi"/>
          <w:sz w:val="20"/>
          <w:szCs w:val="24"/>
        </w:rPr>
        <w:t>Note</w:t>
      </w:r>
      <w:r w:rsidR="003D4CB8">
        <w:rPr>
          <w:rFonts w:asciiTheme="minorHAnsi" w:hAnsiTheme="minorHAnsi" w:cstheme="minorHAnsi"/>
          <w:sz w:val="20"/>
          <w:szCs w:val="24"/>
        </w:rPr>
        <w:t>s</w:t>
      </w:r>
      <w:r w:rsidRPr="00D8561E">
        <w:rPr>
          <w:rFonts w:asciiTheme="minorHAnsi" w:hAnsiTheme="minorHAnsi" w:cstheme="minorHAnsi"/>
          <w:sz w:val="20"/>
          <w:szCs w:val="24"/>
        </w:rPr>
        <w:t>:</w:t>
      </w:r>
      <w:r>
        <w:rPr>
          <w:rFonts w:asciiTheme="minorHAnsi" w:hAnsiTheme="minorHAnsi" w:cstheme="minorHAnsi"/>
          <w:sz w:val="20"/>
          <w:szCs w:val="24"/>
        </w:rPr>
        <w:t xml:space="preserve"> </w:t>
      </w:r>
    </w:p>
    <w:p w:rsidR="00EB19C9" w:rsidRDefault="0022623A" w:rsidP="003D4CB8">
      <w:pPr>
        <w:spacing w:after="0"/>
        <w:ind w:left="284"/>
        <w:rPr>
          <w:rFonts w:asciiTheme="minorHAnsi" w:hAnsiTheme="minorHAnsi" w:cstheme="minorHAnsi"/>
          <w:sz w:val="20"/>
          <w:szCs w:val="24"/>
        </w:rPr>
      </w:pPr>
      <w:r>
        <w:rPr>
          <w:rFonts w:asciiTheme="minorHAnsi" w:hAnsiTheme="minorHAnsi" w:cstheme="minorHAnsi"/>
          <w:sz w:val="20"/>
          <w:szCs w:val="24"/>
        </w:rPr>
        <w:t xml:space="preserve">1. </w:t>
      </w:r>
      <w:r w:rsidR="00EB19C9">
        <w:rPr>
          <w:rFonts w:asciiTheme="minorHAnsi" w:hAnsiTheme="minorHAnsi" w:cstheme="minorHAnsi"/>
          <w:sz w:val="20"/>
          <w:szCs w:val="24"/>
        </w:rPr>
        <w:t xml:space="preserve">Based on the </w:t>
      </w:r>
      <w:r>
        <w:rPr>
          <w:rFonts w:asciiTheme="minorHAnsi" w:hAnsiTheme="minorHAnsi" w:cstheme="minorHAnsi"/>
          <w:sz w:val="20"/>
          <w:szCs w:val="24"/>
        </w:rPr>
        <w:t xml:space="preserve">modelled </w:t>
      </w:r>
      <w:r w:rsidR="00EB19C9">
        <w:rPr>
          <w:rFonts w:asciiTheme="minorHAnsi" w:hAnsiTheme="minorHAnsi" w:cstheme="minorHAnsi"/>
          <w:sz w:val="20"/>
          <w:szCs w:val="24"/>
        </w:rPr>
        <w:t>proportion of buildings assumed to contain a second stair</w:t>
      </w:r>
      <w:r w:rsidR="00E10DFB">
        <w:rPr>
          <w:rFonts w:asciiTheme="minorHAnsi" w:hAnsiTheme="minorHAnsi" w:cstheme="minorHAnsi"/>
          <w:sz w:val="20"/>
          <w:szCs w:val="24"/>
        </w:rPr>
        <w:t>.</w:t>
      </w:r>
      <w:r w:rsidR="00EB19C9">
        <w:rPr>
          <w:rFonts w:asciiTheme="minorHAnsi" w:hAnsiTheme="minorHAnsi" w:cstheme="minorHAnsi"/>
          <w:sz w:val="20"/>
          <w:szCs w:val="24"/>
        </w:rPr>
        <w:t xml:space="preserve"> </w:t>
      </w:r>
    </w:p>
    <w:p w:rsidR="0022623A" w:rsidRDefault="0022623A" w:rsidP="0062442C">
      <w:pPr>
        <w:ind w:left="568" w:hanging="284"/>
        <w:rPr>
          <w:rFonts w:asciiTheme="minorHAnsi" w:hAnsiTheme="minorHAnsi" w:cstheme="minorHAnsi"/>
          <w:sz w:val="20"/>
          <w:szCs w:val="24"/>
        </w:rPr>
      </w:pPr>
      <w:r>
        <w:rPr>
          <w:rFonts w:asciiTheme="minorHAnsi" w:hAnsiTheme="minorHAnsi" w:cstheme="minorHAnsi"/>
          <w:sz w:val="20"/>
          <w:szCs w:val="24"/>
        </w:rPr>
        <w:t xml:space="preserve">2. </w:t>
      </w:r>
      <w:r w:rsidRPr="0062442C">
        <w:rPr>
          <w:rFonts w:asciiTheme="minorHAnsi" w:hAnsiTheme="minorHAnsi" w:cstheme="minorHAnsi"/>
          <w:sz w:val="20"/>
          <w:szCs w:val="24"/>
        </w:rPr>
        <w:t>Assumes allotment sizes constrain building size and saleable space only arises from the ability to capitalise space inside the</w:t>
      </w:r>
      <w:r>
        <w:rPr>
          <w:rFonts w:asciiTheme="minorHAnsi" w:hAnsiTheme="minorHAnsi" w:cstheme="minorHAnsi"/>
          <w:sz w:val="20"/>
          <w:szCs w:val="24"/>
        </w:rPr>
        <w:t xml:space="preserve"> building </w:t>
      </w:r>
      <w:r w:rsidRPr="0062442C">
        <w:rPr>
          <w:rFonts w:asciiTheme="minorHAnsi" w:hAnsiTheme="minorHAnsi" w:cstheme="minorHAnsi"/>
          <w:sz w:val="20"/>
          <w:szCs w:val="24"/>
        </w:rPr>
        <w:t>envelope.</w:t>
      </w:r>
    </w:p>
    <w:p w:rsidR="00EB19C9" w:rsidRPr="0062442C" w:rsidRDefault="00EB19C9" w:rsidP="00EB19C9">
      <w:pPr>
        <w:pStyle w:val="Heading2"/>
        <w:spacing w:after="240"/>
        <w:rPr>
          <w:rFonts w:asciiTheme="minorHAnsi" w:eastAsiaTheme="minorHAnsi" w:hAnsiTheme="minorHAnsi" w:cstheme="minorBidi"/>
          <w:b w:val="0"/>
          <w:color w:val="auto"/>
          <w:sz w:val="22"/>
          <w:szCs w:val="22"/>
        </w:rPr>
      </w:pPr>
      <w:r w:rsidRPr="0062442C">
        <w:rPr>
          <w:rFonts w:asciiTheme="minorHAnsi" w:eastAsiaTheme="minorHAnsi" w:hAnsiTheme="minorHAnsi" w:cstheme="minorBidi"/>
          <w:b w:val="0"/>
          <w:color w:val="auto"/>
          <w:sz w:val="22"/>
          <w:szCs w:val="22"/>
        </w:rPr>
        <w:t xml:space="preserve">The total industry-wide benefit of capitalising the </w:t>
      </w:r>
      <w:r w:rsidR="003D4CB8">
        <w:rPr>
          <w:rFonts w:asciiTheme="minorHAnsi" w:eastAsiaTheme="minorHAnsi" w:hAnsiTheme="minorHAnsi" w:cstheme="minorBidi"/>
          <w:b w:val="0"/>
          <w:color w:val="auto"/>
          <w:sz w:val="22"/>
          <w:szCs w:val="22"/>
        </w:rPr>
        <w:t>space</w:t>
      </w:r>
      <w:r w:rsidRPr="0062442C">
        <w:rPr>
          <w:rFonts w:asciiTheme="minorHAnsi" w:eastAsiaTheme="minorHAnsi" w:hAnsiTheme="minorHAnsi" w:cstheme="minorBidi"/>
          <w:b w:val="0"/>
          <w:color w:val="auto"/>
          <w:sz w:val="22"/>
          <w:szCs w:val="22"/>
        </w:rPr>
        <w:t xml:space="preserve"> </w:t>
      </w:r>
      <w:r w:rsidR="00F23059" w:rsidRPr="0062442C">
        <w:rPr>
          <w:rFonts w:asciiTheme="minorHAnsi" w:eastAsiaTheme="minorHAnsi" w:hAnsiTheme="minorHAnsi" w:cstheme="minorBidi"/>
          <w:b w:val="0"/>
          <w:color w:val="auto"/>
          <w:sz w:val="22"/>
          <w:szCs w:val="22"/>
        </w:rPr>
        <w:t xml:space="preserve">in a building </w:t>
      </w:r>
      <w:r w:rsidR="00F23059">
        <w:rPr>
          <w:rFonts w:asciiTheme="minorHAnsi" w:eastAsiaTheme="minorHAnsi" w:hAnsiTheme="minorHAnsi" w:cstheme="minorBidi"/>
          <w:b w:val="0"/>
          <w:color w:val="auto"/>
          <w:sz w:val="22"/>
          <w:szCs w:val="22"/>
        </w:rPr>
        <w:t>otherwise occupied by</w:t>
      </w:r>
      <w:r w:rsidR="00F23059" w:rsidRPr="0062442C">
        <w:rPr>
          <w:rFonts w:asciiTheme="minorHAnsi" w:eastAsiaTheme="minorHAnsi" w:hAnsiTheme="minorHAnsi" w:cstheme="minorBidi"/>
          <w:b w:val="0"/>
          <w:color w:val="auto"/>
          <w:sz w:val="22"/>
          <w:szCs w:val="22"/>
        </w:rPr>
        <w:t xml:space="preserve"> </w:t>
      </w:r>
      <w:r w:rsidRPr="0062442C">
        <w:rPr>
          <w:rFonts w:asciiTheme="minorHAnsi" w:eastAsiaTheme="minorHAnsi" w:hAnsiTheme="minorHAnsi" w:cstheme="minorBidi"/>
          <w:b w:val="0"/>
          <w:color w:val="auto"/>
          <w:sz w:val="22"/>
          <w:szCs w:val="22"/>
        </w:rPr>
        <w:t>a fire-isolated stair (</w:t>
      </w:r>
      <w:r w:rsidR="0022623A">
        <w:rPr>
          <w:rFonts w:asciiTheme="minorHAnsi" w:eastAsiaTheme="minorHAnsi" w:hAnsiTheme="minorHAnsi" w:cstheme="minorBidi"/>
          <w:b w:val="0"/>
          <w:color w:val="auto"/>
          <w:sz w:val="22"/>
          <w:szCs w:val="22"/>
        </w:rPr>
        <w:t>for those with more than a single stair</w:t>
      </w:r>
      <w:r w:rsidRPr="0062442C">
        <w:rPr>
          <w:rFonts w:asciiTheme="minorHAnsi" w:eastAsiaTheme="minorHAnsi" w:hAnsiTheme="minorHAnsi" w:cstheme="minorBidi"/>
          <w:b w:val="0"/>
          <w:color w:val="auto"/>
          <w:sz w:val="22"/>
          <w:szCs w:val="22"/>
        </w:rPr>
        <w:t>) is $517,019,063 in Present Value terms.</w:t>
      </w:r>
      <w:r w:rsidR="000A43CD" w:rsidRPr="000A43CD">
        <w:rPr>
          <w:rStyle w:val="FootnoteReference"/>
          <w:rFonts w:asciiTheme="minorHAnsi" w:eastAsiaTheme="minorHAnsi" w:hAnsiTheme="minorHAnsi" w:cstheme="minorBidi"/>
          <w:b w:val="0"/>
          <w:color w:val="auto"/>
          <w:sz w:val="22"/>
          <w:szCs w:val="22"/>
        </w:rPr>
        <w:t xml:space="preserve"> </w:t>
      </w:r>
    </w:p>
    <w:p w:rsidR="00EB19C9" w:rsidRPr="000C58C8" w:rsidRDefault="00EB19C9" w:rsidP="00EB19C9">
      <w:pPr>
        <w:pStyle w:val="Heading2"/>
      </w:pPr>
      <w:r w:rsidRPr="000C58C8">
        <w:t xml:space="preserve">Comparative Impacts of Each Specification </w:t>
      </w:r>
      <w:r w:rsidR="00E10DFB">
        <w:t>U</w:t>
      </w:r>
      <w:r w:rsidRPr="000C58C8">
        <w:t xml:space="preserve">nder Option 1 </w:t>
      </w:r>
    </w:p>
    <w:p w:rsidR="00EB19C9" w:rsidRPr="00F25003" w:rsidRDefault="00EB19C9" w:rsidP="00EB19C9">
      <w:pPr>
        <w:rPr>
          <w:rFonts w:asciiTheme="minorHAnsi" w:hAnsiTheme="minorHAnsi"/>
        </w:rPr>
      </w:pPr>
      <w:r w:rsidRPr="006C410E">
        <w:rPr>
          <w:rFonts w:asciiTheme="minorHAnsi" w:hAnsiTheme="minorHAnsi"/>
          <w:bCs/>
        </w:rPr>
        <w:t>The total</w:t>
      </w:r>
      <w:r>
        <w:rPr>
          <w:rFonts w:asciiTheme="minorHAnsi" w:hAnsiTheme="minorHAnsi"/>
          <w:bCs/>
        </w:rPr>
        <w:t xml:space="preserve"> net </w:t>
      </w:r>
      <w:r w:rsidRPr="006C410E">
        <w:rPr>
          <w:rFonts w:asciiTheme="minorHAnsi" w:hAnsiTheme="minorHAnsi"/>
          <w:bCs/>
        </w:rPr>
        <w:t xml:space="preserve">impacts resulting from each </w:t>
      </w:r>
      <w:r>
        <w:rPr>
          <w:rFonts w:asciiTheme="minorHAnsi" w:hAnsiTheme="minorHAnsi"/>
          <w:bCs/>
        </w:rPr>
        <w:t>specification</w:t>
      </w:r>
      <w:r w:rsidRPr="006C410E">
        <w:rPr>
          <w:rFonts w:asciiTheme="minorHAnsi" w:hAnsiTheme="minorHAnsi"/>
          <w:bCs/>
        </w:rPr>
        <w:t xml:space="preserve"> </w:t>
      </w:r>
      <w:r>
        <w:rPr>
          <w:rFonts w:asciiTheme="minorHAnsi" w:hAnsiTheme="minorHAnsi"/>
          <w:bCs/>
        </w:rPr>
        <w:t>under Option 1 are</w:t>
      </w:r>
      <w:r w:rsidRPr="00F25003">
        <w:rPr>
          <w:rFonts w:asciiTheme="minorHAnsi" w:hAnsiTheme="minorHAnsi"/>
          <w:bCs/>
        </w:rPr>
        <w:t xml:space="preserve"> presented in Table 2</w:t>
      </w:r>
      <w:r w:rsidR="00515D2C">
        <w:rPr>
          <w:rFonts w:asciiTheme="minorHAnsi" w:hAnsiTheme="minorHAnsi"/>
          <w:bCs/>
        </w:rPr>
        <w:t>0</w:t>
      </w:r>
      <w:r w:rsidRPr="00F25003">
        <w:rPr>
          <w:rFonts w:asciiTheme="minorHAnsi" w:hAnsiTheme="minorHAnsi"/>
          <w:bCs/>
        </w:rPr>
        <w:t>.</w:t>
      </w:r>
    </w:p>
    <w:p w:rsidR="00EB19C9" w:rsidRPr="003C3F2F" w:rsidRDefault="00EB19C9" w:rsidP="00EB19C9">
      <w:pPr>
        <w:spacing w:after="160" w:line="259" w:lineRule="auto"/>
        <w:jc w:val="center"/>
        <w:rPr>
          <w:rFonts w:asciiTheme="minorHAnsi" w:hAnsiTheme="minorHAnsi"/>
          <w:iCs/>
          <w:color w:val="002060"/>
          <w:sz w:val="24"/>
          <w:szCs w:val="24"/>
        </w:rPr>
      </w:pPr>
      <w:r w:rsidRPr="007575C4">
        <w:rPr>
          <w:rFonts w:asciiTheme="minorHAnsi" w:hAnsiTheme="minorHAnsi"/>
          <w:iCs/>
          <w:color w:val="002060"/>
          <w:sz w:val="24"/>
          <w:szCs w:val="24"/>
        </w:rPr>
        <w:t xml:space="preserve">Table </w:t>
      </w:r>
      <w:r w:rsidR="008A7DC4">
        <w:rPr>
          <w:rFonts w:asciiTheme="minorHAnsi" w:hAnsiTheme="minorHAnsi"/>
          <w:iCs/>
          <w:color w:val="002060"/>
          <w:sz w:val="24"/>
          <w:szCs w:val="24"/>
        </w:rPr>
        <w:t>20</w:t>
      </w:r>
      <w:r w:rsidRPr="007575C4">
        <w:rPr>
          <w:rFonts w:asciiTheme="minorHAnsi" w:hAnsiTheme="minorHAnsi"/>
          <w:iCs/>
          <w:color w:val="002060"/>
          <w:sz w:val="24"/>
          <w:szCs w:val="24"/>
        </w:rPr>
        <w:t xml:space="preserve">: Total </w:t>
      </w:r>
      <w:r>
        <w:rPr>
          <w:rFonts w:asciiTheme="minorHAnsi" w:hAnsiTheme="minorHAnsi"/>
          <w:iCs/>
          <w:color w:val="002060"/>
          <w:sz w:val="24"/>
          <w:szCs w:val="24"/>
        </w:rPr>
        <w:t xml:space="preserve">savings under alternative specifications </w:t>
      </w:r>
    </w:p>
    <w:tbl>
      <w:tblPr>
        <w:tblStyle w:val="TableGrid"/>
        <w:tblW w:w="9182" w:type="dxa"/>
        <w:tblLayout w:type="fixed"/>
        <w:tblLook w:val="04A0" w:firstRow="1" w:lastRow="0" w:firstColumn="1" w:lastColumn="0" w:noHBand="0" w:noVBand="1"/>
        <w:tblCaption w:val="Table presenting total savings under alternative specifications"/>
      </w:tblPr>
      <w:tblGrid>
        <w:gridCol w:w="1980"/>
        <w:gridCol w:w="2268"/>
        <w:gridCol w:w="2258"/>
        <w:gridCol w:w="2676"/>
      </w:tblGrid>
      <w:tr w:rsidR="00EB19C9" w:rsidRPr="00EF5B3E" w:rsidTr="00FE3334">
        <w:trPr>
          <w:trHeight w:val="300"/>
          <w:tblHeader/>
        </w:trPr>
        <w:tc>
          <w:tcPr>
            <w:tcW w:w="1980" w:type="dxa"/>
            <w:shd w:val="clear" w:color="auto" w:fill="002060"/>
            <w:noWrap/>
            <w:hideMark/>
          </w:tcPr>
          <w:p w:rsidR="00EB19C9" w:rsidRPr="00EF5B3E" w:rsidRDefault="00EB19C9" w:rsidP="00EB19C9">
            <w:pPr>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Present Values</w:t>
            </w:r>
          </w:p>
        </w:tc>
        <w:tc>
          <w:tcPr>
            <w:tcW w:w="2268" w:type="dxa"/>
            <w:shd w:val="clear" w:color="auto" w:fill="002060"/>
            <w:noWrap/>
            <w:hideMark/>
          </w:tcPr>
          <w:p w:rsidR="00EB19C9" w:rsidRPr="00EF5B3E" w:rsidRDefault="00EB19C9" w:rsidP="00EB19C9">
            <w:pPr>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AS 2118.1</w:t>
            </w:r>
          </w:p>
        </w:tc>
        <w:tc>
          <w:tcPr>
            <w:tcW w:w="2258" w:type="dxa"/>
            <w:shd w:val="clear" w:color="auto" w:fill="002060"/>
            <w:noWrap/>
            <w:hideMark/>
          </w:tcPr>
          <w:p w:rsidR="00EB19C9" w:rsidRPr="00EF5B3E" w:rsidRDefault="00EB19C9" w:rsidP="00EB19C9">
            <w:pPr>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FPAA 101D</w:t>
            </w:r>
          </w:p>
        </w:tc>
        <w:tc>
          <w:tcPr>
            <w:tcW w:w="2676" w:type="dxa"/>
            <w:shd w:val="clear" w:color="auto" w:fill="002060"/>
            <w:noWrap/>
            <w:hideMark/>
          </w:tcPr>
          <w:p w:rsidR="00EB19C9" w:rsidRPr="00EF5B3E" w:rsidRDefault="00EB19C9" w:rsidP="00EB19C9">
            <w:pPr>
              <w:jc w:val="center"/>
              <w:rPr>
                <w:rFonts w:ascii="Calibri" w:eastAsia="Times New Roman" w:hAnsi="Calibri" w:cs="Calibri"/>
                <w:color w:val="FFFFFF"/>
                <w:lang w:eastAsia="en-AU"/>
              </w:rPr>
            </w:pPr>
            <w:r w:rsidRPr="00EF5B3E">
              <w:rPr>
                <w:rFonts w:ascii="Calibri" w:eastAsia="Times New Roman" w:hAnsi="Calibri" w:cs="Calibri"/>
                <w:color w:val="FFFFFF"/>
                <w:lang w:eastAsia="en-AU"/>
              </w:rPr>
              <w:t>FPA 101H</w:t>
            </w:r>
          </w:p>
        </w:tc>
      </w:tr>
      <w:tr w:rsidR="00EB19C9" w:rsidRPr="00EF5B3E" w:rsidTr="00EB19C9">
        <w:trPr>
          <w:trHeight w:val="600"/>
        </w:trPr>
        <w:tc>
          <w:tcPr>
            <w:tcW w:w="1980" w:type="dxa"/>
            <w:hideMark/>
          </w:tcPr>
          <w:p w:rsidR="00EB19C9" w:rsidRPr="00EF5B3E" w:rsidRDefault="00EB19C9" w:rsidP="00EB19C9">
            <w:pPr>
              <w:rPr>
                <w:rFonts w:ascii="Calibri" w:eastAsia="Times New Roman" w:hAnsi="Calibri" w:cs="Calibri"/>
                <w:color w:val="000000"/>
                <w:lang w:eastAsia="en-AU"/>
              </w:rPr>
            </w:pPr>
            <w:r w:rsidRPr="00EF5B3E">
              <w:rPr>
                <w:rFonts w:ascii="Calibri" w:eastAsia="Times New Roman" w:hAnsi="Calibri" w:cs="Calibri"/>
                <w:color w:val="000000"/>
                <w:lang w:eastAsia="en-AU"/>
              </w:rPr>
              <w:t xml:space="preserve">Construction &amp; Maintenance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9C9" w:rsidRPr="00EF5B3E" w:rsidRDefault="004D2FB4" w:rsidP="00491A75">
            <w:pPr>
              <w:jc w:val="center"/>
              <w:rPr>
                <w:rFonts w:ascii="Calibri" w:eastAsia="Times New Roman" w:hAnsi="Calibri" w:cs="Calibri"/>
                <w:color w:val="000000"/>
                <w:lang w:eastAsia="en-AU"/>
              </w:rPr>
            </w:pPr>
            <w:r>
              <w:rPr>
                <w:rFonts w:ascii="Calibri" w:hAnsi="Calibri" w:cs="Calibri"/>
                <w:color w:val="000000"/>
              </w:rPr>
              <w:t>(</w:t>
            </w:r>
            <w:r w:rsidR="00EB19C9">
              <w:rPr>
                <w:rFonts w:ascii="Calibri" w:hAnsi="Calibri" w:cs="Calibri"/>
                <w:color w:val="000000"/>
              </w:rPr>
              <w:t>$</w:t>
            </w:r>
            <w:r w:rsidR="00491A75">
              <w:rPr>
                <w:rFonts w:ascii="Calibri" w:hAnsi="Calibri" w:cs="Calibri"/>
                <w:color w:val="000000"/>
              </w:rPr>
              <w:t>1,178,227,087</w:t>
            </w:r>
            <w:r>
              <w:rPr>
                <w:rFonts w:ascii="Calibri" w:hAnsi="Calibri" w:cs="Calibri"/>
                <w:color w:val="000000"/>
              </w:rPr>
              <w:t>)</w:t>
            </w:r>
          </w:p>
        </w:tc>
        <w:tc>
          <w:tcPr>
            <w:tcW w:w="2258" w:type="dxa"/>
            <w:tcBorders>
              <w:top w:val="single" w:sz="4" w:space="0" w:color="auto"/>
              <w:left w:val="nil"/>
              <w:bottom w:val="single" w:sz="4" w:space="0" w:color="auto"/>
              <w:right w:val="single" w:sz="4" w:space="0" w:color="auto"/>
            </w:tcBorders>
            <w:shd w:val="clear" w:color="auto" w:fill="auto"/>
            <w:noWrap/>
            <w:vAlign w:val="bottom"/>
            <w:hideMark/>
          </w:tcPr>
          <w:p w:rsidR="00EB19C9" w:rsidRPr="00EF5B3E" w:rsidRDefault="00D9364F" w:rsidP="00491A75">
            <w:pPr>
              <w:jc w:val="center"/>
              <w:rPr>
                <w:rFonts w:ascii="Calibri" w:eastAsia="Times New Roman" w:hAnsi="Calibri" w:cs="Calibri"/>
                <w:color w:val="000000"/>
                <w:lang w:eastAsia="en-AU"/>
              </w:rPr>
            </w:pPr>
            <w:r>
              <w:rPr>
                <w:rFonts w:ascii="Calibri" w:hAnsi="Calibri" w:cs="Calibri"/>
                <w:color w:val="000000"/>
              </w:rPr>
              <w:t>(</w:t>
            </w:r>
            <w:r w:rsidR="00EB19C9">
              <w:rPr>
                <w:rFonts w:ascii="Calibri" w:hAnsi="Calibri" w:cs="Calibri"/>
                <w:color w:val="000000"/>
              </w:rPr>
              <w:t>$</w:t>
            </w:r>
            <w:r w:rsidR="00491A75">
              <w:rPr>
                <w:rFonts w:ascii="Calibri" w:hAnsi="Calibri" w:cs="Calibri"/>
                <w:color w:val="000000"/>
              </w:rPr>
              <w:t>359,047,236</w:t>
            </w:r>
            <w:r>
              <w:rPr>
                <w:rFonts w:ascii="Calibri" w:hAnsi="Calibri" w:cs="Calibri"/>
                <w:color w:val="000000"/>
              </w:rPr>
              <w:t>)</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rsidR="00EB19C9" w:rsidRPr="00EF5B3E" w:rsidRDefault="004D2FB4" w:rsidP="00491A75">
            <w:pPr>
              <w:jc w:val="center"/>
              <w:rPr>
                <w:rFonts w:ascii="Calibri" w:eastAsia="Times New Roman" w:hAnsi="Calibri" w:cs="Calibri"/>
                <w:color w:val="000000"/>
                <w:lang w:eastAsia="en-AU"/>
              </w:rPr>
            </w:pPr>
            <w:r>
              <w:rPr>
                <w:rFonts w:ascii="Calibri" w:hAnsi="Calibri" w:cs="Calibri"/>
                <w:color w:val="000000"/>
              </w:rPr>
              <w:t>(</w:t>
            </w:r>
            <w:r w:rsidR="00EB19C9">
              <w:rPr>
                <w:rFonts w:ascii="Calibri" w:hAnsi="Calibri" w:cs="Calibri"/>
                <w:color w:val="000000"/>
              </w:rPr>
              <w:t>$</w:t>
            </w:r>
            <w:r w:rsidR="00491A75">
              <w:rPr>
                <w:rFonts w:ascii="Calibri" w:hAnsi="Calibri" w:cs="Calibri"/>
                <w:color w:val="000000"/>
              </w:rPr>
              <w:t>939,275,225</w:t>
            </w:r>
            <w:r>
              <w:rPr>
                <w:rFonts w:ascii="Calibri" w:hAnsi="Calibri" w:cs="Calibri"/>
                <w:color w:val="000000"/>
              </w:rPr>
              <w:t>)</w:t>
            </w:r>
          </w:p>
        </w:tc>
      </w:tr>
      <w:tr w:rsidR="00EB19C9" w:rsidRPr="00EF5B3E" w:rsidTr="00EB19C9">
        <w:trPr>
          <w:trHeight w:val="300"/>
        </w:trPr>
        <w:tc>
          <w:tcPr>
            <w:tcW w:w="1980" w:type="dxa"/>
            <w:hideMark/>
          </w:tcPr>
          <w:p w:rsidR="00EB19C9" w:rsidRPr="00EF5B3E" w:rsidRDefault="00EB19C9" w:rsidP="00EB19C9">
            <w:pPr>
              <w:rPr>
                <w:rFonts w:ascii="Calibri" w:eastAsia="Times New Roman" w:hAnsi="Calibri" w:cs="Calibri"/>
                <w:color w:val="000000"/>
                <w:lang w:eastAsia="en-AU"/>
              </w:rPr>
            </w:pPr>
            <w:r w:rsidRPr="00EF5B3E">
              <w:rPr>
                <w:rFonts w:ascii="Calibri" w:eastAsia="Times New Roman" w:hAnsi="Calibri" w:cs="Calibri"/>
                <w:color w:val="000000"/>
                <w:lang w:eastAsia="en-AU"/>
              </w:rPr>
              <w:t>Sal</w:t>
            </w:r>
            <w:r>
              <w:rPr>
                <w:rFonts w:ascii="Calibri" w:eastAsia="Times New Roman" w:hAnsi="Calibri" w:cs="Calibri"/>
                <w:color w:val="000000"/>
                <w:lang w:eastAsia="en-AU"/>
              </w:rPr>
              <w:t>e</w:t>
            </w:r>
            <w:r w:rsidRPr="00EF5B3E">
              <w:rPr>
                <w:rFonts w:ascii="Calibri" w:eastAsia="Times New Roman" w:hAnsi="Calibri" w:cs="Calibri"/>
                <w:color w:val="000000"/>
                <w:lang w:eastAsia="en-AU"/>
              </w:rPr>
              <w:t>able Space</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$517,019,063</w:t>
            </w:r>
          </w:p>
        </w:tc>
        <w:tc>
          <w:tcPr>
            <w:tcW w:w="2258"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$517,019,063</w:t>
            </w:r>
          </w:p>
        </w:tc>
        <w:tc>
          <w:tcPr>
            <w:tcW w:w="2676"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$517,019,063</w:t>
            </w:r>
          </w:p>
        </w:tc>
      </w:tr>
      <w:tr w:rsidR="00EB19C9" w:rsidRPr="00EF5B3E" w:rsidTr="00EB19C9">
        <w:trPr>
          <w:trHeight w:val="300"/>
        </w:trPr>
        <w:tc>
          <w:tcPr>
            <w:tcW w:w="1980" w:type="dxa"/>
            <w:noWrap/>
            <w:hideMark/>
          </w:tcPr>
          <w:p w:rsidR="00EB19C9" w:rsidRPr="00EF5B3E" w:rsidRDefault="00EB19C9" w:rsidP="00EB19C9">
            <w:pPr>
              <w:rPr>
                <w:rFonts w:ascii="Calibri" w:eastAsia="Times New Roman" w:hAnsi="Calibri" w:cs="Calibri"/>
                <w:color w:val="000000"/>
                <w:lang w:eastAsia="en-AU"/>
              </w:rPr>
            </w:pPr>
            <w:r w:rsidRPr="00EF5B3E">
              <w:rPr>
                <w:rFonts w:ascii="Calibri" w:eastAsia="Times New Roman" w:hAnsi="Calibri" w:cs="Calibri"/>
                <w:color w:val="000000"/>
                <w:lang w:eastAsia="en-AU"/>
              </w:rPr>
              <w:t xml:space="preserve">Injuries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B19C9" w:rsidRPr="00EF5B3E" w:rsidRDefault="00EB19C9" w:rsidP="00E84246">
            <w:pPr>
              <w:jc w:val="center"/>
              <w:rPr>
                <w:rFonts w:ascii="Calibri" w:eastAsia="Times New Roman" w:hAnsi="Calibri" w:cs="Calibri"/>
                <w:color w:val="000000"/>
                <w:lang w:eastAsia="en-AU"/>
              </w:rPr>
            </w:pPr>
            <w:r>
              <w:rPr>
                <w:rFonts w:ascii="Calibri" w:hAnsi="Calibri" w:cs="Calibri"/>
                <w:color w:val="000000"/>
              </w:rPr>
              <w:t>$</w:t>
            </w:r>
            <w:r w:rsidR="00E84246">
              <w:rPr>
                <w:rFonts w:ascii="Calibri" w:hAnsi="Calibri" w:cs="Calibri"/>
                <w:color w:val="000000"/>
              </w:rPr>
              <w:t>14,596,674</w:t>
            </w:r>
          </w:p>
        </w:tc>
        <w:tc>
          <w:tcPr>
            <w:tcW w:w="2258"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84246">
            <w:pPr>
              <w:jc w:val="center"/>
              <w:rPr>
                <w:rFonts w:ascii="Calibri" w:eastAsia="Times New Roman" w:hAnsi="Calibri" w:cs="Calibri"/>
                <w:color w:val="000000"/>
                <w:lang w:eastAsia="en-AU"/>
              </w:rPr>
            </w:pPr>
            <w:r>
              <w:rPr>
                <w:rFonts w:ascii="Calibri" w:hAnsi="Calibri" w:cs="Calibri"/>
                <w:color w:val="000000"/>
              </w:rPr>
              <w:t>$</w:t>
            </w:r>
            <w:r w:rsidR="00E84246">
              <w:rPr>
                <w:rFonts w:ascii="Calibri" w:hAnsi="Calibri" w:cs="Calibri"/>
                <w:color w:val="000000"/>
              </w:rPr>
              <w:t>13,583,016</w:t>
            </w:r>
          </w:p>
        </w:tc>
        <w:tc>
          <w:tcPr>
            <w:tcW w:w="2676"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84246">
            <w:pPr>
              <w:jc w:val="center"/>
              <w:rPr>
                <w:rFonts w:ascii="Calibri" w:eastAsia="Times New Roman" w:hAnsi="Calibri" w:cs="Calibri"/>
                <w:color w:val="000000"/>
                <w:lang w:eastAsia="en-AU"/>
              </w:rPr>
            </w:pPr>
            <w:r>
              <w:rPr>
                <w:rFonts w:ascii="Calibri" w:hAnsi="Calibri" w:cs="Calibri"/>
                <w:color w:val="000000"/>
              </w:rPr>
              <w:t>$</w:t>
            </w:r>
            <w:r w:rsidR="00E84246">
              <w:rPr>
                <w:rFonts w:ascii="Calibri" w:hAnsi="Calibri" w:cs="Calibri"/>
                <w:color w:val="000000"/>
              </w:rPr>
              <w:t>14,596,674</w:t>
            </w:r>
          </w:p>
        </w:tc>
      </w:tr>
      <w:tr w:rsidR="00EB19C9" w:rsidRPr="00EF5B3E" w:rsidTr="00EB19C9">
        <w:trPr>
          <w:trHeight w:val="300"/>
        </w:trPr>
        <w:tc>
          <w:tcPr>
            <w:tcW w:w="1980" w:type="dxa"/>
            <w:noWrap/>
            <w:hideMark/>
          </w:tcPr>
          <w:p w:rsidR="00EB19C9" w:rsidRPr="00EF5B3E" w:rsidRDefault="00EB19C9" w:rsidP="00EB19C9">
            <w:pPr>
              <w:rPr>
                <w:rFonts w:ascii="Calibri" w:eastAsia="Times New Roman" w:hAnsi="Calibri" w:cs="Calibri"/>
                <w:color w:val="000000"/>
                <w:lang w:eastAsia="en-AU"/>
              </w:rPr>
            </w:pPr>
            <w:r w:rsidRPr="00EF5B3E">
              <w:rPr>
                <w:rFonts w:ascii="Calibri" w:eastAsia="Times New Roman" w:hAnsi="Calibri" w:cs="Calibri"/>
                <w:color w:val="000000"/>
                <w:lang w:eastAsia="en-AU"/>
              </w:rPr>
              <w:t xml:space="preserve">Fatalities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$628,515</w:t>
            </w:r>
          </w:p>
        </w:tc>
        <w:tc>
          <w:tcPr>
            <w:tcW w:w="2258"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$584,868</w:t>
            </w:r>
          </w:p>
        </w:tc>
        <w:tc>
          <w:tcPr>
            <w:tcW w:w="2676"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$628,515</w:t>
            </w:r>
          </w:p>
        </w:tc>
      </w:tr>
      <w:tr w:rsidR="00EB19C9" w:rsidRPr="00EF5B3E" w:rsidTr="00EB19C9">
        <w:trPr>
          <w:trHeight w:val="300"/>
        </w:trPr>
        <w:tc>
          <w:tcPr>
            <w:tcW w:w="1980" w:type="dxa"/>
            <w:noWrap/>
            <w:hideMark/>
          </w:tcPr>
          <w:p w:rsidR="00EB19C9" w:rsidRPr="00EF5B3E" w:rsidRDefault="00EB19C9" w:rsidP="00EB19C9">
            <w:pPr>
              <w:rPr>
                <w:rFonts w:ascii="Calibri" w:eastAsia="Times New Roman" w:hAnsi="Calibri" w:cs="Calibri"/>
                <w:color w:val="000000"/>
                <w:lang w:eastAsia="en-AU"/>
              </w:rPr>
            </w:pPr>
            <w:r w:rsidRPr="00EF5B3E">
              <w:rPr>
                <w:rFonts w:ascii="Calibri" w:eastAsia="Times New Roman" w:hAnsi="Calibri" w:cs="Calibri"/>
                <w:color w:val="000000"/>
                <w:lang w:eastAsia="en-AU"/>
              </w:rPr>
              <w:t>Property</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$8,814,489</w:t>
            </w:r>
          </w:p>
        </w:tc>
        <w:tc>
          <w:tcPr>
            <w:tcW w:w="2258"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$8,814,489</w:t>
            </w:r>
          </w:p>
        </w:tc>
        <w:tc>
          <w:tcPr>
            <w:tcW w:w="2676"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EB19C9">
            <w:pPr>
              <w:jc w:val="center"/>
              <w:rPr>
                <w:rFonts w:ascii="Calibri" w:eastAsia="Times New Roman" w:hAnsi="Calibri" w:cs="Calibri"/>
                <w:color w:val="000000"/>
                <w:lang w:eastAsia="en-AU"/>
              </w:rPr>
            </w:pPr>
            <w:r>
              <w:rPr>
                <w:rFonts w:ascii="Calibri" w:hAnsi="Calibri" w:cs="Calibri"/>
                <w:color w:val="000000"/>
              </w:rPr>
              <w:t>$8,814,489</w:t>
            </w:r>
          </w:p>
        </w:tc>
      </w:tr>
      <w:tr w:rsidR="00EB19C9" w:rsidRPr="00EF5B3E" w:rsidTr="00EB19C9">
        <w:trPr>
          <w:trHeight w:val="300"/>
        </w:trPr>
        <w:tc>
          <w:tcPr>
            <w:tcW w:w="1980" w:type="dxa"/>
            <w:noWrap/>
            <w:hideMark/>
          </w:tcPr>
          <w:p w:rsidR="00EB19C9" w:rsidRPr="00EF5B3E" w:rsidRDefault="00EB19C9" w:rsidP="00EB19C9">
            <w:pPr>
              <w:rPr>
                <w:rFonts w:ascii="Calibri" w:eastAsia="Times New Roman" w:hAnsi="Calibri" w:cs="Calibri"/>
                <w:color w:val="000000"/>
                <w:lang w:eastAsia="en-AU"/>
              </w:rPr>
            </w:pPr>
            <w:r w:rsidRPr="00EF5B3E">
              <w:rPr>
                <w:rFonts w:ascii="Calibri" w:eastAsia="Times New Roman" w:hAnsi="Calibri" w:cs="Calibri"/>
                <w:color w:val="000000"/>
                <w:lang w:eastAsia="en-AU"/>
              </w:rPr>
              <w:t xml:space="preserve">Total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EB19C9" w:rsidRPr="00EF5B3E" w:rsidRDefault="0022623A" w:rsidP="00317AEC">
            <w:pPr>
              <w:jc w:val="center"/>
              <w:rPr>
                <w:rFonts w:ascii="Calibri" w:eastAsia="Times New Roman" w:hAnsi="Calibri" w:cs="Calibri"/>
                <w:color w:val="000000"/>
                <w:lang w:eastAsia="en-AU"/>
              </w:rPr>
            </w:pPr>
            <w:r>
              <w:rPr>
                <w:rFonts w:ascii="Calibri" w:hAnsi="Calibri" w:cs="Calibri"/>
                <w:color w:val="000000"/>
              </w:rPr>
              <w:t>(</w:t>
            </w:r>
            <w:r w:rsidR="00EB19C9">
              <w:rPr>
                <w:rFonts w:ascii="Calibri" w:hAnsi="Calibri" w:cs="Calibri"/>
                <w:color w:val="000000"/>
              </w:rPr>
              <w:t>$</w:t>
            </w:r>
            <w:r w:rsidR="00317AEC">
              <w:rPr>
                <w:rFonts w:ascii="Calibri" w:hAnsi="Calibri" w:cs="Calibri"/>
                <w:color w:val="000000"/>
              </w:rPr>
              <w:t>637,168,346</w:t>
            </w:r>
            <w:r>
              <w:rPr>
                <w:rFonts w:ascii="Calibri" w:hAnsi="Calibri" w:cs="Calibri"/>
                <w:color w:val="000000"/>
              </w:rPr>
              <w:t>)</w:t>
            </w:r>
          </w:p>
        </w:tc>
        <w:tc>
          <w:tcPr>
            <w:tcW w:w="2258" w:type="dxa"/>
            <w:tcBorders>
              <w:top w:val="nil"/>
              <w:left w:val="nil"/>
              <w:bottom w:val="single" w:sz="4" w:space="0" w:color="auto"/>
              <w:right w:val="single" w:sz="4" w:space="0" w:color="auto"/>
            </w:tcBorders>
            <w:shd w:val="clear" w:color="auto" w:fill="auto"/>
            <w:noWrap/>
            <w:vAlign w:val="bottom"/>
            <w:hideMark/>
          </w:tcPr>
          <w:p w:rsidR="00EB19C9" w:rsidRPr="00EF5B3E" w:rsidRDefault="00EB19C9" w:rsidP="00317AEC">
            <w:pPr>
              <w:jc w:val="center"/>
              <w:rPr>
                <w:rFonts w:ascii="Calibri" w:eastAsia="Times New Roman" w:hAnsi="Calibri" w:cs="Calibri"/>
                <w:color w:val="000000"/>
                <w:lang w:eastAsia="en-AU"/>
              </w:rPr>
            </w:pPr>
            <w:r>
              <w:rPr>
                <w:rFonts w:ascii="Calibri" w:hAnsi="Calibri" w:cs="Calibri"/>
                <w:color w:val="000000"/>
              </w:rPr>
              <w:t>$</w:t>
            </w:r>
            <w:r w:rsidR="00AA57D5">
              <w:rPr>
                <w:rFonts w:ascii="Calibri" w:hAnsi="Calibri" w:cs="Calibri"/>
                <w:color w:val="000000"/>
              </w:rPr>
              <w:t>180,954,200</w:t>
            </w:r>
          </w:p>
        </w:tc>
        <w:tc>
          <w:tcPr>
            <w:tcW w:w="2676" w:type="dxa"/>
            <w:tcBorders>
              <w:top w:val="nil"/>
              <w:left w:val="nil"/>
              <w:bottom w:val="single" w:sz="4" w:space="0" w:color="auto"/>
              <w:right w:val="single" w:sz="4" w:space="0" w:color="auto"/>
            </w:tcBorders>
            <w:shd w:val="clear" w:color="auto" w:fill="auto"/>
            <w:noWrap/>
            <w:vAlign w:val="bottom"/>
            <w:hideMark/>
          </w:tcPr>
          <w:p w:rsidR="00EB19C9" w:rsidRPr="00EF5B3E" w:rsidRDefault="0022623A" w:rsidP="00317AEC">
            <w:pPr>
              <w:jc w:val="center"/>
              <w:rPr>
                <w:rFonts w:ascii="Calibri" w:eastAsia="Times New Roman" w:hAnsi="Calibri" w:cs="Calibri"/>
                <w:color w:val="000000"/>
                <w:lang w:eastAsia="en-AU"/>
              </w:rPr>
            </w:pPr>
            <w:r>
              <w:rPr>
                <w:rFonts w:ascii="Calibri" w:hAnsi="Calibri" w:cs="Calibri"/>
                <w:color w:val="000000"/>
              </w:rPr>
              <w:t>(</w:t>
            </w:r>
            <w:r w:rsidR="00EB19C9">
              <w:rPr>
                <w:rFonts w:ascii="Calibri" w:hAnsi="Calibri" w:cs="Calibri"/>
                <w:color w:val="000000"/>
              </w:rPr>
              <w:t>$</w:t>
            </w:r>
            <w:r w:rsidR="00317AEC">
              <w:rPr>
                <w:rFonts w:ascii="Calibri" w:hAnsi="Calibri" w:cs="Calibri"/>
                <w:color w:val="000000"/>
              </w:rPr>
              <w:t>398,216,484</w:t>
            </w:r>
            <w:r>
              <w:rPr>
                <w:rFonts w:ascii="Calibri" w:hAnsi="Calibri" w:cs="Calibri"/>
                <w:color w:val="000000"/>
              </w:rPr>
              <w:t>)</w:t>
            </w:r>
          </w:p>
        </w:tc>
      </w:tr>
    </w:tbl>
    <w:p w:rsidR="00EB19C9" w:rsidRDefault="00EB19C9" w:rsidP="00EB19C9">
      <w:pPr>
        <w:spacing w:before="240" w:after="0"/>
        <w:rPr>
          <w:rFonts w:ascii="Calibri" w:hAnsi="Calibri"/>
          <w:bCs/>
          <w:sz w:val="20"/>
        </w:rPr>
      </w:pPr>
      <w:r w:rsidRPr="009C1CA3">
        <w:rPr>
          <w:rFonts w:ascii="Calibri" w:hAnsi="Calibri"/>
          <w:bCs/>
          <w:sz w:val="20"/>
        </w:rPr>
        <w:t>Note:</w:t>
      </w:r>
    </w:p>
    <w:p w:rsidR="00EB19C9" w:rsidRPr="009C1CA3" w:rsidRDefault="00EB19C9" w:rsidP="00EB19C9">
      <w:pPr>
        <w:pStyle w:val="ListParagraph"/>
        <w:numPr>
          <w:ilvl w:val="0"/>
          <w:numId w:val="111"/>
        </w:numPr>
        <w:ind w:left="714" w:hanging="357"/>
        <w:rPr>
          <w:rFonts w:ascii="Calibri" w:hAnsi="Calibri"/>
          <w:bCs/>
          <w:sz w:val="20"/>
        </w:rPr>
      </w:pPr>
      <w:r w:rsidRPr="009C1CA3">
        <w:rPr>
          <w:rFonts w:ascii="Calibri" w:hAnsi="Calibri"/>
          <w:bCs/>
          <w:sz w:val="20"/>
        </w:rPr>
        <w:t xml:space="preserve"> Bracketed </w:t>
      </w:r>
      <w:r w:rsidR="00FE27DD">
        <w:rPr>
          <w:rFonts w:ascii="Calibri" w:hAnsi="Calibri"/>
          <w:bCs/>
          <w:sz w:val="20"/>
        </w:rPr>
        <w:t>values represent</w:t>
      </w:r>
      <w:r w:rsidRPr="009C1CA3">
        <w:rPr>
          <w:rFonts w:ascii="Calibri" w:hAnsi="Calibri"/>
          <w:bCs/>
          <w:sz w:val="20"/>
        </w:rPr>
        <w:t xml:space="preserve"> negative savings (costs).</w:t>
      </w:r>
    </w:p>
    <w:p w:rsidR="00491A75" w:rsidRDefault="00EB19C9" w:rsidP="00491A75">
      <w:pPr>
        <w:spacing w:before="240"/>
        <w:rPr>
          <w:rFonts w:asciiTheme="majorHAnsi" w:eastAsiaTheme="majorEastAsia" w:hAnsiTheme="majorHAnsi" w:cstheme="majorBidi"/>
          <w:b/>
          <w:bCs/>
          <w:color w:val="002060"/>
          <w:sz w:val="40"/>
          <w:szCs w:val="28"/>
        </w:rPr>
      </w:pPr>
      <w:r>
        <w:rPr>
          <w:rFonts w:ascii="Calibri" w:hAnsi="Calibri"/>
          <w:bCs/>
        </w:rPr>
        <w:t>T</w:t>
      </w:r>
      <w:r w:rsidRPr="00FC52E4">
        <w:rPr>
          <w:rFonts w:ascii="Calibri" w:hAnsi="Calibri"/>
          <w:bCs/>
        </w:rPr>
        <w:t xml:space="preserve">he individual impacts of each </w:t>
      </w:r>
      <w:r>
        <w:rPr>
          <w:rFonts w:ascii="Calibri" w:hAnsi="Calibri"/>
          <w:bCs/>
        </w:rPr>
        <w:t>specification</w:t>
      </w:r>
      <w:r w:rsidRPr="00FC52E4">
        <w:rPr>
          <w:rFonts w:ascii="Calibri" w:hAnsi="Calibri"/>
          <w:bCs/>
        </w:rPr>
        <w:t xml:space="preserve"> </w:t>
      </w:r>
      <w:r w:rsidR="00E10DFB">
        <w:rPr>
          <w:rFonts w:ascii="Calibri" w:hAnsi="Calibri"/>
          <w:bCs/>
        </w:rPr>
        <w:t xml:space="preserve">differ </w:t>
      </w:r>
      <w:r w:rsidRPr="00FC52E4">
        <w:rPr>
          <w:rFonts w:ascii="Calibri" w:hAnsi="Calibri"/>
          <w:bCs/>
        </w:rPr>
        <w:t xml:space="preserve">significantly </w:t>
      </w:r>
      <w:r w:rsidR="00E10DFB">
        <w:rPr>
          <w:rFonts w:ascii="Calibri" w:hAnsi="Calibri"/>
          <w:bCs/>
        </w:rPr>
        <w:t xml:space="preserve">and range </w:t>
      </w:r>
      <w:r w:rsidRPr="00FC52E4">
        <w:rPr>
          <w:rFonts w:ascii="Calibri" w:hAnsi="Calibri"/>
          <w:bCs/>
        </w:rPr>
        <w:t xml:space="preserve">from a net cost of </w:t>
      </w:r>
      <w:r w:rsidRPr="001D3ED5">
        <w:rPr>
          <w:rFonts w:ascii="Calibri" w:hAnsi="Calibri"/>
          <w:bCs/>
        </w:rPr>
        <w:t>$</w:t>
      </w:r>
      <w:r w:rsidR="00E84246">
        <w:rPr>
          <w:rFonts w:ascii="Calibri" w:hAnsi="Calibri"/>
          <w:bCs/>
        </w:rPr>
        <w:t xml:space="preserve">637 </w:t>
      </w:r>
      <w:r w:rsidRPr="00FC52E4">
        <w:rPr>
          <w:rFonts w:ascii="Calibri" w:hAnsi="Calibri"/>
        </w:rPr>
        <w:t xml:space="preserve">million for the AS 2118.1 option to a </w:t>
      </w:r>
      <w:r>
        <w:rPr>
          <w:rFonts w:ascii="Calibri" w:hAnsi="Calibri"/>
          <w:bCs/>
        </w:rPr>
        <w:t xml:space="preserve">saving of </w:t>
      </w:r>
      <w:r w:rsidRPr="001D3ED5">
        <w:rPr>
          <w:rFonts w:ascii="Calibri" w:hAnsi="Calibri"/>
          <w:bCs/>
        </w:rPr>
        <w:t>$</w:t>
      </w:r>
      <w:r w:rsidR="00E84246">
        <w:rPr>
          <w:rFonts w:ascii="Calibri" w:hAnsi="Calibri"/>
          <w:bCs/>
        </w:rPr>
        <w:t xml:space="preserve">181 </w:t>
      </w:r>
      <w:r w:rsidRPr="00FC52E4">
        <w:rPr>
          <w:rFonts w:ascii="Calibri" w:hAnsi="Calibri"/>
        </w:rPr>
        <w:t>million</w:t>
      </w:r>
      <w:r w:rsidRPr="00FC52E4">
        <w:rPr>
          <w:rFonts w:ascii="Calibri" w:hAnsi="Calibri"/>
          <w:bCs/>
        </w:rPr>
        <w:t xml:space="preserve"> for the FPAA 101D option in Present Value </w:t>
      </w:r>
      <w:r w:rsidRPr="00FC52E4">
        <w:rPr>
          <w:rFonts w:ascii="Calibri" w:hAnsi="Calibri"/>
          <w:bCs/>
        </w:rPr>
        <w:lastRenderedPageBreak/>
        <w:t xml:space="preserve">terms. Due to the large variation in outcomes depending on which </w:t>
      </w:r>
      <w:r>
        <w:rPr>
          <w:rFonts w:ascii="Calibri" w:hAnsi="Calibri"/>
          <w:bCs/>
        </w:rPr>
        <w:t>specification</w:t>
      </w:r>
      <w:r w:rsidRPr="00FC52E4">
        <w:rPr>
          <w:rFonts w:ascii="Calibri" w:hAnsi="Calibri"/>
          <w:bCs/>
        </w:rPr>
        <w:t xml:space="preserve"> is used, these results </w:t>
      </w:r>
      <w:r>
        <w:rPr>
          <w:rFonts w:ascii="Calibri" w:hAnsi="Calibri"/>
          <w:bCs/>
        </w:rPr>
        <w:t xml:space="preserve">need to </w:t>
      </w:r>
      <w:r w:rsidRPr="00FC52E4">
        <w:rPr>
          <w:rFonts w:ascii="Calibri" w:hAnsi="Calibri"/>
          <w:bCs/>
        </w:rPr>
        <w:t xml:space="preserve">be considered in conjunction with the expected uptake of each </w:t>
      </w:r>
      <w:r>
        <w:rPr>
          <w:rFonts w:ascii="Calibri" w:hAnsi="Calibri"/>
          <w:bCs/>
        </w:rPr>
        <w:t>specification which is discussed below</w:t>
      </w:r>
      <w:r w:rsidRPr="00FC52E4">
        <w:rPr>
          <w:rFonts w:ascii="Calibri" w:hAnsi="Calibri"/>
          <w:bCs/>
        </w:rPr>
        <w:t>.</w:t>
      </w:r>
    </w:p>
    <w:p w:rsidR="00EB19C9" w:rsidRPr="00A6669A" w:rsidRDefault="00EB19C9" w:rsidP="00EB19C9">
      <w:pPr>
        <w:pStyle w:val="Heading1"/>
        <w:spacing w:before="240"/>
      </w:pPr>
      <w:bookmarkStart w:id="43" w:name="_Toc527709102"/>
      <w:r w:rsidRPr="00A6669A">
        <w:t>Uptake of Alternative Sprinkler Specifications</w:t>
      </w:r>
      <w:bookmarkEnd w:id="43"/>
    </w:p>
    <w:p w:rsidR="00EB19C9" w:rsidRPr="0065667F" w:rsidRDefault="00EB19C9" w:rsidP="00EB19C9">
      <w:pPr>
        <w:spacing w:after="120"/>
        <w:rPr>
          <w:rFonts w:asciiTheme="minorHAnsi" w:hAnsiTheme="minorHAnsi"/>
        </w:rPr>
      </w:pPr>
      <w:r>
        <w:rPr>
          <w:rFonts w:asciiTheme="minorHAnsi" w:hAnsiTheme="minorHAnsi"/>
        </w:rPr>
        <w:t xml:space="preserve">As only the FPAA 101D system generates a net benefit in its own right, and acknowledging that this specification cannot be used in all circumstances, the aggregate impact of both options will be dependent on the rate at which all specifications are adopted. </w:t>
      </w:r>
    </w:p>
    <w:p w:rsidR="00EB19C9" w:rsidRDefault="00EB19C9" w:rsidP="00EB19C9">
      <w:pPr>
        <w:rPr>
          <w:rFonts w:asciiTheme="minorHAnsi" w:hAnsiTheme="minorHAnsi"/>
        </w:rPr>
      </w:pPr>
      <w:r>
        <w:rPr>
          <w:rFonts w:asciiTheme="minorHAnsi" w:hAnsiTheme="minorHAnsi"/>
        </w:rPr>
        <w:t>The degree to which each specification will be selected in practic</w:t>
      </w:r>
      <w:r w:rsidR="00FE27DD">
        <w:rPr>
          <w:rFonts w:asciiTheme="minorHAnsi" w:hAnsiTheme="minorHAnsi"/>
        </w:rPr>
        <w:t xml:space="preserve">e is not known with certainty. </w:t>
      </w:r>
      <w:r>
        <w:rPr>
          <w:rFonts w:asciiTheme="minorHAnsi" w:hAnsiTheme="minorHAnsi"/>
        </w:rPr>
        <w:t>A central case has been constructed based on the following information:</w:t>
      </w:r>
    </w:p>
    <w:p w:rsidR="00EB19C9" w:rsidRPr="00A6669A" w:rsidRDefault="00EB19C9" w:rsidP="00EB19C9">
      <w:pPr>
        <w:pStyle w:val="ListParagraph"/>
        <w:numPr>
          <w:ilvl w:val="0"/>
          <w:numId w:val="37"/>
        </w:numPr>
        <w:spacing w:before="120"/>
        <w:rPr>
          <w:rFonts w:asciiTheme="minorHAnsi" w:hAnsiTheme="minorHAnsi"/>
        </w:rPr>
      </w:pPr>
      <w:r w:rsidRPr="00A6669A">
        <w:rPr>
          <w:rFonts w:asciiTheme="minorHAnsi" w:hAnsiTheme="minorHAnsi"/>
        </w:rPr>
        <w:t>Designers apply a top down approach to system design – selecting a system on its ability to serve the proposed design</w:t>
      </w:r>
      <w:r>
        <w:rPr>
          <w:rFonts w:asciiTheme="minorHAnsi" w:hAnsiTheme="minorHAnsi"/>
        </w:rPr>
        <w:t>,</w:t>
      </w:r>
      <w:r w:rsidRPr="00A6669A">
        <w:rPr>
          <w:rFonts w:asciiTheme="minorHAnsi" w:hAnsiTheme="minorHAnsi"/>
        </w:rPr>
        <w:t xml:space="preserve"> based on </w:t>
      </w:r>
      <w:r>
        <w:rPr>
          <w:rFonts w:asciiTheme="minorHAnsi" w:hAnsiTheme="minorHAnsi"/>
        </w:rPr>
        <w:t xml:space="preserve">the limitations of the </w:t>
      </w:r>
      <w:r w:rsidR="0022623A">
        <w:rPr>
          <w:rFonts w:asciiTheme="minorHAnsi" w:hAnsiTheme="minorHAnsi"/>
        </w:rPr>
        <w:t>specification</w:t>
      </w:r>
      <w:r>
        <w:rPr>
          <w:rFonts w:asciiTheme="minorHAnsi" w:hAnsiTheme="minorHAnsi"/>
        </w:rPr>
        <w:t>. These limitations may depend on the:</w:t>
      </w:r>
    </w:p>
    <w:p w:rsidR="00EB19C9" w:rsidRDefault="00EB19C9" w:rsidP="00EB19C9">
      <w:pPr>
        <w:pStyle w:val="ListParagraph"/>
        <w:numPr>
          <w:ilvl w:val="0"/>
          <w:numId w:val="35"/>
        </w:numPr>
        <w:rPr>
          <w:rFonts w:asciiTheme="minorHAnsi" w:hAnsiTheme="minorHAnsi"/>
        </w:rPr>
      </w:pPr>
      <w:r>
        <w:rPr>
          <w:rFonts w:asciiTheme="minorHAnsi" w:hAnsiTheme="minorHAnsi"/>
        </w:rPr>
        <w:t>availability of materials and skilled labour;</w:t>
      </w:r>
    </w:p>
    <w:p w:rsidR="00EB19C9" w:rsidRDefault="00EB19C9" w:rsidP="00EB19C9">
      <w:pPr>
        <w:pStyle w:val="ListParagraph"/>
        <w:numPr>
          <w:ilvl w:val="0"/>
          <w:numId w:val="35"/>
        </w:numPr>
        <w:rPr>
          <w:rFonts w:asciiTheme="minorHAnsi" w:hAnsiTheme="minorHAnsi"/>
        </w:rPr>
      </w:pPr>
      <w:r>
        <w:rPr>
          <w:rFonts w:asciiTheme="minorHAnsi" w:hAnsiTheme="minorHAnsi"/>
        </w:rPr>
        <w:t>familiarity and recognition of a system; and</w:t>
      </w:r>
    </w:p>
    <w:p w:rsidR="00EB19C9" w:rsidRDefault="00EB19C9" w:rsidP="00EB19C9">
      <w:pPr>
        <w:pStyle w:val="ListParagraph"/>
        <w:numPr>
          <w:ilvl w:val="0"/>
          <w:numId w:val="35"/>
        </w:numPr>
        <w:spacing w:after="240"/>
        <w:ind w:left="1077" w:hanging="357"/>
        <w:rPr>
          <w:rFonts w:asciiTheme="minorHAnsi" w:hAnsiTheme="minorHAnsi"/>
        </w:rPr>
      </w:pPr>
      <w:r>
        <w:rPr>
          <w:rFonts w:asciiTheme="minorHAnsi" w:hAnsiTheme="minorHAnsi"/>
        </w:rPr>
        <w:t>building characteristics including floor area, compartment sizes, water supply and inclusion of other classifications and their location within a building.</w:t>
      </w:r>
      <w:r w:rsidR="000A43CD" w:rsidRPr="000A43CD">
        <w:rPr>
          <w:rStyle w:val="FootnoteReference"/>
          <w:rFonts w:asciiTheme="minorHAnsi" w:hAnsiTheme="minorHAnsi"/>
        </w:rPr>
        <w:t xml:space="preserve"> </w:t>
      </w:r>
      <w:r w:rsidR="000A43CD">
        <w:rPr>
          <w:rStyle w:val="FootnoteReference"/>
          <w:rFonts w:asciiTheme="minorHAnsi" w:hAnsiTheme="minorHAnsi"/>
        </w:rPr>
        <w:footnoteReference w:id="33"/>
      </w:r>
    </w:p>
    <w:p w:rsidR="00EB19C9" w:rsidRDefault="00EB19C9" w:rsidP="00EB19C9">
      <w:pPr>
        <w:pStyle w:val="ListParagraph"/>
        <w:spacing w:after="240"/>
        <w:ind w:left="1077"/>
        <w:rPr>
          <w:rFonts w:asciiTheme="minorHAnsi" w:hAnsiTheme="minorHAnsi"/>
        </w:rPr>
      </w:pPr>
    </w:p>
    <w:p w:rsidR="00EB19C9" w:rsidRDefault="00EB19C9" w:rsidP="00EB19C9">
      <w:pPr>
        <w:pStyle w:val="ListParagraph"/>
        <w:numPr>
          <w:ilvl w:val="0"/>
          <w:numId w:val="37"/>
        </w:numPr>
        <w:spacing w:before="240"/>
        <w:rPr>
          <w:rFonts w:asciiTheme="minorHAnsi" w:hAnsiTheme="minorHAnsi"/>
        </w:rPr>
      </w:pPr>
      <w:r>
        <w:rPr>
          <w:rFonts w:asciiTheme="minorHAnsi" w:hAnsiTheme="minorHAnsi"/>
        </w:rPr>
        <w:t>Individual specification costs suggest there would be a strong preference for the FPAA 101D domestic specification where the limitations of the system are not exceeded and the configuration provides the opportunity to reduce the number of fire-isolated stairs.</w:t>
      </w:r>
    </w:p>
    <w:p w:rsidR="00EB19C9" w:rsidRDefault="00EB19C9" w:rsidP="00EB19C9">
      <w:pPr>
        <w:pStyle w:val="ListParagraph"/>
        <w:spacing w:before="240"/>
        <w:rPr>
          <w:rFonts w:asciiTheme="minorHAnsi" w:hAnsiTheme="minorHAnsi"/>
        </w:rPr>
      </w:pPr>
    </w:p>
    <w:p w:rsidR="00EB19C9" w:rsidRPr="00D82446" w:rsidRDefault="00EB19C9" w:rsidP="00EB19C9">
      <w:pPr>
        <w:pStyle w:val="ListParagraph"/>
        <w:spacing w:before="240"/>
        <w:rPr>
          <w:rFonts w:asciiTheme="minorHAnsi" w:hAnsiTheme="minorHAnsi"/>
        </w:rPr>
      </w:pPr>
      <w:r>
        <w:rPr>
          <w:rFonts w:asciiTheme="minorHAnsi" w:hAnsiTheme="minorHAnsi"/>
        </w:rPr>
        <w:t>The FPAA 1</w:t>
      </w:r>
      <w:r w:rsidR="00FE27DD">
        <w:rPr>
          <w:rFonts w:asciiTheme="minorHAnsi" w:hAnsiTheme="minorHAnsi"/>
        </w:rPr>
        <w:t>01D system cannot be used where–</w:t>
      </w:r>
    </w:p>
    <w:p w:rsidR="00EB19C9" w:rsidRDefault="00EB19C9" w:rsidP="00EB19C9">
      <w:pPr>
        <w:pStyle w:val="ListParagraph"/>
        <w:numPr>
          <w:ilvl w:val="0"/>
          <w:numId w:val="126"/>
        </w:numPr>
        <w:spacing w:after="0" w:line="240" w:lineRule="auto"/>
        <w:rPr>
          <w:rFonts w:asciiTheme="minorHAnsi" w:hAnsiTheme="minorHAnsi"/>
        </w:rPr>
      </w:pPr>
      <w:r w:rsidRPr="00770913">
        <w:rPr>
          <w:rFonts w:asciiTheme="minorHAnsi" w:hAnsiTheme="minorHAnsi"/>
        </w:rPr>
        <w:t>other classifications (e.g. Class 5 or 6</w:t>
      </w:r>
      <w:r>
        <w:rPr>
          <w:rFonts w:asciiTheme="minorHAnsi" w:hAnsiTheme="minorHAnsi"/>
        </w:rPr>
        <w:t xml:space="preserve"> part of building</w:t>
      </w:r>
      <w:r w:rsidRPr="00770913">
        <w:rPr>
          <w:rFonts w:asciiTheme="minorHAnsi" w:hAnsiTheme="minorHAnsi"/>
        </w:rPr>
        <w:t xml:space="preserve">) </w:t>
      </w:r>
      <w:r w:rsidR="00AA57D5">
        <w:rPr>
          <w:rFonts w:asciiTheme="minorHAnsi" w:hAnsiTheme="minorHAnsi"/>
        </w:rPr>
        <w:t>are</w:t>
      </w:r>
      <w:r w:rsidRPr="00770913">
        <w:rPr>
          <w:rFonts w:asciiTheme="minorHAnsi" w:hAnsiTheme="minorHAnsi"/>
        </w:rPr>
        <w:t xml:space="preserve"> situated </w:t>
      </w:r>
      <w:r>
        <w:rPr>
          <w:rFonts w:asciiTheme="minorHAnsi" w:hAnsiTheme="minorHAnsi"/>
        </w:rPr>
        <w:t>above or below</w:t>
      </w:r>
      <w:r w:rsidRPr="00770913">
        <w:rPr>
          <w:rFonts w:asciiTheme="minorHAnsi" w:hAnsiTheme="minorHAnsi"/>
        </w:rPr>
        <w:t xml:space="preserve"> </w:t>
      </w:r>
      <w:r>
        <w:rPr>
          <w:rFonts w:asciiTheme="minorHAnsi" w:hAnsiTheme="minorHAnsi"/>
        </w:rPr>
        <w:t>the</w:t>
      </w:r>
      <w:r w:rsidRPr="00770913">
        <w:rPr>
          <w:rFonts w:asciiTheme="minorHAnsi" w:hAnsiTheme="minorHAnsi"/>
        </w:rPr>
        <w:t xml:space="preserve"> Class 2 or 3 </w:t>
      </w:r>
      <w:r>
        <w:rPr>
          <w:rFonts w:asciiTheme="minorHAnsi" w:hAnsiTheme="minorHAnsi"/>
        </w:rPr>
        <w:t xml:space="preserve">part of </w:t>
      </w:r>
      <w:r w:rsidRPr="00770913">
        <w:rPr>
          <w:rFonts w:asciiTheme="minorHAnsi" w:hAnsiTheme="minorHAnsi"/>
        </w:rPr>
        <w:t>building</w:t>
      </w:r>
      <w:r>
        <w:rPr>
          <w:rFonts w:asciiTheme="minorHAnsi" w:hAnsiTheme="minorHAnsi"/>
        </w:rPr>
        <w:t>; and</w:t>
      </w:r>
    </w:p>
    <w:p w:rsidR="00EB19C9" w:rsidRDefault="00EB19C9" w:rsidP="00EB19C9">
      <w:pPr>
        <w:pStyle w:val="ListParagraph"/>
        <w:numPr>
          <w:ilvl w:val="0"/>
          <w:numId w:val="126"/>
        </w:numPr>
        <w:spacing w:after="0" w:line="240" w:lineRule="auto"/>
        <w:rPr>
          <w:rFonts w:asciiTheme="minorHAnsi" w:hAnsiTheme="minorHAnsi"/>
        </w:rPr>
      </w:pPr>
      <w:r>
        <w:rPr>
          <w:rFonts w:asciiTheme="minorHAnsi" w:hAnsiTheme="minorHAnsi"/>
        </w:rPr>
        <w:t xml:space="preserve">where another Class of building </w:t>
      </w:r>
      <w:r w:rsidRPr="00770913">
        <w:rPr>
          <w:rFonts w:asciiTheme="minorHAnsi" w:hAnsiTheme="minorHAnsi"/>
        </w:rPr>
        <w:t>exceed</w:t>
      </w:r>
      <w:r>
        <w:rPr>
          <w:rFonts w:asciiTheme="minorHAnsi" w:hAnsiTheme="minorHAnsi"/>
        </w:rPr>
        <w:t>s</w:t>
      </w:r>
      <w:r w:rsidRPr="00770913">
        <w:rPr>
          <w:rFonts w:asciiTheme="minorHAnsi" w:hAnsiTheme="minorHAnsi"/>
        </w:rPr>
        <w:t xml:space="preserve"> 25 percent of the total floor area of the building; and </w:t>
      </w:r>
    </w:p>
    <w:p w:rsidR="00EB19C9" w:rsidRDefault="00E10DFB" w:rsidP="00EB19C9">
      <w:pPr>
        <w:pStyle w:val="ListParagraph"/>
        <w:numPr>
          <w:ilvl w:val="0"/>
          <w:numId w:val="126"/>
        </w:numPr>
        <w:spacing w:after="0" w:line="240" w:lineRule="auto"/>
        <w:rPr>
          <w:rFonts w:asciiTheme="minorHAnsi" w:hAnsiTheme="minorHAnsi"/>
        </w:rPr>
      </w:pPr>
      <w:r>
        <w:rPr>
          <w:rFonts w:asciiTheme="minorHAnsi" w:hAnsiTheme="minorHAnsi"/>
        </w:rPr>
        <w:t>R</w:t>
      </w:r>
      <w:r w:rsidR="00EB19C9">
        <w:rPr>
          <w:rFonts w:asciiTheme="minorHAnsi" w:hAnsiTheme="minorHAnsi"/>
        </w:rPr>
        <w:t>ecycled water used to supply the toilet fixture</w:t>
      </w:r>
      <w:r>
        <w:rPr>
          <w:rFonts w:asciiTheme="minorHAnsi" w:hAnsiTheme="minorHAnsi"/>
        </w:rPr>
        <w:t>s</w:t>
      </w:r>
      <w:r w:rsidR="00EB19C9">
        <w:rPr>
          <w:rFonts w:asciiTheme="minorHAnsi" w:hAnsiTheme="minorHAnsi"/>
        </w:rPr>
        <w:t xml:space="preserve"> </w:t>
      </w:r>
      <w:r>
        <w:rPr>
          <w:rFonts w:asciiTheme="minorHAnsi" w:hAnsiTheme="minorHAnsi"/>
        </w:rPr>
        <w:t xml:space="preserve">would </w:t>
      </w:r>
      <w:r w:rsidR="00EB19C9">
        <w:rPr>
          <w:rFonts w:asciiTheme="minorHAnsi" w:hAnsiTheme="minorHAnsi"/>
        </w:rPr>
        <w:t>prevent end of line monitoring as grey water is not a permitted water supply for fire sprinkler systems</w:t>
      </w:r>
      <w:r>
        <w:rPr>
          <w:rStyle w:val="FootnoteReference"/>
          <w:rFonts w:asciiTheme="minorHAnsi" w:hAnsiTheme="minorHAnsi"/>
        </w:rPr>
        <w:footnoteReference w:id="34"/>
      </w:r>
      <w:r w:rsidR="00EB19C9">
        <w:rPr>
          <w:rFonts w:asciiTheme="minorHAnsi" w:hAnsiTheme="minorHAnsi"/>
        </w:rPr>
        <w:t xml:space="preserve">. </w:t>
      </w:r>
    </w:p>
    <w:p w:rsidR="00EB19C9" w:rsidRPr="00D82446" w:rsidRDefault="00EB19C9" w:rsidP="00EB19C9">
      <w:pPr>
        <w:pStyle w:val="ListParagraph"/>
        <w:spacing w:after="0" w:line="240" w:lineRule="auto"/>
        <w:ind w:left="1792"/>
        <w:rPr>
          <w:rFonts w:asciiTheme="minorHAnsi" w:hAnsiTheme="minorHAnsi"/>
        </w:rPr>
      </w:pPr>
    </w:p>
    <w:p w:rsidR="00EB19C9" w:rsidRDefault="00EB19C9" w:rsidP="00EB19C9">
      <w:pPr>
        <w:pStyle w:val="ListParagraph"/>
        <w:numPr>
          <w:ilvl w:val="0"/>
          <w:numId w:val="37"/>
        </w:numPr>
        <w:rPr>
          <w:rFonts w:asciiTheme="minorHAnsi" w:hAnsiTheme="minorHAnsi"/>
        </w:rPr>
      </w:pPr>
      <w:r w:rsidRPr="00073BC7">
        <w:rPr>
          <w:rFonts w:asciiTheme="minorHAnsi" w:hAnsiTheme="minorHAnsi"/>
        </w:rPr>
        <w:t xml:space="preserve">The </w:t>
      </w:r>
      <w:r>
        <w:rPr>
          <w:rFonts w:asciiTheme="minorHAnsi" w:hAnsiTheme="minorHAnsi"/>
        </w:rPr>
        <w:t>assumed</w:t>
      </w:r>
      <w:r w:rsidRPr="00073BC7">
        <w:rPr>
          <w:rFonts w:asciiTheme="minorHAnsi" w:hAnsiTheme="minorHAnsi"/>
        </w:rPr>
        <w:t xml:space="preserve"> uptake between sprinkler systems remains unchanged from the Consultation RIS. </w:t>
      </w:r>
      <w:r>
        <w:rPr>
          <w:rFonts w:asciiTheme="minorHAnsi" w:hAnsiTheme="minorHAnsi"/>
        </w:rPr>
        <w:t xml:space="preserve">The Final RIS assumes 60% of future approvals will use the FPAA 101D system (assumed to be used in all circumstances where limitations do not restrict installation), 30% of all future approvals will use the FPAA 101H system (the majority of approvals which cannot utilise the FPAA 101D system) and 10% will use AS 2118.1 (a small proportion of industry which are assumed to use familiar but not cost-effective solutions). </w:t>
      </w:r>
    </w:p>
    <w:p w:rsidR="00EB19C9" w:rsidRPr="00532ED3" w:rsidRDefault="00EB19C9" w:rsidP="00EB19C9">
      <w:pPr>
        <w:spacing w:after="160" w:line="259" w:lineRule="auto"/>
        <w:rPr>
          <w:rFonts w:asciiTheme="minorHAnsi" w:hAnsiTheme="minorHAnsi"/>
        </w:rPr>
      </w:pPr>
      <w:r>
        <w:rPr>
          <w:rFonts w:asciiTheme="minorHAnsi" w:hAnsiTheme="minorHAnsi"/>
        </w:rPr>
        <w:br w:type="page"/>
      </w:r>
    </w:p>
    <w:p w:rsidR="00EB19C9" w:rsidRDefault="00EB19C9" w:rsidP="00EB19C9">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1080"/>
        <w:rPr>
          <w:rFonts w:asciiTheme="minorHAnsi" w:hAnsiTheme="minorHAnsi"/>
        </w:rPr>
      </w:pPr>
      <w:r w:rsidRPr="00D8561E">
        <w:rPr>
          <w:rFonts w:asciiTheme="minorHAnsi" w:hAnsiTheme="minorHAnsi"/>
        </w:rPr>
        <w:lastRenderedPageBreak/>
        <w:t xml:space="preserve">Stakeholders were asked </w:t>
      </w:r>
      <w:r w:rsidRPr="00C60EA8">
        <w:rPr>
          <w:rFonts w:asciiTheme="minorHAnsi" w:hAnsiTheme="minorHAnsi"/>
        </w:rPr>
        <w:t>if</w:t>
      </w:r>
      <w:r>
        <w:rPr>
          <w:rFonts w:asciiTheme="minorHAnsi" w:hAnsiTheme="minorHAnsi"/>
        </w:rPr>
        <w:t xml:space="preserve"> </w:t>
      </w:r>
      <w:r w:rsidRPr="00785A5A">
        <w:rPr>
          <w:rFonts w:asciiTheme="minorHAnsi" w:hAnsiTheme="minorHAnsi"/>
        </w:rPr>
        <w:t>the building types used in the</w:t>
      </w:r>
      <w:r>
        <w:rPr>
          <w:rFonts w:asciiTheme="minorHAnsi" w:hAnsiTheme="minorHAnsi"/>
        </w:rPr>
        <w:t xml:space="preserve"> Consultation</w:t>
      </w:r>
      <w:r w:rsidRPr="00785A5A">
        <w:rPr>
          <w:rFonts w:asciiTheme="minorHAnsi" w:hAnsiTheme="minorHAnsi"/>
        </w:rPr>
        <w:t xml:space="preserve"> RIS </w:t>
      </w:r>
      <w:r>
        <w:rPr>
          <w:rFonts w:asciiTheme="minorHAnsi" w:hAnsiTheme="minorHAnsi"/>
        </w:rPr>
        <w:t xml:space="preserve">were </w:t>
      </w:r>
      <w:r w:rsidRPr="00785A5A">
        <w:rPr>
          <w:rFonts w:asciiTheme="minorHAnsi" w:hAnsiTheme="minorHAnsi"/>
        </w:rPr>
        <w:t>representative of common Class 2 and 3 buildings within the affected range</w:t>
      </w:r>
      <w:r>
        <w:rPr>
          <w:rFonts w:asciiTheme="minorHAnsi" w:hAnsiTheme="minorHAnsi"/>
        </w:rPr>
        <w:t xml:space="preserve"> and if </w:t>
      </w:r>
      <w:r w:rsidRPr="00785A5A">
        <w:rPr>
          <w:rFonts w:asciiTheme="minorHAnsi" w:hAnsiTheme="minorHAnsi"/>
        </w:rPr>
        <w:t>data</w:t>
      </w:r>
      <w:r>
        <w:rPr>
          <w:rFonts w:asciiTheme="minorHAnsi" w:hAnsiTheme="minorHAnsi"/>
        </w:rPr>
        <w:t xml:space="preserve"> could be provided </w:t>
      </w:r>
      <w:r w:rsidRPr="00785A5A">
        <w:rPr>
          <w:rFonts w:asciiTheme="minorHAnsi" w:hAnsiTheme="minorHAnsi"/>
        </w:rPr>
        <w:t>t</w:t>
      </w:r>
      <w:r>
        <w:rPr>
          <w:rFonts w:asciiTheme="minorHAnsi" w:hAnsiTheme="minorHAnsi"/>
        </w:rPr>
        <w:t>o</w:t>
      </w:r>
      <w:r w:rsidRPr="00785A5A">
        <w:rPr>
          <w:rFonts w:asciiTheme="minorHAnsi" w:hAnsiTheme="minorHAnsi"/>
        </w:rPr>
        <w:t xml:space="preserve"> inform these assumptions?</w:t>
      </w:r>
    </w:p>
    <w:p w:rsidR="00EB19C9" w:rsidRDefault="00EB19C9" w:rsidP="00EB19C9">
      <w:pPr>
        <w:spacing w:before="240" w:after="120"/>
        <w:rPr>
          <w:rFonts w:asciiTheme="minorHAnsi" w:hAnsiTheme="minorHAnsi"/>
        </w:rPr>
      </w:pPr>
      <w:r>
        <w:rPr>
          <w:rFonts w:asciiTheme="minorHAnsi" w:hAnsiTheme="minorHAnsi"/>
        </w:rPr>
        <w:t>Philp Chun Building Compliance, a national building surveying firm</w:t>
      </w:r>
      <w:r w:rsidR="00AA57D5">
        <w:rPr>
          <w:rFonts w:asciiTheme="minorHAnsi" w:hAnsiTheme="minorHAnsi"/>
        </w:rPr>
        <w:t>,</w:t>
      </w:r>
      <w:r>
        <w:rPr>
          <w:rFonts w:asciiTheme="minorHAnsi" w:hAnsiTheme="minorHAnsi"/>
        </w:rPr>
        <w:t xml:space="preserve"> noted a number of factors that would influence the uptake of </w:t>
      </w:r>
      <w:r w:rsidR="00B6645B">
        <w:rPr>
          <w:rFonts w:asciiTheme="minorHAnsi" w:hAnsiTheme="minorHAnsi"/>
        </w:rPr>
        <w:t xml:space="preserve">fire </w:t>
      </w:r>
      <w:r>
        <w:rPr>
          <w:rFonts w:asciiTheme="minorHAnsi" w:hAnsiTheme="minorHAnsi"/>
        </w:rPr>
        <w:t xml:space="preserve">sprinklers. They submitted that more than half of Class 2 and 3 buildings were subject to Performance Solutions with the aim of achieving extended travel distances. </w:t>
      </w:r>
    </w:p>
    <w:p w:rsidR="00EB19C9" w:rsidRDefault="00EB19C9" w:rsidP="00EB19C9">
      <w:pPr>
        <w:spacing w:before="120" w:after="120"/>
        <w:rPr>
          <w:rFonts w:asciiTheme="minorHAnsi" w:hAnsiTheme="minorHAnsi"/>
        </w:rPr>
      </w:pPr>
      <w:r>
        <w:rPr>
          <w:rFonts w:asciiTheme="minorHAnsi" w:hAnsiTheme="minorHAnsi"/>
        </w:rPr>
        <w:t>Methodologically this has several implications. Firstly, optimisation of design</w:t>
      </w:r>
      <w:r w:rsidR="00AA57D5">
        <w:rPr>
          <w:rFonts w:asciiTheme="minorHAnsi" w:hAnsiTheme="minorHAnsi"/>
        </w:rPr>
        <w:t>,</w:t>
      </w:r>
      <w:r>
        <w:rPr>
          <w:rFonts w:asciiTheme="minorHAnsi" w:hAnsiTheme="minorHAnsi"/>
        </w:rPr>
        <w:t xml:space="preserve"> i</w:t>
      </w:r>
      <w:r w:rsidR="00E10DFB">
        <w:rPr>
          <w:rFonts w:asciiTheme="minorHAnsi" w:hAnsiTheme="minorHAnsi"/>
        </w:rPr>
        <w:t>f</w:t>
      </w:r>
      <w:r>
        <w:rPr>
          <w:rFonts w:asciiTheme="minorHAnsi" w:hAnsiTheme="minorHAnsi"/>
        </w:rPr>
        <w:t xml:space="preserve"> pursued to achieve the same outcome at a lower up-front cost</w:t>
      </w:r>
      <w:r w:rsidR="00AA57D5">
        <w:rPr>
          <w:rFonts w:asciiTheme="minorHAnsi" w:hAnsiTheme="minorHAnsi"/>
        </w:rPr>
        <w:t>,</w:t>
      </w:r>
      <w:r>
        <w:rPr>
          <w:rFonts w:asciiTheme="minorHAnsi" w:hAnsiTheme="minorHAnsi"/>
        </w:rPr>
        <w:t xml:space="preserve"> would</w:t>
      </w:r>
      <w:r w:rsidR="00FA713B">
        <w:rPr>
          <w:rFonts w:asciiTheme="minorHAnsi" w:hAnsiTheme="minorHAnsi"/>
        </w:rPr>
        <w:t xml:space="preserve"> continue under either option</w:t>
      </w:r>
      <w:r w:rsidR="00037F8C">
        <w:rPr>
          <w:rFonts w:asciiTheme="minorHAnsi" w:hAnsiTheme="minorHAnsi"/>
        </w:rPr>
        <w:t>.  T</w:t>
      </w:r>
      <w:r w:rsidR="00E10DFB">
        <w:rPr>
          <w:rFonts w:asciiTheme="minorHAnsi" w:hAnsiTheme="minorHAnsi"/>
        </w:rPr>
        <w:t xml:space="preserve">he proportion subject to Performance Solutions should </w:t>
      </w:r>
      <w:r w:rsidR="00037F8C">
        <w:rPr>
          <w:rFonts w:asciiTheme="minorHAnsi" w:hAnsiTheme="minorHAnsi"/>
        </w:rPr>
        <w:t xml:space="preserve">therefore </w:t>
      </w:r>
      <w:r w:rsidR="00E10DFB">
        <w:rPr>
          <w:rFonts w:asciiTheme="minorHAnsi" w:hAnsiTheme="minorHAnsi"/>
        </w:rPr>
        <w:t>be excluded</w:t>
      </w:r>
      <w:r w:rsidR="00FA713B">
        <w:rPr>
          <w:rFonts w:asciiTheme="minorHAnsi" w:hAnsiTheme="minorHAnsi"/>
        </w:rPr>
        <w:t xml:space="preserve">. </w:t>
      </w:r>
      <w:r>
        <w:rPr>
          <w:rFonts w:asciiTheme="minorHAnsi" w:hAnsiTheme="minorHAnsi"/>
        </w:rPr>
        <w:t>More significantly, as cost effectiveness is in large part driven by the savings associated with the ability to remove a fire-isolated stair, any proportion with one fire-isolated stair under Option 1 using the D</w:t>
      </w:r>
      <w:r w:rsidR="00EB4C2E">
        <w:rPr>
          <w:rFonts w:asciiTheme="minorHAnsi" w:hAnsiTheme="minorHAnsi"/>
        </w:rPr>
        <w:t>t</w:t>
      </w:r>
      <w:r>
        <w:rPr>
          <w:rFonts w:asciiTheme="minorHAnsi" w:hAnsiTheme="minorHAnsi"/>
        </w:rPr>
        <w:t xml:space="preserve">S </w:t>
      </w:r>
      <w:r w:rsidR="00EB4C2E">
        <w:rPr>
          <w:rFonts w:asciiTheme="minorHAnsi" w:hAnsiTheme="minorHAnsi"/>
        </w:rPr>
        <w:t xml:space="preserve">Provisions </w:t>
      </w:r>
      <w:r>
        <w:rPr>
          <w:rFonts w:asciiTheme="minorHAnsi" w:hAnsiTheme="minorHAnsi"/>
        </w:rPr>
        <w:t>would incur a net increase in construction cost,</w:t>
      </w:r>
      <w:r w:rsidRPr="00B15ACD">
        <w:rPr>
          <w:rFonts w:asciiTheme="minorHAnsi" w:hAnsiTheme="minorHAnsi"/>
        </w:rPr>
        <w:t xml:space="preserve"> </w:t>
      </w:r>
      <w:r>
        <w:rPr>
          <w:rFonts w:asciiTheme="minorHAnsi" w:hAnsiTheme="minorHAnsi"/>
        </w:rPr>
        <w:t>notwithstanding the increase in life safety benefit. The ABCB approached other building certification stakeholders seeking view</w:t>
      </w:r>
      <w:r w:rsidR="00D04861">
        <w:rPr>
          <w:rFonts w:asciiTheme="minorHAnsi" w:hAnsiTheme="minorHAnsi"/>
        </w:rPr>
        <w:t xml:space="preserve">s on the likely proportions and </w:t>
      </w:r>
      <w:r>
        <w:rPr>
          <w:rFonts w:asciiTheme="minorHAnsi" w:hAnsiTheme="minorHAnsi"/>
        </w:rPr>
        <w:t>no uniformity of view could be found. As no data of this type is collected nationally, Phi</w:t>
      </w:r>
      <w:r w:rsidR="008A7DC4">
        <w:rPr>
          <w:rFonts w:asciiTheme="minorHAnsi" w:hAnsiTheme="minorHAnsi"/>
        </w:rPr>
        <w:t>l</w:t>
      </w:r>
      <w:r>
        <w:rPr>
          <w:rFonts w:asciiTheme="minorHAnsi" w:hAnsiTheme="minorHAnsi"/>
        </w:rPr>
        <w:t>lip Chun</w:t>
      </w:r>
      <w:r w:rsidRPr="00CF4BFB">
        <w:rPr>
          <w:rFonts w:asciiTheme="minorHAnsi" w:hAnsiTheme="minorHAnsi"/>
        </w:rPr>
        <w:t xml:space="preserve"> </w:t>
      </w:r>
      <w:r>
        <w:rPr>
          <w:rFonts w:asciiTheme="minorHAnsi" w:hAnsiTheme="minorHAnsi"/>
        </w:rPr>
        <w:t>Building Compliance were approached to provide additional information supported by data.</w:t>
      </w:r>
    </w:p>
    <w:p w:rsidR="00EB19C9" w:rsidRPr="00532ED3" w:rsidRDefault="00EB19C9" w:rsidP="00EB19C9">
      <w:pPr>
        <w:spacing w:before="120" w:after="120"/>
        <w:rPr>
          <w:rFonts w:asciiTheme="minorHAnsi" w:hAnsiTheme="minorHAnsi"/>
        </w:rPr>
      </w:pPr>
      <w:r>
        <w:rPr>
          <w:rFonts w:asciiTheme="minorHAnsi" w:hAnsiTheme="minorHAnsi"/>
        </w:rPr>
        <w:t xml:space="preserve">An interrogation of Phillip Chun’s national database identified 77 buildings at various stages of design construction and occupancy </w:t>
      </w:r>
      <w:r w:rsidR="00AA57D5">
        <w:rPr>
          <w:rFonts w:asciiTheme="minorHAnsi" w:hAnsiTheme="minorHAnsi"/>
        </w:rPr>
        <w:t>for</w:t>
      </w:r>
      <w:r>
        <w:rPr>
          <w:rFonts w:asciiTheme="minorHAnsi" w:hAnsiTheme="minorHAnsi"/>
        </w:rPr>
        <w:t xml:space="preserve"> which they had been engaged between 1 January 2013 and 16 July 2018. These included Class 2 and 3 projects within t</w:t>
      </w:r>
      <w:r w:rsidR="000A43CD">
        <w:rPr>
          <w:rFonts w:asciiTheme="minorHAnsi" w:hAnsiTheme="minorHAnsi"/>
        </w:rPr>
        <w:t xml:space="preserve">he four storey to eight storey </w:t>
      </w:r>
      <w:r>
        <w:rPr>
          <w:rFonts w:asciiTheme="minorHAnsi" w:hAnsiTheme="minorHAnsi"/>
        </w:rPr>
        <w:t>height range from V</w:t>
      </w:r>
      <w:r w:rsidR="00EB4C2E">
        <w:rPr>
          <w:rFonts w:asciiTheme="minorHAnsi" w:hAnsiTheme="minorHAnsi"/>
        </w:rPr>
        <w:t>ictoria</w:t>
      </w:r>
      <w:r>
        <w:rPr>
          <w:rFonts w:asciiTheme="minorHAnsi" w:hAnsiTheme="minorHAnsi"/>
        </w:rPr>
        <w:t xml:space="preserve"> (11), N</w:t>
      </w:r>
      <w:r w:rsidR="00EB4C2E">
        <w:rPr>
          <w:rFonts w:asciiTheme="minorHAnsi" w:hAnsiTheme="minorHAnsi"/>
        </w:rPr>
        <w:t xml:space="preserve">ew </w:t>
      </w:r>
      <w:r>
        <w:rPr>
          <w:rFonts w:asciiTheme="minorHAnsi" w:hAnsiTheme="minorHAnsi"/>
        </w:rPr>
        <w:t>S</w:t>
      </w:r>
      <w:r w:rsidR="00EB4C2E">
        <w:rPr>
          <w:rFonts w:asciiTheme="minorHAnsi" w:hAnsiTheme="minorHAnsi"/>
        </w:rPr>
        <w:t xml:space="preserve">outh </w:t>
      </w:r>
      <w:r>
        <w:rPr>
          <w:rFonts w:asciiTheme="minorHAnsi" w:hAnsiTheme="minorHAnsi"/>
        </w:rPr>
        <w:t>W</w:t>
      </w:r>
      <w:r w:rsidR="00EB4C2E">
        <w:rPr>
          <w:rFonts w:asciiTheme="minorHAnsi" w:hAnsiTheme="minorHAnsi"/>
        </w:rPr>
        <w:t>ales</w:t>
      </w:r>
      <w:r>
        <w:rPr>
          <w:rFonts w:asciiTheme="minorHAnsi" w:hAnsiTheme="minorHAnsi"/>
        </w:rPr>
        <w:t xml:space="preserve"> (27), Q</w:t>
      </w:r>
      <w:r w:rsidR="00EB4C2E">
        <w:rPr>
          <w:rFonts w:asciiTheme="minorHAnsi" w:hAnsiTheme="minorHAnsi"/>
        </w:rPr>
        <w:t>ueensland</w:t>
      </w:r>
      <w:r>
        <w:rPr>
          <w:rFonts w:asciiTheme="minorHAnsi" w:hAnsiTheme="minorHAnsi"/>
        </w:rPr>
        <w:t xml:space="preserve"> (32) and W</w:t>
      </w:r>
      <w:r w:rsidR="00EB4C2E">
        <w:rPr>
          <w:rFonts w:asciiTheme="minorHAnsi" w:hAnsiTheme="minorHAnsi"/>
        </w:rPr>
        <w:t xml:space="preserve">estern </w:t>
      </w:r>
      <w:r>
        <w:rPr>
          <w:rFonts w:asciiTheme="minorHAnsi" w:hAnsiTheme="minorHAnsi"/>
        </w:rPr>
        <w:t>A</w:t>
      </w:r>
      <w:r w:rsidR="00EB4C2E">
        <w:rPr>
          <w:rFonts w:asciiTheme="minorHAnsi" w:hAnsiTheme="minorHAnsi"/>
        </w:rPr>
        <w:t>ustralia</w:t>
      </w:r>
      <w:r w:rsidR="00FA713B">
        <w:rPr>
          <w:rFonts w:asciiTheme="minorHAnsi" w:hAnsiTheme="minorHAnsi"/>
        </w:rPr>
        <w:t xml:space="preserve"> (7) offices. </w:t>
      </w:r>
      <w:r>
        <w:rPr>
          <w:rFonts w:asciiTheme="minorHAnsi" w:hAnsiTheme="minorHAnsi"/>
        </w:rPr>
        <w:t>Table 2</w:t>
      </w:r>
      <w:r w:rsidR="00515D2C">
        <w:rPr>
          <w:rFonts w:asciiTheme="minorHAnsi" w:hAnsiTheme="minorHAnsi"/>
        </w:rPr>
        <w:t>1</w:t>
      </w:r>
      <w:r>
        <w:rPr>
          <w:rFonts w:asciiTheme="minorHAnsi" w:hAnsiTheme="minorHAnsi"/>
        </w:rPr>
        <w:t xml:space="preserve"> reflects the diversity of configurations and compliance pathways.</w:t>
      </w:r>
    </w:p>
    <w:p w:rsidR="00EB19C9" w:rsidRDefault="00EB19C9" w:rsidP="00EB19C9">
      <w:pPr>
        <w:pStyle w:val="ListParagraph"/>
        <w:spacing w:before="240" w:after="360"/>
        <w:ind w:left="0"/>
        <w:jc w:val="center"/>
        <w:rPr>
          <w:rFonts w:asciiTheme="minorHAnsi" w:hAnsiTheme="minorHAnsi"/>
        </w:rPr>
      </w:pPr>
      <w:r w:rsidRPr="000C6484">
        <w:rPr>
          <w:rFonts w:asciiTheme="minorHAnsi" w:hAnsiTheme="minorHAnsi"/>
          <w:iCs/>
          <w:color w:val="002060"/>
          <w:sz w:val="24"/>
          <w:szCs w:val="24"/>
        </w:rPr>
        <w:t>Table 2</w:t>
      </w:r>
      <w:r w:rsidR="008A7DC4">
        <w:rPr>
          <w:rFonts w:asciiTheme="minorHAnsi" w:hAnsiTheme="minorHAnsi"/>
          <w:iCs/>
          <w:color w:val="002060"/>
          <w:sz w:val="24"/>
          <w:szCs w:val="24"/>
        </w:rPr>
        <w:t>1</w:t>
      </w:r>
      <w:r w:rsidRPr="000C6484">
        <w:rPr>
          <w:rFonts w:asciiTheme="minorHAnsi" w:hAnsiTheme="minorHAnsi"/>
          <w:iCs/>
          <w:color w:val="002060"/>
          <w:sz w:val="24"/>
          <w:szCs w:val="24"/>
        </w:rPr>
        <w:t>: Building configurations and compliance pathway</w:t>
      </w:r>
    </w:p>
    <w:tbl>
      <w:tblPr>
        <w:tblStyle w:val="GridTable5Dark-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8 - Building configurations and compliance pathways"/>
        <w:tblDescription w:val="This table outlines the proportion of Class 2 and 3 buildings using the Deemed-to-Satisfy compliance pathway and the Performance Solution compliance pathway. "/>
      </w:tblPr>
      <w:tblGrid>
        <w:gridCol w:w="2295"/>
        <w:gridCol w:w="2295"/>
        <w:gridCol w:w="2296"/>
        <w:gridCol w:w="2296"/>
      </w:tblGrid>
      <w:tr w:rsidR="00EB19C9" w:rsidRPr="000C6484" w:rsidTr="00FE33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95" w:type="dxa"/>
            <w:tcBorders>
              <w:top w:val="none" w:sz="0" w:space="0" w:color="auto"/>
              <w:left w:val="none" w:sz="0" w:space="0" w:color="auto"/>
              <w:right w:val="none" w:sz="0" w:space="0" w:color="auto"/>
            </w:tcBorders>
            <w:shd w:val="clear" w:color="auto" w:fill="002060"/>
          </w:tcPr>
          <w:p w:rsidR="00EB19C9" w:rsidRPr="000C6484" w:rsidRDefault="00417785" w:rsidP="00A45EE3">
            <w:pPr>
              <w:pStyle w:val="ListParagraph"/>
              <w:spacing w:before="240"/>
              <w:ind w:left="0"/>
              <w:jc w:val="center"/>
              <w:rPr>
                <w:rFonts w:asciiTheme="minorHAnsi" w:hAnsiTheme="minorHAnsi"/>
                <w:b w:val="0"/>
              </w:rPr>
            </w:pPr>
            <w:r>
              <w:rPr>
                <w:rFonts w:asciiTheme="minorHAnsi" w:hAnsiTheme="minorHAnsi"/>
                <w:b w:val="0"/>
              </w:rPr>
              <w:t>Number of stairs</w:t>
            </w:r>
          </w:p>
        </w:tc>
        <w:tc>
          <w:tcPr>
            <w:tcW w:w="2295" w:type="dxa"/>
            <w:tcBorders>
              <w:top w:val="none" w:sz="0" w:space="0" w:color="auto"/>
              <w:left w:val="none" w:sz="0" w:space="0" w:color="auto"/>
              <w:right w:val="none" w:sz="0" w:space="0" w:color="auto"/>
            </w:tcBorders>
            <w:shd w:val="clear" w:color="auto" w:fill="002060"/>
          </w:tcPr>
          <w:p w:rsidR="00EB19C9" w:rsidRPr="000C6484" w:rsidRDefault="00EB19C9" w:rsidP="00EB19C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0C6484">
              <w:rPr>
                <w:rFonts w:asciiTheme="minorHAnsi" w:hAnsiTheme="minorHAnsi"/>
                <w:b w:val="0"/>
              </w:rPr>
              <w:t>DtS</w:t>
            </w:r>
          </w:p>
        </w:tc>
        <w:tc>
          <w:tcPr>
            <w:tcW w:w="2296" w:type="dxa"/>
            <w:tcBorders>
              <w:top w:val="none" w:sz="0" w:space="0" w:color="auto"/>
              <w:left w:val="none" w:sz="0" w:space="0" w:color="auto"/>
              <w:right w:val="none" w:sz="0" w:space="0" w:color="auto"/>
            </w:tcBorders>
            <w:shd w:val="clear" w:color="auto" w:fill="002060"/>
          </w:tcPr>
          <w:p w:rsidR="00EB19C9" w:rsidRPr="000C6484" w:rsidRDefault="00EB19C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b w:val="0"/>
              </w:rPr>
              <w:t xml:space="preserve">Performance </w:t>
            </w:r>
            <w:r w:rsidR="00A45EE3">
              <w:rPr>
                <w:rFonts w:asciiTheme="minorHAnsi" w:hAnsiTheme="minorHAnsi"/>
                <w:b w:val="0"/>
              </w:rPr>
              <w:t>S</w:t>
            </w:r>
            <w:r>
              <w:rPr>
                <w:rFonts w:asciiTheme="minorHAnsi" w:hAnsiTheme="minorHAnsi"/>
                <w:b w:val="0"/>
              </w:rPr>
              <w:t>olution</w:t>
            </w:r>
            <w:r w:rsidR="003C0C75">
              <w:rPr>
                <w:rFonts w:asciiTheme="minorHAnsi" w:hAnsiTheme="minorHAnsi"/>
                <w:b w:val="0"/>
              </w:rPr>
              <w:t xml:space="preserve"> for </w:t>
            </w:r>
            <w:r w:rsidR="00C662F5">
              <w:rPr>
                <w:rFonts w:asciiTheme="minorHAnsi" w:hAnsiTheme="minorHAnsi"/>
                <w:b w:val="0"/>
              </w:rPr>
              <w:t>egress</w:t>
            </w:r>
          </w:p>
        </w:tc>
        <w:tc>
          <w:tcPr>
            <w:tcW w:w="2296" w:type="dxa"/>
            <w:tcBorders>
              <w:top w:val="none" w:sz="0" w:space="0" w:color="auto"/>
              <w:left w:val="none" w:sz="0" w:space="0" w:color="auto"/>
              <w:right w:val="none" w:sz="0" w:space="0" w:color="auto"/>
            </w:tcBorders>
            <w:shd w:val="clear" w:color="auto" w:fill="002060"/>
          </w:tcPr>
          <w:p w:rsidR="00EB19C9" w:rsidRPr="00A45EE3" w:rsidRDefault="00EB19C9" w:rsidP="00EB19C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45EE3">
              <w:rPr>
                <w:rFonts w:asciiTheme="minorHAnsi" w:hAnsiTheme="minorHAnsi"/>
                <w:b w:val="0"/>
              </w:rPr>
              <w:t>Total</w:t>
            </w:r>
          </w:p>
        </w:tc>
      </w:tr>
      <w:tr w:rsidR="00EB19C9" w:rsidRPr="00FB7C44" w:rsidTr="000A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shd w:val="clear" w:color="auto" w:fill="FFFFFF" w:themeFill="background1"/>
          </w:tcPr>
          <w:p w:rsidR="00EB19C9" w:rsidRPr="00A2205A" w:rsidRDefault="00EB19C9" w:rsidP="00EB19C9">
            <w:pPr>
              <w:pStyle w:val="ListParagraph"/>
              <w:ind w:left="0"/>
              <w:jc w:val="center"/>
              <w:rPr>
                <w:rFonts w:asciiTheme="minorHAnsi" w:hAnsiTheme="minorHAnsi"/>
                <w:b w:val="0"/>
                <w:color w:val="auto"/>
              </w:rPr>
            </w:pPr>
            <w:r>
              <w:rPr>
                <w:rFonts w:asciiTheme="minorHAnsi" w:hAnsiTheme="minorHAnsi"/>
                <w:b w:val="0"/>
                <w:color w:val="auto"/>
              </w:rPr>
              <w:t>Single fire-isolated stair</w:t>
            </w:r>
          </w:p>
        </w:tc>
        <w:tc>
          <w:tcPr>
            <w:tcW w:w="2295" w:type="dxa"/>
            <w:shd w:val="clear" w:color="auto" w:fill="auto"/>
          </w:tcPr>
          <w:p w:rsidR="00EB19C9" w:rsidRPr="00A2205A" w:rsidRDefault="00EB19C9" w:rsidP="0006693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A2205A">
              <w:rPr>
                <w:rFonts w:asciiTheme="minorHAnsi" w:hAnsiTheme="minorHAnsi"/>
                <w:i/>
              </w:rPr>
              <w:t xml:space="preserve">13 </w:t>
            </w:r>
          </w:p>
        </w:tc>
        <w:tc>
          <w:tcPr>
            <w:tcW w:w="2296" w:type="dxa"/>
            <w:shd w:val="clear" w:color="auto" w:fill="auto"/>
          </w:tcPr>
          <w:p w:rsidR="00EB19C9" w:rsidRPr="00A2205A" w:rsidRDefault="00EB19C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A2205A">
              <w:rPr>
                <w:rFonts w:asciiTheme="minorHAnsi" w:hAnsiTheme="minorHAnsi"/>
                <w:i/>
              </w:rPr>
              <w:t xml:space="preserve">23 </w:t>
            </w:r>
          </w:p>
        </w:tc>
        <w:tc>
          <w:tcPr>
            <w:tcW w:w="2296" w:type="dxa"/>
            <w:shd w:val="clear" w:color="auto" w:fill="auto"/>
          </w:tcPr>
          <w:p w:rsidR="00EB19C9" w:rsidRPr="00A2205A" w:rsidRDefault="00417785" w:rsidP="00EB19C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36 (47</w:t>
            </w:r>
            <w:r w:rsidR="00EB19C9" w:rsidRPr="00A2205A">
              <w:rPr>
                <w:rFonts w:asciiTheme="minorHAnsi" w:hAnsiTheme="minorHAnsi"/>
              </w:rPr>
              <w:t>%)</w:t>
            </w:r>
          </w:p>
        </w:tc>
      </w:tr>
      <w:tr w:rsidR="00EB19C9" w:rsidRPr="00FB7C44" w:rsidTr="00EB19C9">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tcBorders>
            <w:shd w:val="clear" w:color="auto" w:fill="FFFFFF" w:themeFill="background1"/>
          </w:tcPr>
          <w:p w:rsidR="00EB19C9" w:rsidRPr="00A2205A" w:rsidRDefault="00EB19C9" w:rsidP="00EB19C9">
            <w:pPr>
              <w:pStyle w:val="ListParagraph"/>
              <w:ind w:left="0"/>
              <w:jc w:val="center"/>
              <w:rPr>
                <w:rFonts w:asciiTheme="minorHAnsi" w:hAnsiTheme="minorHAnsi"/>
                <w:b w:val="0"/>
                <w:color w:val="auto"/>
              </w:rPr>
            </w:pPr>
            <w:r>
              <w:rPr>
                <w:rFonts w:asciiTheme="minorHAnsi" w:hAnsiTheme="minorHAnsi"/>
                <w:b w:val="0"/>
                <w:color w:val="auto"/>
              </w:rPr>
              <w:t>Two or more fire-isolated stairs</w:t>
            </w:r>
          </w:p>
        </w:tc>
        <w:tc>
          <w:tcPr>
            <w:tcW w:w="2295" w:type="dxa"/>
            <w:shd w:val="clear" w:color="auto" w:fill="auto"/>
          </w:tcPr>
          <w:p w:rsidR="00EB19C9" w:rsidRPr="00A2205A" w:rsidRDefault="00EB19C9" w:rsidP="0006693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2205A">
              <w:rPr>
                <w:rFonts w:asciiTheme="minorHAnsi" w:hAnsiTheme="minorHAnsi"/>
                <w:i/>
              </w:rPr>
              <w:t xml:space="preserve">23 </w:t>
            </w:r>
          </w:p>
        </w:tc>
        <w:tc>
          <w:tcPr>
            <w:tcW w:w="2296" w:type="dxa"/>
            <w:shd w:val="clear" w:color="auto" w:fill="auto"/>
          </w:tcPr>
          <w:p w:rsidR="00EB19C9" w:rsidRPr="00A2205A" w:rsidRDefault="00EB19C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2205A">
              <w:rPr>
                <w:rFonts w:asciiTheme="minorHAnsi" w:hAnsiTheme="minorHAnsi"/>
                <w:i/>
              </w:rPr>
              <w:t xml:space="preserve">18 </w:t>
            </w:r>
          </w:p>
        </w:tc>
        <w:tc>
          <w:tcPr>
            <w:tcW w:w="2296" w:type="dxa"/>
            <w:shd w:val="clear" w:color="auto" w:fill="auto"/>
          </w:tcPr>
          <w:p w:rsidR="00EB19C9" w:rsidRPr="00A2205A" w:rsidRDefault="00EB19C9" w:rsidP="00EB19C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2205A">
              <w:rPr>
                <w:rFonts w:asciiTheme="minorHAnsi" w:hAnsiTheme="minorHAnsi"/>
              </w:rPr>
              <w:t>41 (53%)</w:t>
            </w:r>
          </w:p>
        </w:tc>
      </w:tr>
      <w:tr w:rsidR="00EB19C9" w:rsidRPr="00FB7C44" w:rsidTr="000A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left w:val="none" w:sz="0" w:space="0" w:color="auto"/>
              <w:bottom w:val="none" w:sz="0" w:space="0" w:color="auto"/>
            </w:tcBorders>
            <w:shd w:val="clear" w:color="auto" w:fill="FFFFFF" w:themeFill="background1"/>
          </w:tcPr>
          <w:p w:rsidR="00EB19C9" w:rsidRPr="00A2205A" w:rsidRDefault="00EB19C9" w:rsidP="00EB19C9">
            <w:pPr>
              <w:pStyle w:val="ListParagraph"/>
              <w:ind w:left="0"/>
              <w:jc w:val="center"/>
              <w:rPr>
                <w:rFonts w:asciiTheme="minorHAnsi" w:hAnsiTheme="minorHAnsi"/>
                <w:b w:val="0"/>
                <w:color w:val="auto"/>
              </w:rPr>
            </w:pPr>
            <w:r w:rsidRPr="00A2205A">
              <w:rPr>
                <w:rFonts w:asciiTheme="minorHAnsi" w:hAnsiTheme="minorHAnsi"/>
                <w:b w:val="0"/>
                <w:color w:val="auto"/>
              </w:rPr>
              <w:t>Total</w:t>
            </w:r>
          </w:p>
        </w:tc>
        <w:tc>
          <w:tcPr>
            <w:tcW w:w="2295" w:type="dxa"/>
            <w:shd w:val="clear" w:color="auto" w:fill="auto"/>
          </w:tcPr>
          <w:p w:rsidR="00EB19C9" w:rsidRPr="00A2205A" w:rsidRDefault="00EB19C9" w:rsidP="00EB19C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2205A">
              <w:rPr>
                <w:rFonts w:asciiTheme="minorHAnsi" w:hAnsiTheme="minorHAnsi"/>
              </w:rPr>
              <w:t>36 (47%)</w:t>
            </w:r>
          </w:p>
        </w:tc>
        <w:tc>
          <w:tcPr>
            <w:tcW w:w="2296" w:type="dxa"/>
            <w:shd w:val="clear" w:color="auto" w:fill="auto"/>
          </w:tcPr>
          <w:p w:rsidR="00EB19C9" w:rsidRPr="00A2205A" w:rsidRDefault="00EB19C9" w:rsidP="00EB19C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2205A">
              <w:rPr>
                <w:rFonts w:asciiTheme="minorHAnsi" w:hAnsiTheme="minorHAnsi"/>
              </w:rPr>
              <w:t>41 (53%)</w:t>
            </w:r>
          </w:p>
        </w:tc>
        <w:tc>
          <w:tcPr>
            <w:tcW w:w="2296" w:type="dxa"/>
            <w:shd w:val="clear" w:color="auto" w:fill="auto"/>
          </w:tcPr>
          <w:p w:rsidR="00EB19C9" w:rsidRPr="00A2205A" w:rsidRDefault="00EB19C9" w:rsidP="00EB19C9">
            <w:pPr>
              <w:pStyle w:val="ListParagraph"/>
              <w:keepNext/>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2205A">
              <w:rPr>
                <w:rFonts w:asciiTheme="minorHAnsi" w:hAnsiTheme="minorHAnsi"/>
              </w:rPr>
              <w:t>77 (100%)</w:t>
            </w:r>
          </w:p>
        </w:tc>
      </w:tr>
    </w:tbl>
    <w:p w:rsidR="00CD53E5" w:rsidRDefault="00CD53E5" w:rsidP="00CD53E5">
      <w:pPr>
        <w:spacing w:before="240" w:after="120"/>
        <w:rPr>
          <w:rFonts w:asciiTheme="minorHAnsi" w:hAnsiTheme="minorHAnsi"/>
        </w:rPr>
      </w:pPr>
      <w:r>
        <w:rPr>
          <w:rFonts w:asciiTheme="minorHAnsi" w:hAnsiTheme="minorHAnsi"/>
        </w:rPr>
        <w:t xml:space="preserve">Importantly the data revealed the proportion of buildings utilising a single fire-isolated stair either via </w:t>
      </w:r>
      <w:r w:rsidR="00EB4C2E">
        <w:rPr>
          <w:rFonts w:asciiTheme="minorHAnsi" w:hAnsiTheme="minorHAnsi"/>
        </w:rPr>
        <w:t xml:space="preserve">the </w:t>
      </w:r>
      <w:r>
        <w:rPr>
          <w:rFonts w:asciiTheme="minorHAnsi" w:hAnsiTheme="minorHAnsi"/>
        </w:rPr>
        <w:t>DtS</w:t>
      </w:r>
      <w:r w:rsidR="00EB4C2E">
        <w:rPr>
          <w:rFonts w:asciiTheme="minorHAnsi" w:hAnsiTheme="minorHAnsi"/>
        </w:rPr>
        <w:t xml:space="preserve"> Provisions</w:t>
      </w:r>
      <w:r>
        <w:rPr>
          <w:rFonts w:asciiTheme="minorHAnsi" w:hAnsiTheme="minorHAnsi"/>
        </w:rPr>
        <w:t xml:space="preserve"> or a Performance Solution (53% of all approvals). For buildings that contained two or more fire-isolated stairs, a lesser proportion used Performance for this purpose. This Final RIS excludes 53% of all approvals nationally on the basis that they will be unaffected by the proposal and will continue to use the Performance Solution pathway. </w:t>
      </w:r>
    </w:p>
    <w:p w:rsidR="00CD53E5" w:rsidRDefault="00CD53E5" w:rsidP="00CD53E5">
      <w:pPr>
        <w:spacing w:before="120" w:after="120"/>
        <w:rPr>
          <w:rFonts w:asciiTheme="minorHAnsi" w:hAnsiTheme="minorHAnsi"/>
        </w:rPr>
      </w:pPr>
      <w:r>
        <w:rPr>
          <w:rFonts w:asciiTheme="minorHAnsi" w:hAnsiTheme="minorHAnsi"/>
        </w:rPr>
        <w:t>Phillip Chun’s analysis also identifies the number of buildings likely to utilise more than a single fire-isolated stair</w:t>
      </w:r>
      <w:r w:rsidRPr="00CD53E5">
        <w:rPr>
          <w:rFonts w:asciiTheme="minorHAnsi" w:hAnsiTheme="minorHAnsi"/>
        </w:rPr>
        <w:t xml:space="preserve"> </w:t>
      </w:r>
      <w:r>
        <w:rPr>
          <w:rFonts w:asciiTheme="minorHAnsi" w:hAnsiTheme="minorHAnsi"/>
        </w:rPr>
        <w:t>until a particular size building is reached.</w:t>
      </w:r>
      <w:r w:rsidR="000A43CD" w:rsidRPr="000A43CD">
        <w:rPr>
          <w:rStyle w:val="FootnoteReference"/>
          <w:rFonts w:asciiTheme="minorHAnsi" w:hAnsiTheme="minorHAnsi"/>
        </w:rPr>
        <w:t xml:space="preserve"> </w:t>
      </w:r>
      <w:r>
        <w:rPr>
          <w:rFonts w:asciiTheme="minorHAnsi" w:hAnsiTheme="minorHAnsi"/>
        </w:rPr>
        <w:t xml:space="preserve">As the number of stairs are a function of travel distance, under the proposal, </w:t>
      </w:r>
      <w:r w:rsidRPr="006D3026">
        <w:rPr>
          <w:rFonts w:asciiTheme="minorHAnsi" w:hAnsiTheme="minorHAnsi"/>
        </w:rPr>
        <w:t xml:space="preserve">there may be </w:t>
      </w:r>
      <w:r>
        <w:rPr>
          <w:rFonts w:asciiTheme="minorHAnsi" w:hAnsiTheme="minorHAnsi"/>
        </w:rPr>
        <w:t xml:space="preserve">opportunities for </w:t>
      </w:r>
      <w:r w:rsidRPr="006D3026">
        <w:rPr>
          <w:rFonts w:asciiTheme="minorHAnsi" w:hAnsiTheme="minorHAnsi"/>
        </w:rPr>
        <w:t xml:space="preserve">buildings with multiple </w:t>
      </w:r>
      <w:r>
        <w:rPr>
          <w:rFonts w:asciiTheme="minorHAnsi" w:hAnsiTheme="minorHAnsi"/>
        </w:rPr>
        <w:t xml:space="preserve">fire-isolated </w:t>
      </w:r>
      <w:r w:rsidRPr="006D3026">
        <w:rPr>
          <w:rFonts w:asciiTheme="minorHAnsi" w:hAnsiTheme="minorHAnsi"/>
        </w:rPr>
        <w:t xml:space="preserve">stairs to </w:t>
      </w:r>
      <w:r>
        <w:rPr>
          <w:rFonts w:asciiTheme="minorHAnsi" w:hAnsiTheme="minorHAnsi"/>
        </w:rPr>
        <w:t>gain efficiencies by reconfiguring.</w:t>
      </w:r>
      <w:r w:rsidR="00E10DFB" w:rsidRPr="00E10DFB">
        <w:rPr>
          <w:rStyle w:val="FootnoteReference"/>
          <w:rFonts w:asciiTheme="minorHAnsi" w:hAnsiTheme="minorHAnsi"/>
        </w:rPr>
        <w:t xml:space="preserve"> </w:t>
      </w:r>
      <w:r w:rsidR="00E10DFB" w:rsidRPr="00532ED3">
        <w:rPr>
          <w:rStyle w:val="FootnoteReference"/>
          <w:rFonts w:asciiTheme="minorHAnsi" w:hAnsiTheme="minorHAnsi"/>
        </w:rPr>
        <w:footnoteReference w:id="35"/>
      </w:r>
      <w:r>
        <w:rPr>
          <w:rFonts w:asciiTheme="minorHAnsi" w:hAnsiTheme="minorHAnsi"/>
        </w:rPr>
        <w:t xml:space="preserve"> Despite this, it is the proportion with a single fire-isolated stair that will incur an increase in capital cost from installing a sprinkler system. Therefore </w:t>
      </w:r>
      <w:r w:rsidRPr="006D3026">
        <w:rPr>
          <w:rFonts w:asciiTheme="minorHAnsi" w:hAnsiTheme="minorHAnsi"/>
        </w:rPr>
        <w:t xml:space="preserve">the proportions </w:t>
      </w:r>
      <w:r>
        <w:rPr>
          <w:rFonts w:asciiTheme="minorHAnsi" w:hAnsiTheme="minorHAnsi"/>
        </w:rPr>
        <w:lastRenderedPageBreak/>
        <w:t>identified by</w:t>
      </w:r>
      <w:r w:rsidRPr="006D3026">
        <w:rPr>
          <w:rFonts w:asciiTheme="minorHAnsi" w:hAnsiTheme="minorHAnsi"/>
        </w:rPr>
        <w:t xml:space="preserve"> Chun’s analysis </w:t>
      </w:r>
      <w:r>
        <w:rPr>
          <w:rFonts w:asciiTheme="minorHAnsi" w:hAnsiTheme="minorHAnsi"/>
        </w:rPr>
        <w:t xml:space="preserve">as utilising a single stair under the DtS </w:t>
      </w:r>
      <w:r w:rsidRPr="006D3026">
        <w:rPr>
          <w:rFonts w:asciiTheme="minorHAnsi" w:hAnsiTheme="minorHAnsi"/>
        </w:rPr>
        <w:t>have been adopted for the number of single stair buildings (36%)</w:t>
      </w:r>
      <w:r w:rsidR="000A43CD">
        <w:rPr>
          <w:rFonts w:asciiTheme="minorHAnsi" w:hAnsiTheme="minorHAnsi"/>
        </w:rPr>
        <w:t>.</w:t>
      </w:r>
    </w:p>
    <w:p w:rsidR="00EB19C9" w:rsidRDefault="00EB19C9" w:rsidP="00EB19C9">
      <w:pPr>
        <w:spacing w:before="120" w:after="120"/>
        <w:rPr>
          <w:rFonts w:asciiTheme="minorHAnsi" w:hAnsiTheme="minorHAnsi"/>
        </w:rPr>
      </w:pPr>
      <w:r>
        <w:rPr>
          <w:rFonts w:asciiTheme="minorHAnsi" w:hAnsiTheme="minorHAnsi"/>
        </w:rPr>
        <w:t>These configurations are suggestive of a different profile of market behaviour than that assumed by the Consultation RIS and have informed the analysis in the following way:</w:t>
      </w:r>
    </w:p>
    <w:p w:rsidR="00EB19C9" w:rsidRDefault="00EB19C9" w:rsidP="00EB19C9">
      <w:pPr>
        <w:pStyle w:val="ListParagraph"/>
        <w:numPr>
          <w:ilvl w:val="0"/>
          <w:numId w:val="102"/>
        </w:numPr>
        <w:rPr>
          <w:rFonts w:asciiTheme="minorHAnsi" w:hAnsiTheme="minorHAnsi"/>
        </w:rPr>
      </w:pPr>
      <w:r>
        <w:rPr>
          <w:rFonts w:asciiTheme="minorHAnsi" w:hAnsiTheme="minorHAnsi"/>
        </w:rPr>
        <w:t xml:space="preserve">The total proportion subject to influence is reduced by the percentage known to be using Performance Solutions </w:t>
      </w:r>
      <w:r w:rsidR="00C662F5">
        <w:rPr>
          <w:rFonts w:asciiTheme="minorHAnsi" w:hAnsiTheme="minorHAnsi"/>
        </w:rPr>
        <w:t xml:space="preserve">for egress </w:t>
      </w:r>
      <w:r>
        <w:rPr>
          <w:rFonts w:asciiTheme="minorHAnsi" w:hAnsiTheme="minorHAnsi"/>
        </w:rPr>
        <w:t>53% from 897 to 422.</w:t>
      </w:r>
    </w:p>
    <w:p w:rsidR="00EB19C9" w:rsidRDefault="00EB19C9" w:rsidP="00C96998">
      <w:pPr>
        <w:pStyle w:val="ListParagraph"/>
        <w:numPr>
          <w:ilvl w:val="0"/>
          <w:numId w:val="102"/>
        </w:numPr>
        <w:spacing w:before="240"/>
        <w:rPr>
          <w:rFonts w:asciiTheme="minorHAnsi" w:hAnsiTheme="minorHAnsi"/>
        </w:rPr>
      </w:pPr>
      <w:r>
        <w:rPr>
          <w:rFonts w:asciiTheme="minorHAnsi" w:hAnsiTheme="minorHAnsi"/>
        </w:rPr>
        <w:t>Of the 422 buildings subject to Option 1, the proportion assumed to contain more than</w:t>
      </w:r>
      <w:r w:rsidR="00C96998">
        <w:rPr>
          <w:rFonts w:asciiTheme="minorHAnsi" w:hAnsiTheme="minorHAnsi"/>
        </w:rPr>
        <w:t xml:space="preserve"> one fire-isolated stair is 269</w:t>
      </w:r>
      <w:r w:rsidR="00E10DFB">
        <w:rPr>
          <w:rFonts w:asciiTheme="minorHAnsi" w:hAnsiTheme="minorHAnsi"/>
        </w:rPr>
        <w:t xml:space="preserve"> (63%)</w:t>
      </w:r>
      <w:r w:rsidR="00C96998">
        <w:rPr>
          <w:rFonts w:asciiTheme="minorHAnsi" w:hAnsiTheme="minorHAnsi"/>
        </w:rPr>
        <w:t xml:space="preserve">. </w:t>
      </w:r>
      <w:r>
        <w:rPr>
          <w:rFonts w:asciiTheme="minorHAnsi" w:hAnsiTheme="minorHAnsi"/>
        </w:rPr>
        <w:t>Hence, the number of Class 2 and 3 buildings being approved with only a single fire-isolated stair is 153</w:t>
      </w:r>
      <w:r w:rsidR="00C96998">
        <w:rPr>
          <w:rFonts w:asciiTheme="minorHAnsi" w:hAnsiTheme="minorHAnsi"/>
        </w:rPr>
        <w:t xml:space="preserve"> (or 36%)</w:t>
      </w:r>
      <w:r>
        <w:rPr>
          <w:rFonts w:asciiTheme="minorHAnsi" w:hAnsiTheme="minorHAnsi"/>
        </w:rPr>
        <w:t>.</w:t>
      </w:r>
    </w:p>
    <w:p w:rsidR="00EB19C9" w:rsidRDefault="00EB19C9" w:rsidP="00EB19C9">
      <w:pPr>
        <w:pStyle w:val="Heading2"/>
        <w:rPr>
          <w:b w:val="0"/>
          <w:szCs w:val="32"/>
        </w:rPr>
      </w:pPr>
      <w:r>
        <w:rPr>
          <w:szCs w:val="32"/>
        </w:rPr>
        <w:t>Total Impacts</w:t>
      </w:r>
    </w:p>
    <w:p w:rsidR="00F562BE" w:rsidRPr="000A43CD" w:rsidRDefault="000A43CD" w:rsidP="000A43CD">
      <w:pPr>
        <w:pStyle w:val="ListParagraph"/>
        <w:ind w:left="0"/>
        <w:rPr>
          <w:rFonts w:asciiTheme="minorHAnsi" w:hAnsiTheme="minorHAnsi"/>
        </w:rPr>
      </w:pPr>
      <w:r>
        <w:rPr>
          <w:rFonts w:asciiTheme="minorHAnsi" w:hAnsiTheme="minorHAnsi"/>
        </w:rPr>
        <w:t>As shown in Table 22, b</w:t>
      </w:r>
      <w:r w:rsidR="00EB19C9" w:rsidRPr="00074B67">
        <w:rPr>
          <w:rFonts w:asciiTheme="minorHAnsi" w:hAnsiTheme="minorHAnsi"/>
        </w:rPr>
        <w:t xml:space="preserve">ased on the information above, </w:t>
      </w:r>
      <w:r w:rsidR="00EB19C9">
        <w:rPr>
          <w:rFonts w:asciiTheme="minorHAnsi" w:hAnsiTheme="minorHAnsi"/>
        </w:rPr>
        <w:t xml:space="preserve">and assuming the same uptake of each specification as the Consultation RIS, </w:t>
      </w:r>
      <w:r w:rsidR="00EB19C9" w:rsidRPr="00074B67">
        <w:rPr>
          <w:rFonts w:asciiTheme="minorHAnsi" w:hAnsiTheme="minorHAnsi"/>
        </w:rPr>
        <w:t xml:space="preserve">Option 1 demonstrates a net cost of </w:t>
      </w:r>
      <w:r w:rsidR="00F562BE">
        <w:rPr>
          <w:rFonts w:asciiTheme="minorHAnsi" w:hAnsiTheme="minorHAnsi"/>
        </w:rPr>
        <w:t>$</w:t>
      </w:r>
      <w:r w:rsidR="007D701C">
        <w:rPr>
          <w:rFonts w:asciiTheme="minorHAnsi" w:hAnsiTheme="minorHAnsi"/>
        </w:rPr>
        <w:t>7</w:t>
      </w:r>
      <w:r w:rsidR="00E10DFB">
        <w:rPr>
          <w:rFonts w:asciiTheme="minorHAnsi" w:hAnsiTheme="minorHAnsi"/>
        </w:rPr>
        <w:t>4.5</w:t>
      </w:r>
      <w:r w:rsidR="00EB19C9" w:rsidRPr="00074B67">
        <w:rPr>
          <w:rFonts w:asciiTheme="minorHAnsi" w:hAnsiTheme="minorHAnsi"/>
        </w:rPr>
        <w:t xml:space="preserve"> million in Present Value terms. </w:t>
      </w:r>
    </w:p>
    <w:p w:rsidR="00EB19C9" w:rsidRPr="00B65F7D" w:rsidRDefault="00EB19C9" w:rsidP="00EB19C9">
      <w:pPr>
        <w:pStyle w:val="ListParagraph"/>
        <w:spacing w:after="0"/>
        <w:ind w:left="0"/>
        <w:jc w:val="center"/>
        <w:rPr>
          <w:rFonts w:asciiTheme="minorHAnsi" w:hAnsiTheme="minorHAnsi"/>
          <w:iCs/>
          <w:color w:val="002060"/>
          <w:sz w:val="24"/>
          <w:szCs w:val="24"/>
        </w:rPr>
      </w:pPr>
      <w:r w:rsidRPr="00B65F7D">
        <w:rPr>
          <w:rFonts w:asciiTheme="minorHAnsi" w:hAnsiTheme="minorHAnsi"/>
          <w:iCs/>
          <w:color w:val="002060"/>
          <w:sz w:val="24"/>
          <w:szCs w:val="24"/>
        </w:rPr>
        <w:t xml:space="preserve">Table </w:t>
      </w:r>
      <w:r w:rsidR="008A7DC4">
        <w:rPr>
          <w:rFonts w:asciiTheme="minorHAnsi" w:hAnsiTheme="minorHAnsi"/>
          <w:iCs/>
          <w:color w:val="002060"/>
          <w:sz w:val="24"/>
          <w:szCs w:val="24"/>
        </w:rPr>
        <w:t>22:</w:t>
      </w:r>
      <w:r w:rsidRPr="00B65F7D">
        <w:rPr>
          <w:rFonts w:asciiTheme="minorHAnsi" w:hAnsiTheme="minorHAnsi"/>
          <w:iCs/>
          <w:color w:val="002060"/>
          <w:sz w:val="24"/>
          <w:szCs w:val="24"/>
        </w:rPr>
        <w:t xml:space="preserve"> </w:t>
      </w:r>
      <w:r>
        <w:rPr>
          <w:rFonts w:asciiTheme="minorHAnsi" w:hAnsiTheme="minorHAnsi"/>
          <w:iCs/>
          <w:color w:val="002060"/>
          <w:sz w:val="24"/>
          <w:szCs w:val="24"/>
        </w:rPr>
        <w:t xml:space="preserve">Total Net Present Value </w:t>
      </w:r>
      <w:r w:rsidRPr="00B65F7D">
        <w:rPr>
          <w:rFonts w:asciiTheme="minorHAnsi" w:hAnsiTheme="minorHAnsi"/>
          <w:iCs/>
          <w:color w:val="002060"/>
          <w:sz w:val="24"/>
          <w:szCs w:val="24"/>
        </w:rPr>
        <w:t>of Option</w:t>
      </w:r>
      <w:r>
        <w:rPr>
          <w:rFonts w:asciiTheme="minorHAnsi" w:hAnsiTheme="minorHAnsi"/>
          <w:iCs/>
          <w:color w:val="002060"/>
          <w:sz w:val="24"/>
          <w:szCs w:val="24"/>
        </w:rPr>
        <w:t xml:space="preserve"> 1</w:t>
      </w:r>
      <w:r w:rsidRPr="00B65F7D">
        <w:rPr>
          <w:rFonts w:asciiTheme="minorHAnsi" w:hAnsiTheme="minorHAnsi"/>
          <w:iCs/>
          <w:color w:val="002060"/>
          <w:sz w:val="24"/>
          <w:szCs w:val="24"/>
        </w:rPr>
        <w:t xml:space="preserve"> </w:t>
      </w:r>
      <w:r>
        <w:rPr>
          <w:rFonts w:asciiTheme="minorHAnsi" w:hAnsiTheme="minorHAnsi"/>
          <w:iCs/>
          <w:color w:val="002060"/>
          <w:sz w:val="24"/>
          <w:szCs w:val="24"/>
        </w:rPr>
        <w:t xml:space="preserve">- </w:t>
      </w:r>
      <w:r w:rsidRPr="00B65F7D">
        <w:rPr>
          <w:rFonts w:asciiTheme="minorHAnsi" w:hAnsiTheme="minorHAnsi"/>
          <w:iCs/>
          <w:color w:val="002060"/>
          <w:sz w:val="24"/>
          <w:szCs w:val="24"/>
        </w:rPr>
        <w:t>Aggregate</w:t>
      </w:r>
      <w:r>
        <w:rPr>
          <w:rFonts w:asciiTheme="minorHAnsi" w:hAnsiTheme="minorHAnsi"/>
          <w:iCs/>
          <w:color w:val="002060"/>
          <w:sz w:val="24"/>
          <w:szCs w:val="24"/>
        </w:rPr>
        <w:t xml:space="preserve"> estimate</w:t>
      </w:r>
    </w:p>
    <w:tbl>
      <w:tblPr>
        <w:tblW w:w="8926" w:type="dxa"/>
        <w:tblLook w:val="0480" w:firstRow="0" w:lastRow="0" w:firstColumn="1" w:lastColumn="0" w:noHBand="0" w:noVBand="1"/>
      </w:tblPr>
      <w:tblGrid>
        <w:gridCol w:w="1760"/>
        <w:gridCol w:w="1760"/>
        <w:gridCol w:w="1760"/>
        <w:gridCol w:w="1760"/>
        <w:gridCol w:w="1886"/>
      </w:tblGrid>
      <w:tr w:rsidR="00EB19C9" w:rsidRPr="006B3AC2" w:rsidTr="00C96998">
        <w:trPr>
          <w:trHeight w:val="300"/>
          <w:tblHeader/>
        </w:trPr>
        <w:tc>
          <w:tcPr>
            <w:tcW w:w="1760" w:type="dxa"/>
            <w:tcBorders>
              <w:top w:val="single" w:sz="4" w:space="0" w:color="auto"/>
              <w:left w:val="single" w:sz="4" w:space="0" w:color="auto"/>
              <w:bottom w:val="single" w:sz="4" w:space="0" w:color="auto"/>
              <w:right w:val="single" w:sz="4" w:space="0" w:color="auto"/>
            </w:tcBorders>
            <w:shd w:val="clear" w:color="auto" w:fill="002060"/>
            <w:vAlign w:val="center"/>
          </w:tcPr>
          <w:p w:rsidR="00EB19C9" w:rsidRPr="006B3AC2" w:rsidRDefault="00EB19C9" w:rsidP="00EB19C9">
            <w:pPr>
              <w:spacing w:before="120" w:after="120" w:line="240" w:lineRule="auto"/>
              <w:jc w:val="center"/>
              <w:rPr>
                <w:rFonts w:ascii="Calibri" w:eastAsia="Times New Roman" w:hAnsi="Calibri" w:cs="Times New Roman"/>
                <w:color w:val="FFFFFF"/>
                <w:lang w:eastAsia="en-AU"/>
              </w:rPr>
            </w:pPr>
            <w:r>
              <w:rPr>
                <w:rFonts w:ascii="Calibri" w:hAnsi="Calibri"/>
                <w:color w:val="FFFFFF"/>
              </w:rPr>
              <w:t>DtS Status Quo</w:t>
            </w:r>
          </w:p>
        </w:tc>
        <w:tc>
          <w:tcPr>
            <w:tcW w:w="1760" w:type="dxa"/>
            <w:tcBorders>
              <w:top w:val="single" w:sz="4" w:space="0" w:color="auto"/>
              <w:left w:val="single" w:sz="4" w:space="0" w:color="auto"/>
              <w:bottom w:val="single" w:sz="4" w:space="0" w:color="auto"/>
              <w:right w:val="single" w:sz="4" w:space="0" w:color="auto"/>
            </w:tcBorders>
            <w:shd w:val="clear" w:color="auto" w:fill="002060"/>
            <w:vAlign w:val="center"/>
          </w:tcPr>
          <w:p w:rsidR="00EB19C9" w:rsidRPr="006B3AC2" w:rsidRDefault="00EB19C9" w:rsidP="00EB19C9">
            <w:pPr>
              <w:spacing w:before="120" w:after="120" w:line="240" w:lineRule="auto"/>
              <w:jc w:val="center"/>
              <w:rPr>
                <w:rFonts w:ascii="Calibri" w:eastAsia="Times New Roman" w:hAnsi="Calibri" w:cs="Times New Roman"/>
                <w:color w:val="FFFFFF"/>
                <w:lang w:eastAsia="en-AU"/>
              </w:rPr>
            </w:pPr>
            <w:r>
              <w:rPr>
                <w:rFonts w:ascii="Calibri" w:hAnsi="Calibri"/>
                <w:color w:val="FFFFFF"/>
              </w:rPr>
              <w:t xml:space="preserve">AS 2118.1 </w:t>
            </w:r>
          </w:p>
        </w:tc>
        <w:tc>
          <w:tcPr>
            <w:tcW w:w="1760" w:type="dxa"/>
            <w:tcBorders>
              <w:top w:val="single" w:sz="4" w:space="0" w:color="auto"/>
              <w:left w:val="single" w:sz="4" w:space="0" w:color="auto"/>
              <w:bottom w:val="single" w:sz="4" w:space="0" w:color="auto"/>
              <w:right w:val="single" w:sz="4" w:space="0" w:color="auto"/>
            </w:tcBorders>
            <w:shd w:val="clear" w:color="auto" w:fill="002060"/>
            <w:vAlign w:val="center"/>
          </w:tcPr>
          <w:p w:rsidR="00EB19C9" w:rsidRPr="006B3AC2" w:rsidRDefault="00EB19C9" w:rsidP="00EB19C9">
            <w:pPr>
              <w:spacing w:before="120" w:after="120" w:line="240" w:lineRule="auto"/>
              <w:jc w:val="center"/>
              <w:rPr>
                <w:rFonts w:ascii="Calibri" w:eastAsia="Times New Roman" w:hAnsi="Calibri" w:cs="Times New Roman"/>
                <w:color w:val="FFFFFF"/>
                <w:lang w:eastAsia="en-AU"/>
              </w:rPr>
            </w:pPr>
            <w:r>
              <w:rPr>
                <w:rFonts w:ascii="Calibri" w:hAnsi="Calibri"/>
                <w:color w:val="FFFFFF"/>
              </w:rPr>
              <w:t>FPAA 101D</w:t>
            </w:r>
          </w:p>
        </w:tc>
        <w:tc>
          <w:tcPr>
            <w:tcW w:w="1760" w:type="dxa"/>
            <w:tcBorders>
              <w:top w:val="single" w:sz="4" w:space="0" w:color="auto"/>
              <w:left w:val="single" w:sz="4" w:space="0" w:color="auto"/>
              <w:bottom w:val="single" w:sz="4" w:space="0" w:color="auto"/>
              <w:right w:val="single" w:sz="4" w:space="0" w:color="auto"/>
            </w:tcBorders>
            <w:shd w:val="clear" w:color="auto" w:fill="002060"/>
            <w:vAlign w:val="center"/>
          </w:tcPr>
          <w:p w:rsidR="00EB19C9" w:rsidRPr="006B3AC2" w:rsidRDefault="00EB19C9" w:rsidP="00EB19C9">
            <w:pPr>
              <w:spacing w:before="120" w:after="120" w:line="240" w:lineRule="auto"/>
              <w:jc w:val="center"/>
              <w:rPr>
                <w:rFonts w:ascii="Calibri" w:eastAsia="Times New Roman" w:hAnsi="Calibri" w:cs="Times New Roman"/>
                <w:color w:val="FFFFFF"/>
                <w:lang w:eastAsia="en-AU"/>
              </w:rPr>
            </w:pPr>
            <w:r>
              <w:rPr>
                <w:rFonts w:ascii="Calibri" w:hAnsi="Calibri"/>
                <w:color w:val="FFFFFF"/>
              </w:rPr>
              <w:t>FPAA 101H</w:t>
            </w:r>
          </w:p>
        </w:tc>
        <w:tc>
          <w:tcPr>
            <w:tcW w:w="188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B19C9" w:rsidRPr="006B3AC2" w:rsidRDefault="00EB19C9" w:rsidP="00EB19C9">
            <w:pPr>
              <w:spacing w:before="120" w:after="120" w:line="240" w:lineRule="auto"/>
              <w:jc w:val="center"/>
              <w:rPr>
                <w:rFonts w:ascii="Calibri" w:eastAsia="Times New Roman" w:hAnsi="Calibri" w:cs="Times New Roman"/>
                <w:color w:val="FFFFFF"/>
                <w:lang w:eastAsia="en-AU"/>
              </w:rPr>
            </w:pPr>
            <w:r w:rsidRPr="006B3AC2">
              <w:rPr>
                <w:rFonts w:ascii="Calibri" w:eastAsia="Times New Roman" w:hAnsi="Calibri" w:cs="Times New Roman"/>
                <w:color w:val="FFFFFF"/>
                <w:lang w:eastAsia="en-AU"/>
              </w:rPr>
              <w:t xml:space="preserve">Option 1 </w:t>
            </w:r>
          </w:p>
        </w:tc>
      </w:tr>
      <w:tr w:rsidR="00EB19C9" w:rsidRPr="006B3AC2" w:rsidTr="00C96998">
        <w:trPr>
          <w:trHeight w:val="300"/>
        </w:trPr>
        <w:tc>
          <w:tcPr>
            <w:tcW w:w="1760" w:type="dxa"/>
            <w:tcBorders>
              <w:top w:val="nil"/>
              <w:left w:val="single" w:sz="4" w:space="0" w:color="auto"/>
              <w:bottom w:val="single" w:sz="4" w:space="0" w:color="auto"/>
              <w:right w:val="single" w:sz="4" w:space="0" w:color="auto"/>
            </w:tcBorders>
            <w:shd w:val="clear" w:color="auto" w:fill="auto"/>
            <w:vAlign w:val="center"/>
          </w:tcPr>
          <w:p w:rsidR="00EB19C9" w:rsidRPr="007D36C7" w:rsidRDefault="00F562BE" w:rsidP="00EB19C9">
            <w:pPr>
              <w:spacing w:before="120" w:after="120" w:line="240" w:lineRule="auto"/>
              <w:jc w:val="center"/>
              <w:rPr>
                <w:rFonts w:ascii="Calibri" w:eastAsia="Times New Roman" w:hAnsi="Calibri" w:cs="Times New Roman"/>
                <w:color w:val="000000"/>
                <w:lang w:eastAsia="en-AU"/>
              </w:rPr>
            </w:pPr>
            <w:r>
              <w:rPr>
                <w:rFonts w:ascii="Calibri" w:hAnsi="Calibri"/>
                <w:color w:val="000000"/>
              </w:rPr>
              <w:t>N/A</w:t>
            </w:r>
          </w:p>
        </w:tc>
        <w:tc>
          <w:tcPr>
            <w:tcW w:w="1760" w:type="dxa"/>
            <w:tcBorders>
              <w:top w:val="nil"/>
              <w:left w:val="single" w:sz="4" w:space="0" w:color="auto"/>
              <w:bottom w:val="single" w:sz="4" w:space="0" w:color="auto"/>
              <w:right w:val="single" w:sz="4" w:space="0" w:color="auto"/>
            </w:tcBorders>
            <w:shd w:val="clear" w:color="auto" w:fill="auto"/>
            <w:vAlign w:val="center"/>
          </w:tcPr>
          <w:p w:rsidR="00EB19C9" w:rsidRPr="007D36C7" w:rsidRDefault="00EB19C9" w:rsidP="00EB19C9">
            <w:pPr>
              <w:spacing w:before="120" w:after="120" w:line="240" w:lineRule="auto"/>
              <w:jc w:val="center"/>
              <w:rPr>
                <w:rFonts w:ascii="Calibri" w:eastAsia="Times New Roman" w:hAnsi="Calibri" w:cs="Times New Roman"/>
                <w:color w:val="000000"/>
                <w:lang w:eastAsia="en-AU"/>
              </w:rPr>
            </w:pPr>
            <w:r w:rsidRPr="007D36C7">
              <w:rPr>
                <w:rFonts w:ascii="Calibri" w:hAnsi="Calibri"/>
                <w:color w:val="000000"/>
              </w:rPr>
              <w:t>10%</w:t>
            </w:r>
          </w:p>
        </w:tc>
        <w:tc>
          <w:tcPr>
            <w:tcW w:w="1760" w:type="dxa"/>
            <w:tcBorders>
              <w:top w:val="nil"/>
              <w:left w:val="single" w:sz="4" w:space="0" w:color="auto"/>
              <w:bottom w:val="single" w:sz="4" w:space="0" w:color="auto"/>
              <w:right w:val="single" w:sz="4" w:space="0" w:color="auto"/>
            </w:tcBorders>
            <w:shd w:val="clear" w:color="auto" w:fill="auto"/>
            <w:vAlign w:val="center"/>
          </w:tcPr>
          <w:p w:rsidR="00EB19C9" w:rsidRPr="007D36C7" w:rsidRDefault="00EB19C9" w:rsidP="00EB19C9">
            <w:pPr>
              <w:spacing w:before="120" w:after="120" w:line="240" w:lineRule="auto"/>
              <w:jc w:val="center"/>
              <w:rPr>
                <w:rFonts w:ascii="Calibri" w:eastAsia="Times New Roman" w:hAnsi="Calibri" w:cs="Times New Roman"/>
                <w:color w:val="000000"/>
                <w:lang w:eastAsia="en-AU"/>
              </w:rPr>
            </w:pPr>
            <w:r w:rsidRPr="007D36C7">
              <w:rPr>
                <w:rFonts w:ascii="Calibri" w:hAnsi="Calibri"/>
                <w:color w:val="000000"/>
              </w:rPr>
              <w:t>60%</w:t>
            </w:r>
          </w:p>
        </w:tc>
        <w:tc>
          <w:tcPr>
            <w:tcW w:w="1760" w:type="dxa"/>
            <w:tcBorders>
              <w:top w:val="nil"/>
              <w:left w:val="single" w:sz="4" w:space="0" w:color="auto"/>
              <w:bottom w:val="single" w:sz="4" w:space="0" w:color="auto"/>
              <w:right w:val="single" w:sz="4" w:space="0" w:color="auto"/>
            </w:tcBorders>
            <w:shd w:val="clear" w:color="auto" w:fill="auto"/>
            <w:vAlign w:val="center"/>
          </w:tcPr>
          <w:p w:rsidR="00EB19C9" w:rsidRPr="007D36C7" w:rsidRDefault="00EB19C9" w:rsidP="00EB19C9">
            <w:pPr>
              <w:spacing w:before="120" w:after="120" w:line="240" w:lineRule="auto"/>
              <w:jc w:val="center"/>
              <w:rPr>
                <w:rFonts w:ascii="Calibri" w:eastAsia="Times New Roman" w:hAnsi="Calibri" w:cs="Times New Roman"/>
                <w:color w:val="000000"/>
                <w:lang w:eastAsia="en-AU"/>
              </w:rPr>
            </w:pPr>
            <w:r w:rsidRPr="007D36C7">
              <w:rPr>
                <w:rFonts w:ascii="Calibri" w:hAnsi="Calibri"/>
                <w:color w:val="000000"/>
              </w:rPr>
              <w:t>30%</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EB19C9" w:rsidRPr="00D8561E" w:rsidRDefault="009344B3" w:rsidP="00E84246">
            <w:pPr>
              <w:spacing w:after="0"/>
              <w:jc w:val="center"/>
              <w:rPr>
                <w:rFonts w:ascii="Calibri" w:hAnsi="Calibri" w:cs="Calibri"/>
                <w:color w:val="000000"/>
              </w:rPr>
            </w:pPr>
            <w:r>
              <w:rPr>
                <w:rFonts w:ascii="Calibri" w:hAnsi="Calibri" w:cs="Calibri"/>
                <w:color w:val="000000"/>
              </w:rPr>
              <w:t>-</w:t>
            </w:r>
            <w:r w:rsidR="00EB19C9">
              <w:rPr>
                <w:rFonts w:ascii="Calibri" w:hAnsi="Calibri" w:cs="Calibri"/>
                <w:color w:val="000000"/>
              </w:rPr>
              <w:t>$</w:t>
            </w:r>
            <w:r w:rsidR="00E84246">
              <w:rPr>
                <w:rFonts w:ascii="Calibri" w:hAnsi="Calibri" w:cs="Calibri"/>
                <w:color w:val="000000"/>
              </w:rPr>
              <w:t>74,609,260</w:t>
            </w:r>
          </w:p>
        </w:tc>
      </w:tr>
    </w:tbl>
    <w:p w:rsidR="00EB19C9" w:rsidRDefault="00EB19C9" w:rsidP="00C96998">
      <w:pPr>
        <w:pStyle w:val="Heading1"/>
        <w:rPr>
          <w:b w:val="0"/>
          <w:szCs w:val="32"/>
        </w:rPr>
      </w:pPr>
      <w:bookmarkStart w:id="44" w:name="_Toc527709103"/>
      <w:r w:rsidRPr="001B05DF">
        <w:rPr>
          <w:sz w:val="32"/>
          <w:szCs w:val="32"/>
        </w:rPr>
        <w:t xml:space="preserve">Option </w:t>
      </w:r>
      <w:r>
        <w:rPr>
          <w:sz w:val="32"/>
          <w:szCs w:val="32"/>
        </w:rPr>
        <w:t>2</w:t>
      </w:r>
      <w:bookmarkEnd w:id="44"/>
    </w:p>
    <w:p w:rsidR="00EB19C9" w:rsidRPr="00BF1957" w:rsidRDefault="00EB19C9" w:rsidP="00EB19C9">
      <w:pPr>
        <w:spacing w:after="0"/>
        <w:rPr>
          <w:rFonts w:asciiTheme="minorHAnsi" w:hAnsiTheme="minorHAnsi"/>
        </w:rPr>
      </w:pPr>
      <w:r w:rsidRPr="00BF1957">
        <w:rPr>
          <w:rFonts w:asciiTheme="minorHAnsi" w:hAnsiTheme="minorHAnsi"/>
        </w:rPr>
        <w:t>Option 2 would include</w:t>
      </w:r>
      <w:r>
        <w:rPr>
          <w:rFonts w:asciiTheme="minorHAnsi" w:hAnsiTheme="minorHAnsi"/>
        </w:rPr>
        <w:t>,</w:t>
      </w:r>
      <w:r w:rsidRPr="00BF1957">
        <w:rPr>
          <w:rFonts w:asciiTheme="minorHAnsi" w:hAnsiTheme="minorHAnsi"/>
        </w:rPr>
        <w:t xml:space="preserve"> as an option</w:t>
      </w:r>
      <w:r>
        <w:rPr>
          <w:rFonts w:asciiTheme="minorHAnsi" w:hAnsiTheme="minorHAnsi"/>
        </w:rPr>
        <w:t>,</w:t>
      </w:r>
      <w:r w:rsidRPr="00BF1957">
        <w:rPr>
          <w:rFonts w:asciiTheme="minorHAnsi" w:hAnsiTheme="minorHAnsi"/>
        </w:rPr>
        <w:t xml:space="preserve"> compliance with AS 2118.1, FPAA 101H and FPAA 101D while maintaining the current DtS </w:t>
      </w:r>
      <w:r w:rsidR="00E10DFB">
        <w:rPr>
          <w:rFonts w:asciiTheme="minorHAnsi" w:hAnsiTheme="minorHAnsi"/>
        </w:rPr>
        <w:t>provisions as an alternative option</w:t>
      </w:r>
      <w:r w:rsidR="00E10DFB" w:rsidRPr="00BF1957">
        <w:rPr>
          <w:rFonts w:asciiTheme="minorHAnsi" w:hAnsiTheme="minorHAnsi"/>
        </w:rPr>
        <w:t xml:space="preserve"> </w:t>
      </w:r>
      <w:r w:rsidRPr="00BF1957">
        <w:rPr>
          <w:rFonts w:asciiTheme="minorHAnsi" w:hAnsiTheme="minorHAnsi"/>
        </w:rPr>
        <w:t xml:space="preserve">for compliance. This option has the potential to </w:t>
      </w:r>
      <w:r>
        <w:rPr>
          <w:rFonts w:asciiTheme="minorHAnsi" w:hAnsiTheme="minorHAnsi"/>
        </w:rPr>
        <w:t>capture</w:t>
      </w:r>
      <w:r w:rsidRPr="00BF1957">
        <w:rPr>
          <w:rFonts w:asciiTheme="minorHAnsi" w:hAnsiTheme="minorHAnsi"/>
        </w:rPr>
        <w:t xml:space="preserve"> the benefits of Option 1, where industry identif</w:t>
      </w:r>
      <w:r>
        <w:rPr>
          <w:rFonts w:asciiTheme="minorHAnsi" w:hAnsiTheme="minorHAnsi"/>
        </w:rPr>
        <w:t>ies</w:t>
      </w:r>
      <w:r w:rsidRPr="00BF1957">
        <w:rPr>
          <w:rFonts w:asciiTheme="minorHAnsi" w:hAnsiTheme="minorHAnsi"/>
        </w:rPr>
        <w:t xml:space="preserve"> it </w:t>
      </w:r>
      <w:r>
        <w:rPr>
          <w:rFonts w:asciiTheme="minorHAnsi" w:hAnsiTheme="minorHAnsi"/>
        </w:rPr>
        <w:t>as</w:t>
      </w:r>
      <w:r w:rsidRPr="00BF1957">
        <w:rPr>
          <w:rFonts w:asciiTheme="minorHAnsi" w:hAnsiTheme="minorHAnsi"/>
        </w:rPr>
        <w:t xml:space="preserve"> cost effective to do so, while minimising impacts on buildings and </w:t>
      </w:r>
      <w:r>
        <w:rPr>
          <w:rFonts w:asciiTheme="minorHAnsi" w:hAnsiTheme="minorHAnsi"/>
        </w:rPr>
        <w:t>the</w:t>
      </w:r>
      <w:r w:rsidRPr="00BF1957">
        <w:rPr>
          <w:rFonts w:asciiTheme="minorHAnsi" w:hAnsiTheme="minorHAnsi"/>
        </w:rPr>
        <w:t xml:space="preserve"> industry in other circumstances</w:t>
      </w:r>
      <w:r>
        <w:rPr>
          <w:rFonts w:asciiTheme="minorHAnsi" w:hAnsiTheme="minorHAnsi"/>
        </w:rPr>
        <w:t>, such</w:t>
      </w:r>
      <w:r w:rsidRPr="00BF1957">
        <w:rPr>
          <w:rFonts w:asciiTheme="minorHAnsi" w:hAnsiTheme="minorHAnsi"/>
        </w:rPr>
        <w:t xml:space="preserve"> as a result of</w:t>
      </w:r>
      <w:r>
        <w:rPr>
          <w:rFonts w:asciiTheme="minorHAnsi" w:hAnsiTheme="minorHAnsi"/>
        </w:rPr>
        <w:t xml:space="preserve"> the following</w:t>
      </w:r>
      <w:r w:rsidRPr="00BF1957">
        <w:rPr>
          <w:rFonts w:asciiTheme="minorHAnsi" w:hAnsiTheme="minorHAnsi"/>
        </w:rPr>
        <w:t>:</w:t>
      </w:r>
    </w:p>
    <w:p w:rsidR="00EB19C9" w:rsidRPr="00BF1957" w:rsidRDefault="00EB19C9" w:rsidP="00EB19C9">
      <w:pPr>
        <w:pStyle w:val="ListParagraph"/>
        <w:numPr>
          <w:ilvl w:val="0"/>
          <w:numId w:val="30"/>
        </w:numPr>
        <w:rPr>
          <w:rFonts w:asciiTheme="minorHAnsi" w:hAnsiTheme="minorHAnsi"/>
        </w:rPr>
      </w:pPr>
      <w:r w:rsidRPr="00BF1957">
        <w:rPr>
          <w:rFonts w:asciiTheme="minorHAnsi" w:hAnsiTheme="minorHAnsi"/>
        </w:rPr>
        <w:t>Unique building configurations, or mixed use classifications.</w:t>
      </w:r>
    </w:p>
    <w:p w:rsidR="00EB19C9" w:rsidRPr="00BF1957" w:rsidRDefault="00EB19C9" w:rsidP="00EB19C9">
      <w:pPr>
        <w:pStyle w:val="ListParagraph"/>
        <w:numPr>
          <w:ilvl w:val="0"/>
          <w:numId w:val="30"/>
        </w:numPr>
        <w:rPr>
          <w:rFonts w:asciiTheme="minorHAnsi" w:hAnsiTheme="minorHAnsi"/>
        </w:rPr>
      </w:pPr>
      <w:r w:rsidRPr="00BF1957">
        <w:rPr>
          <w:rFonts w:asciiTheme="minorHAnsi" w:hAnsiTheme="minorHAnsi"/>
        </w:rPr>
        <w:t>Water supply or industry capability.</w:t>
      </w:r>
      <w:r w:rsidR="000A43CD" w:rsidRPr="00BF1957">
        <w:rPr>
          <w:rStyle w:val="FootnoteReference"/>
          <w:rFonts w:asciiTheme="minorHAnsi" w:hAnsiTheme="minorHAnsi"/>
        </w:rPr>
        <w:footnoteReference w:id="36"/>
      </w:r>
    </w:p>
    <w:p w:rsidR="00EB19C9" w:rsidRDefault="00EB19C9" w:rsidP="00EB19C9">
      <w:pPr>
        <w:pStyle w:val="ListParagraph"/>
        <w:numPr>
          <w:ilvl w:val="0"/>
          <w:numId w:val="30"/>
        </w:numPr>
        <w:rPr>
          <w:rFonts w:asciiTheme="minorHAnsi" w:hAnsiTheme="minorHAnsi"/>
        </w:rPr>
      </w:pPr>
      <w:r w:rsidRPr="00BF1957">
        <w:rPr>
          <w:rFonts w:asciiTheme="minorHAnsi" w:hAnsiTheme="minorHAnsi"/>
        </w:rPr>
        <w:t>Existing infrastructure in mixed</w:t>
      </w:r>
      <w:r>
        <w:rPr>
          <w:rFonts w:asciiTheme="minorHAnsi" w:hAnsiTheme="minorHAnsi"/>
        </w:rPr>
        <w:t>-</w:t>
      </w:r>
      <w:r w:rsidRPr="00BF1957">
        <w:rPr>
          <w:rFonts w:asciiTheme="minorHAnsi" w:hAnsiTheme="minorHAnsi"/>
        </w:rPr>
        <w:t>use buildings.</w:t>
      </w:r>
    </w:p>
    <w:p w:rsidR="00EB19C9" w:rsidRPr="00BF1957" w:rsidRDefault="00EB19C9" w:rsidP="00EB19C9">
      <w:pPr>
        <w:pStyle w:val="ListParagraph"/>
        <w:numPr>
          <w:ilvl w:val="0"/>
          <w:numId w:val="30"/>
        </w:numPr>
        <w:rPr>
          <w:rFonts w:asciiTheme="minorHAnsi" w:hAnsiTheme="minorHAnsi"/>
        </w:rPr>
      </w:pPr>
      <w:r>
        <w:rPr>
          <w:rFonts w:asciiTheme="minorHAnsi" w:hAnsiTheme="minorHAnsi"/>
        </w:rPr>
        <w:t xml:space="preserve">Overarching sustainability requirements which may not permit the use of the FPAA 101D system. </w:t>
      </w:r>
    </w:p>
    <w:p w:rsidR="00EB19C9" w:rsidRDefault="00EB19C9" w:rsidP="00EB19C9">
      <w:pPr>
        <w:rPr>
          <w:rFonts w:asciiTheme="minorHAnsi" w:hAnsiTheme="minorHAnsi"/>
        </w:rPr>
      </w:pPr>
      <w:r>
        <w:rPr>
          <w:rFonts w:asciiTheme="minorHAnsi" w:hAnsiTheme="minorHAnsi"/>
        </w:rPr>
        <w:t xml:space="preserve">Option 2 assumes the uptake of the FPAA 101D specification is consistent with Option 1 (60%) in recognition </w:t>
      </w:r>
      <w:r w:rsidR="00BD5917">
        <w:rPr>
          <w:rFonts w:asciiTheme="minorHAnsi" w:hAnsiTheme="minorHAnsi"/>
        </w:rPr>
        <w:t xml:space="preserve">of the opportunities to reduce construction cost and </w:t>
      </w:r>
      <w:r>
        <w:rPr>
          <w:rFonts w:asciiTheme="minorHAnsi" w:hAnsiTheme="minorHAnsi"/>
        </w:rPr>
        <w:t xml:space="preserve">gain saleable space. Where FPAA 101D is unable to be used, this option assumes that building practitioners would not opt for </w:t>
      </w:r>
      <w:r w:rsidR="00E10DFB">
        <w:rPr>
          <w:rFonts w:asciiTheme="minorHAnsi" w:hAnsiTheme="minorHAnsi"/>
        </w:rPr>
        <w:t>higher cost</w:t>
      </w:r>
      <w:r w:rsidR="00AA57D5">
        <w:rPr>
          <w:rFonts w:asciiTheme="minorHAnsi" w:hAnsiTheme="minorHAnsi"/>
        </w:rPr>
        <w:t>, but</w:t>
      </w:r>
      <w:r>
        <w:rPr>
          <w:rFonts w:asciiTheme="minorHAnsi" w:hAnsiTheme="minorHAnsi"/>
        </w:rPr>
        <w:t xml:space="preserve"> rather continue using the current DtS Provisions to achieve compliance. </w:t>
      </w:r>
      <w:r w:rsidR="00F562BE">
        <w:rPr>
          <w:rFonts w:asciiTheme="minorHAnsi" w:hAnsiTheme="minorHAnsi"/>
        </w:rPr>
        <w:t>Likewise, i</w:t>
      </w:r>
      <w:r>
        <w:rPr>
          <w:rFonts w:asciiTheme="minorHAnsi" w:hAnsiTheme="minorHAnsi"/>
        </w:rPr>
        <w:t>n circumstances w</w:t>
      </w:r>
      <w:r w:rsidR="00F562BE">
        <w:rPr>
          <w:rFonts w:asciiTheme="minorHAnsi" w:hAnsiTheme="minorHAnsi"/>
        </w:rPr>
        <w:t>here</w:t>
      </w:r>
      <w:r>
        <w:rPr>
          <w:rFonts w:asciiTheme="minorHAnsi" w:hAnsiTheme="minorHAnsi"/>
        </w:rPr>
        <w:t xml:space="preserve"> only a single fire-isolated stair </w:t>
      </w:r>
      <w:r w:rsidR="00F562BE">
        <w:rPr>
          <w:rFonts w:asciiTheme="minorHAnsi" w:hAnsiTheme="minorHAnsi"/>
        </w:rPr>
        <w:t>is proposed,</w:t>
      </w:r>
      <w:r>
        <w:rPr>
          <w:rFonts w:asciiTheme="minorHAnsi" w:hAnsiTheme="minorHAnsi"/>
        </w:rPr>
        <w:t xml:space="preserve"> the </w:t>
      </w:r>
      <w:r w:rsidR="00BD5917">
        <w:rPr>
          <w:rFonts w:asciiTheme="minorHAnsi" w:hAnsiTheme="minorHAnsi"/>
        </w:rPr>
        <w:t xml:space="preserve">most cost effective solution would be to continue to adopt the </w:t>
      </w:r>
      <w:r>
        <w:rPr>
          <w:rFonts w:asciiTheme="minorHAnsi" w:hAnsiTheme="minorHAnsi"/>
        </w:rPr>
        <w:t>cur</w:t>
      </w:r>
      <w:r w:rsidR="00BD5917">
        <w:rPr>
          <w:rFonts w:asciiTheme="minorHAnsi" w:hAnsiTheme="minorHAnsi"/>
        </w:rPr>
        <w:t>rent DtS Provisions</w:t>
      </w:r>
      <w:r>
        <w:rPr>
          <w:rFonts w:asciiTheme="minorHAnsi" w:hAnsiTheme="minorHAnsi"/>
        </w:rPr>
        <w:t xml:space="preserve">. </w:t>
      </w:r>
    </w:p>
    <w:p w:rsidR="00EB19C9" w:rsidRDefault="00EB19C9" w:rsidP="00EB19C9">
      <w:pPr>
        <w:rPr>
          <w:rFonts w:asciiTheme="minorHAnsi" w:hAnsiTheme="minorHAnsi"/>
        </w:rPr>
      </w:pPr>
      <w:r>
        <w:rPr>
          <w:rFonts w:asciiTheme="minorHAnsi" w:hAnsiTheme="minorHAnsi"/>
        </w:rPr>
        <w:t xml:space="preserve">Hence, </w:t>
      </w:r>
      <w:r w:rsidRPr="008F5F81">
        <w:rPr>
          <w:rFonts w:asciiTheme="minorHAnsi" w:hAnsiTheme="minorHAnsi"/>
        </w:rPr>
        <w:t xml:space="preserve">the costs </w:t>
      </w:r>
      <w:r>
        <w:rPr>
          <w:rFonts w:asciiTheme="minorHAnsi" w:hAnsiTheme="minorHAnsi"/>
        </w:rPr>
        <w:t>and benefits under O</w:t>
      </w:r>
      <w:r w:rsidRPr="008F5F81">
        <w:rPr>
          <w:rFonts w:asciiTheme="minorHAnsi" w:hAnsiTheme="minorHAnsi"/>
        </w:rPr>
        <w:t>ptio</w:t>
      </w:r>
      <w:r>
        <w:rPr>
          <w:rFonts w:asciiTheme="minorHAnsi" w:hAnsiTheme="minorHAnsi"/>
        </w:rPr>
        <w:t>n 2</w:t>
      </w:r>
      <w:r w:rsidRPr="008F5F81">
        <w:rPr>
          <w:rFonts w:asciiTheme="minorHAnsi" w:hAnsiTheme="minorHAnsi"/>
        </w:rPr>
        <w:t xml:space="preserve"> reflect the assumption that </w:t>
      </w:r>
      <w:r>
        <w:rPr>
          <w:rFonts w:asciiTheme="minorHAnsi" w:hAnsiTheme="minorHAnsi"/>
        </w:rPr>
        <w:t>industry will not adopt a higher cost specification voluntarily in circumstances where it i</w:t>
      </w:r>
      <w:r w:rsidR="00FA713B">
        <w:rPr>
          <w:rFonts w:asciiTheme="minorHAnsi" w:hAnsiTheme="minorHAnsi"/>
        </w:rPr>
        <w:t xml:space="preserve">s not cost effective to do so. </w:t>
      </w:r>
      <w:r>
        <w:rPr>
          <w:rFonts w:asciiTheme="minorHAnsi" w:hAnsiTheme="minorHAnsi"/>
        </w:rPr>
        <w:t xml:space="preserve">This has </w:t>
      </w:r>
      <w:r>
        <w:rPr>
          <w:rFonts w:asciiTheme="minorHAnsi" w:hAnsiTheme="minorHAnsi"/>
        </w:rPr>
        <w:lastRenderedPageBreak/>
        <w:t xml:space="preserve">the effect of reducing the primary benefits </w:t>
      </w:r>
      <w:r w:rsidR="00E10DFB">
        <w:rPr>
          <w:rFonts w:asciiTheme="minorHAnsi" w:hAnsiTheme="minorHAnsi"/>
        </w:rPr>
        <w:t xml:space="preserve">of </w:t>
      </w:r>
      <w:r>
        <w:rPr>
          <w:rFonts w:asciiTheme="minorHAnsi" w:hAnsiTheme="minorHAnsi"/>
        </w:rPr>
        <w:t xml:space="preserve">life safety and </w:t>
      </w:r>
      <w:r w:rsidR="00E10DFB">
        <w:rPr>
          <w:rFonts w:asciiTheme="minorHAnsi" w:hAnsiTheme="minorHAnsi"/>
        </w:rPr>
        <w:t xml:space="preserve">those of </w:t>
      </w:r>
      <w:r>
        <w:rPr>
          <w:rFonts w:asciiTheme="minorHAnsi" w:hAnsiTheme="minorHAnsi"/>
        </w:rPr>
        <w:t xml:space="preserve">property protection </w:t>
      </w:r>
      <w:r w:rsidR="00E10DFB">
        <w:rPr>
          <w:rFonts w:asciiTheme="minorHAnsi" w:hAnsiTheme="minorHAnsi"/>
        </w:rPr>
        <w:t xml:space="preserve">(secondary benefits) </w:t>
      </w:r>
      <w:r>
        <w:rPr>
          <w:rFonts w:asciiTheme="minorHAnsi" w:hAnsiTheme="minorHAnsi"/>
        </w:rPr>
        <w:t xml:space="preserve">proportionally to the uptake of alternatives to FPAA 101D, and decreasing costs relative to the efficiency of the alternatives. The Net Present Value of Option 2 is shown in Table </w:t>
      </w:r>
      <w:r w:rsidR="008864EA">
        <w:rPr>
          <w:rFonts w:asciiTheme="minorHAnsi" w:hAnsiTheme="minorHAnsi"/>
        </w:rPr>
        <w:t>23</w:t>
      </w:r>
      <w:r>
        <w:rPr>
          <w:rFonts w:asciiTheme="minorHAnsi" w:hAnsiTheme="minorHAnsi"/>
        </w:rPr>
        <w:t xml:space="preserve">. </w:t>
      </w:r>
    </w:p>
    <w:p w:rsidR="00EB19C9" w:rsidRPr="007F2224" w:rsidRDefault="00EB19C9" w:rsidP="00EB19C9">
      <w:pPr>
        <w:pStyle w:val="ListParagraph"/>
        <w:spacing w:after="0"/>
        <w:ind w:left="0"/>
        <w:jc w:val="center"/>
        <w:rPr>
          <w:rFonts w:asciiTheme="minorHAnsi" w:hAnsiTheme="minorHAnsi"/>
          <w:b/>
          <w:bCs/>
          <w:iCs/>
          <w:color w:val="002060"/>
          <w:sz w:val="24"/>
          <w:szCs w:val="24"/>
        </w:rPr>
      </w:pPr>
      <w:r w:rsidRPr="00F83891">
        <w:rPr>
          <w:rFonts w:asciiTheme="minorHAnsi" w:hAnsiTheme="minorHAnsi"/>
          <w:iCs/>
          <w:color w:val="002060"/>
          <w:sz w:val="24"/>
          <w:szCs w:val="24"/>
        </w:rPr>
        <w:t xml:space="preserve">Table </w:t>
      </w:r>
      <w:r w:rsidR="008A7DC4">
        <w:rPr>
          <w:rFonts w:asciiTheme="minorHAnsi" w:hAnsiTheme="minorHAnsi"/>
          <w:iCs/>
          <w:color w:val="002060"/>
          <w:sz w:val="24"/>
          <w:szCs w:val="24"/>
        </w:rPr>
        <w:t>23:</w:t>
      </w:r>
      <w:r w:rsidRPr="00F83891">
        <w:rPr>
          <w:rFonts w:asciiTheme="minorHAnsi" w:hAnsiTheme="minorHAnsi"/>
          <w:iCs/>
          <w:color w:val="002060"/>
          <w:sz w:val="24"/>
          <w:szCs w:val="24"/>
        </w:rPr>
        <w:t xml:space="preserve"> Total Net Present Value of Option 2 </w:t>
      </w:r>
      <w:r>
        <w:rPr>
          <w:rFonts w:asciiTheme="minorHAnsi" w:hAnsiTheme="minorHAnsi"/>
          <w:iCs/>
          <w:color w:val="002060"/>
          <w:sz w:val="24"/>
          <w:szCs w:val="24"/>
        </w:rPr>
        <w:t>–</w:t>
      </w:r>
      <w:r w:rsidRPr="00F83891">
        <w:rPr>
          <w:rFonts w:asciiTheme="minorHAnsi" w:hAnsiTheme="minorHAnsi"/>
          <w:iCs/>
          <w:color w:val="002060"/>
          <w:sz w:val="24"/>
          <w:szCs w:val="24"/>
        </w:rPr>
        <w:t xml:space="preserve"> </w:t>
      </w:r>
      <w:r>
        <w:rPr>
          <w:rFonts w:asciiTheme="minorHAnsi" w:hAnsiTheme="minorHAnsi"/>
          <w:iCs/>
          <w:color w:val="002060"/>
          <w:sz w:val="24"/>
          <w:szCs w:val="24"/>
        </w:rPr>
        <w:t xml:space="preserve">Aggregate Estimate </w:t>
      </w:r>
    </w:p>
    <w:tbl>
      <w:tblPr>
        <w:tblW w:w="4020" w:type="dxa"/>
        <w:jc w:val="center"/>
        <w:tblLook w:val="04A0" w:firstRow="1" w:lastRow="0" w:firstColumn="1" w:lastColumn="0" w:noHBand="0" w:noVBand="1"/>
      </w:tblPr>
      <w:tblGrid>
        <w:gridCol w:w="1960"/>
        <w:gridCol w:w="2060"/>
      </w:tblGrid>
      <w:tr w:rsidR="00EB19C9" w:rsidRPr="007F2224" w:rsidTr="00EB19C9">
        <w:trPr>
          <w:trHeight w:val="300"/>
          <w:jc w:val="center"/>
        </w:trPr>
        <w:tc>
          <w:tcPr>
            <w:tcW w:w="1960" w:type="dxa"/>
            <w:tcBorders>
              <w:top w:val="nil"/>
              <w:left w:val="single" w:sz="4" w:space="0" w:color="auto"/>
              <w:bottom w:val="nil"/>
              <w:right w:val="single" w:sz="4" w:space="0" w:color="auto"/>
            </w:tcBorders>
            <w:shd w:val="clear" w:color="000000" w:fill="002060"/>
            <w:noWrap/>
            <w:vAlign w:val="bottom"/>
            <w:hideMark/>
          </w:tcPr>
          <w:p w:rsidR="00EB19C9" w:rsidRPr="007F2224" w:rsidRDefault="00EB19C9" w:rsidP="00EB19C9">
            <w:pPr>
              <w:spacing w:after="0" w:line="240" w:lineRule="auto"/>
              <w:jc w:val="center"/>
              <w:rPr>
                <w:rFonts w:ascii="Calibri" w:eastAsia="Times New Roman" w:hAnsi="Calibri" w:cs="Calibri"/>
                <w:color w:val="FFFFFF"/>
                <w:lang w:eastAsia="en-AU"/>
              </w:rPr>
            </w:pPr>
            <w:r w:rsidRPr="007F2224">
              <w:rPr>
                <w:rFonts w:ascii="Calibri" w:eastAsia="Times New Roman" w:hAnsi="Calibri" w:cs="Calibri"/>
                <w:color w:val="FFFFFF"/>
                <w:lang w:eastAsia="en-AU"/>
              </w:rPr>
              <w:t xml:space="preserve">Option 2 </w:t>
            </w:r>
          </w:p>
        </w:tc>
        <w:tc>
          <w:tcPr>
            <w:tcW w:w="2060" w:type="dxa"/>
            <w:tcBorders>
              <w:top w:val="single" w:sz="4" w:space="0" w:color="auto"/>
              <w:left w:val="nil"/>
              <w:bottom w:val="single" w:sz="4" w:space="0" w:color="auto"/>
              <w:right w:val="single" w:sz="4" w:space="0" w:color="auto"/>
            </w:tcBorders>
            <w:shd w:val="clear" w:color="auto" w:fill="002060"/>
            <w:noWrap/>
            <w:vAlign w:val="bottom"/>
            <w:hideMark/>
          </w:tcPr>
          <w:p w:rsidR="00EB19C9" w:rsidRPr="007F2224" w:rsidRDefault="00EB19C9" w:rsidP="00EB19C9">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 </w:t>
            </w:r>
            <w:r w:rsidRPr="007F2224">
              <w:rPr>
                <w:rFonts w:ascii="Calibri" w:eastAsia="Times New Roman" w:hAnsi="Calibri" w:cs="Calibri"/>
                <w:color w:val="FFFFFF"/>
                <w:lang w:eastAsia="en-AU"/>
              </w:rPr>
              <w:t>Present Value</w:t>
            </w:r>
            <w:r>
              <w:rPr>
                <w:rFonts w:ascii="Calibri" w:eastAsia="Times New Roman" w:hAnsi="Calibri" w:cs="Calibri"/>
                <w:color w:val="000000"/>
                <w:lang w:eastAsia="en-AU"/>
              </w:rPr>
              <w:t xml:space="preserve"> </w:t>
            </w:r>
          </w:p>
        </w:tc>
      </w:tr>
      <w:tr w:rsidR="00EB19C9" w:rsidRPr="007F2224" w:rsidTr="00EB19C9">
        <w:trPr>
          <w:trHeight w:val="60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9C9" w:rsidRPr="007F2224" w:rsidRDefault="00EB19C9" w:rsidP="001210FF">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Construction and Maintenance</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9C9" w:rsidRPr="007F2224" w:rsidRDefault="00EB19C9" w:rsidP="00491A75">
            <w:pPr>
              <w:spacing w:after="0" w:line="240" w:lineRule="auto"/>
              <w:jc w:val="center"/>
              <w:rPr>
                <w:rFonts w:ascii="Calibri" w:eastAsia="Times New Roman" w:hAnsi="Calibri" w:cs="Calibri"/>
                <w:color w:val="000000"/>
                <w:lang w:eastAsia="en-AU"/>
              </w:rPr>
            </w:pPr>
            <w:r>
              <w:rPr>
                <w:rFonts w:ascii="Calibri" w:hAnsi="Calibri" w:cs="Calibri"/>
                <w:color w:val="000000"/>
              </w:rPr>
              <w:t>($</w:t>
            </w:r>
            <w:r w:rsidR="00491A75">
              <w:rPr>
                <w:rFonts w:ascii="Calibri" w:hAnsi="Calibri" w:cs="Calibri"/>
                <w:color w:val="000000"/>
              </w:rPr>
              <w:t>134,243,988</w:t>
            </w:r>
            <w:r>
              <w:rPr>
                <w:rFonts w:ascii="Calibri" w:hAnsi="Calibri" w:cs="Calibri"/>
                <w:color w:val="000000"/>
              </w:rPr>
              <w:t>)</w:t>
            </w:r>
          </w:p>
        </w:tc>
      </w:tr>
      <w:tr w:rsidR="00EB19C9" w:rsidRPr="007F2224" w:rsidTr="00EB19C9">
        <w:trPr>
          <w:trHeight w:val="30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7F2224" w:rsidRDefault="00EB19C9" w:rsidP="001210FF">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Sal</w:t>
            </w:r>
            <w:r>
              <w:rPr>
                <w:rFonts w:ascii="Calibri" w:eastAsia="Times New Roman" w:hAnsi="Calibri" w:cs="Calibri"/>
                <w:color w:val="000000"/>
                <w:lang w:eastAsia="en-AU"/>
              </w:rPr>
              <w:t>e</w:t>
            </w:r>
            <w:r w:rsidRPr="007F2224">
              <w:rPr>
                <w:rFonts w:ascii="Calibri" w:eastAsia="Times New Roman" w:hAnsi="Calibri" w:cs="Calibri"/>
                <w:color w:val="000000"/>
                <w:lang w:eastAsia="en-AU"/>
              </w:rPr>
              <w:t>able Space</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7F2224"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$196,467,244</w:t>
            </w:r>
          </w:p>
        </w:tc>
      </w:tr>
      <w:tr w:rsidR="00EB19C9" w:rsidRPr="007F2224" w:rsidTr="00EB19C9">
        <w:trPr>
          <w:trHeight w:val="30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7F2224" w:rsidRDefault="00EB19C9" w:rsidP="001210FF">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Injuries</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7F2224" w:rsidRDefault="00EB19C9" w:rsidP="00A6335D">
            <w:pPr>
              <w:spacing w:after="0" w:line="240" w:lineRule="auto"/>
              <w:jc w:val="center"/>
              <w:rPr>
                <w:rFonts w:ascii="Calibri" w:eastAsia="Times New Roman" w:hAnsi="Calibri" w:cs="Calibri"/>
                <w:color w:val="000000"/>
                <w:lang w:eastAsia="en-AU"/>
              </w:rPr>
            </w:pPr>
            <w:r>
              <w:rPr>
                <w:rFonts w:ascii="Calibri" w:hAnsi="Calibri" w:cs="Calibri"/>
                <w:color w:val="000000"/>
              </w:rPr>
              <w:t>$</w:t>
            </w:r>
            <w:r w:rsidR="00A6335D">
              <w:rPr>
                <w:rFonts w:ascii="Calibri" w:hAnsi="Calibri" w:cs="Calibri"/>
                <w:color w:val="000000"/>
              </w:rPr>
              <w:t>5,161,546</w:t>
            </w:r>
          </w:p>
        </w:tc>
      </w:tr>
      <w:tr w:rsidR="00EB19C9" w:rsidRPr="007F2224" w:rsidTr="00EB19C9">
        <w:trPr>
          <w:trHeight w:val="30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7F2224" w:rsidRDefault="00EB19C9" w:rsidP="001210FF">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Fatalities</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7F2224"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$222,250</w:t>
            </w:r>
          </w:p>
        </w:tc>
      </w:tr>
      <w:tr w:rsidR="00EB19C9" w:rsidRPr="007F2224" w:rsidTr="00EB19C9">
        <w:trPr>
          <w:trHeight w:val="30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7F2224" w:rsidRDefault="00EB19C9" w:rsidP="001210FF">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Property</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7F2224" w:rsidRDefault="00EB19C9" w:rsidP="00EB19C9">
            <w:pPr>
              <w:spacing w:after="0" w:line="240" w:lineRule="auto"/>
              <w:jc w:val="center"/>
              <w:rPr>
                <w:rFonts w:ascii="Calibri" w:eastAsia="Times New Roman" w:hAnsi="Calibri" w:cs="Calibri"/>
                <w:color w:val="000000"/>
                <w:lang w:eastAsia="en-AU"/>
              </w:rPr>
            </w:pPr>
            <w:r>
              <w:rPr>
                <w:rFonts w:ascii="Calibri" w:hAnsi="Calibri" w:cs="Calibri"/>
                <w:color w:val="000000"/>
              </w:rPr>
              <w:t>$3,349,506</w:t>
            </w:r>
          </w:p>
        </w:tc>
      </w:tr>
      <w:tr w:rsidR="00EB19C9" w:rsidRPr="007F2224" w:rsidTr="00EB19C9">
        <w:trPr>
          <w:trHeight w:val="300"/>
          <w:jc w:val="center"/>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EB19C9" w:rsidRPr="007F2224" w:rsidRDefault="00EB19C9" w:rsidP="001210FF">
            <w:pPr>
              <w:spacing w:after="0" w:line="240" w:lineRule="auto"/>
              <w:jc w:val="center"/>
              <w:rPr>
                <w:rFonts w:ascii="Calibri" w:eastAsia="Times New Roman" w:hAnsi="Calibri" w:cs="Calibri"/>
                <w:color w:val="000000"/>
                <w:lang w:eastAsia="en-AU"/>
              </w:rPr>
            </w:pPr>
            <w:r w:rsidRPr="007F2224">
              <w:rPr>
                <w:rFonts w:ascii="Calibri" w:eastAsia="Times New Roman" w:hAnsi="Calibri" w:cs="Calibri"/>
                <w:color w:val="000000"/>
                <w:lang w:eastAsia="en-AU"/>
              </w:rPr>
              <w:t>Total</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EB19C9" w:rsidRPr="007F2224" w:rsidRDefault="00EB19C9" w:rsidP="00A6335D">
            <w:pPr>
              <w:spacing w:after="0" w:line="240" w:lineRule="auto"/>
              <w:jc w:val="center"/>
              <w:rPr>
                <w:rFonts w:ascii="Calibri" w:eastAsia="Times New Roman" w:hAnsi="Calibri" w:cs="Calibri"/>
                <w:color w:val="000000"/>
                <w:lang w:eastAsia="en-AU"/>
              </w:rPr>
            </w:pPr>
            <w:r>
              <w:rPr>
                <w:rFonts w:ascii="Calibri" w:hAnsi="Calibri" w:cs="Calibri"/>
                <w:color w:val="000000"/>
              </w:rPr>
              <w:t>$</w:t>
            </w:r>
            <w:r w:rsidR="00A6335D">
              <w:rPr>
                <w:rFonts w:ascii="Calibri" w:hAnsi="Calibri" w:cs="Calibri"/>
                <w:color w:val="000000"/>
              </w:rPr>
              <w:t>70,956,558</w:t>
            </w:r>
          </w:p>
        </w:tc>
      </w:tr>
    </w:tbl>
    <w:p w:rsidR="00EB19C9" w:rsidRDefault="00EB19C9" w:rsidP="00CD53E5">
      <w:pPr>
        <w:spacing w:before="240" w:after="0"/>
        <w:ind w:left="2835" w:hanging="283"/>
        <w:rPr>
          <w:rFonts w:ascii="Calibri" w:hAnsi="Calibri"/>
          <w:bCs/>
          <w:sz w:val="20"/>
        </w:rPr>
      </w:pPr>
      <w:r>
        <w:rPr>
          <w:rFonts w:ascii="Calibri" w:hAnsi="Calibri"/>
          <w:bCs/>
          <w:sz w:val="20"/>
        </w:rPr>
        <w:t>Note</w:t>
      </w:r>
      <w:r w:rsidR="00CD53E5">
        <w:rPr>
          <w:rFonts w:ascii="Calibri" w:hAnsi="Calibri"/>
          <w:bCs/>
          <w:sz w:val="20"/>
        </w:rPr>
        <w:t>s</w:t>
      </w:r>
      <w:r>
        <w:rPr>
          <w:rFonts w:ascii="Calibri" w:hAnsi="Calibri"/>
          <w:bCs/>
          <w:sz w:val="20"/>
        </w:rPr>
        <w:t>:</w:t>
      </w:r>
    </w:p>
    <w:p w:rsidR="00EB19C9" w:rsidRDefault="00EB19C9" w:rsidP="00CD53E5">
      <w:pPr>
        <w:pStyle w:val="ListParagraph"/>
        <w:numPr>
          <w:ilvl w:val="0"/>
          <w:numId w:val="127"/>
        </w:numPr>
        <w:spacing w:before="120" w:after="0"/>
        <w:ind w:left="2835" w:hanging="283"/>
        <w:rPr>
          <w:rFonts w:ascii="Calibri" w:hAnsi="Calibri"/>
          <w:bCs/>
          <w:sz w:val="20"/>
        </w:rPr>
      </w:pPr>
      <w:r>
        <w:rPr>
          <w:rFonts w:ascii="Calibri" w:hAnsi="Calibri"/>
          <w:bCs/>
          <w:sz w:val="20"/>
        </w:rPr>
        <w:t xml:space="preserve">Construction and maintenance costs and benefits associated with saleable space calculated to be 60% of all large Class 2 </w:t>
      </w:r>
      <w:r w:rsidR="001210FF">
        <w:rPr>
          <w:rFonts w:ascii="Calibri" w:hAnsi="Calibri"/>
          <w:bCs/>
          <w:sz w:val="20"/>
        </w:rPr>
        <w:t xml:space="preserve">and 3 </w:t>
      </w:r>
      <w:r>
        <w:rPr>
          <w:rFonts w:ascii="Calibri" w:hAnsi="Calibri"/>
          <w:bCs/>
          <w:sz w:val="20"/>
        </w:rPr>
        <w:t xml:space="preserve">buildings. </w:t>
      </w:r>
    </w:p>
    <w:p w:rsidR="00EB19C9" w:rsidRPr="00B154B0" w:rsidRDefault="00EB19C9" w:rsidP="00CD53E5">
      <w:pPr>
        <w:pStyle w:val="ListParagraph"/>
        <w:numPr>
          <w:ilvl w:val="0"/>
          <w:numId w:val="127"/>
        </w:numPr>
        <w:spacing w:before="240" w:after="0"/>
        <w:ind w:left="2835" w:hanging="283"/>
        <w:rPr>
          <w:rFonts w:ascii="Calibri" w:hAnsi="Calibri"/>
          <w:bCs/>
          <w:sz w:val="20"/>
        </w:rPr>
      </w:pPr>
      <w:r>
        <w:rPr>
          <w:rFonts w:ascii="Calibri" w:hAnsi="Calibri"/>
          <w:bCs/>
          <w:sz w:val="20"/>
        </w:rPr>
        <w:t xml:space="preserve">Avoidance of injuries, fatalities and property loss calculated to be 38% of Option 1 (that is 60% of 63%). </w:t>
      </w:r>
    </w:p>
    <w:p w:rsidR="00EB19C9" w:rsidRPr="00447747" w:rsidRDefault="00EB19C9" w:rsidP="00EB19C9">
      <w:pPr>
        <w:spacing w:before="240" w:after="240"/>
        <w:rPr>
          <w:rFonts w:asciiTheme="minorHAnsi" w:hAnsiTheme="minorHAnsi"/>
        </w:rPr>
      </w:pPr>
      <w:r>
        <w:rPr>
          <w:rFonts w:asciiTheme="minorHAnsi" w:hAnsiTheme="minorHAnsi"/>
        </w:rPr>
        <w:t>Option 2 demonstrates</w:t>
      </w:r>
      <w:r w:rsidRPr="00447747">
        <w:rPr>
          <w:rFonts w:asciiTheme="minorHAnsi" w:hAnsiTheme="minorHAnsi"/>
        </w:rPr>
        <w:t xml:space="preserve"> </w:t>
      </w:r>
      <w:r>
        <w:rPr>
          <w:rFonts w:asciiTheme="minorHAnsi" w:hAnsiTheme="minorHAnsi"/>
        </w:rPr>
        <w:t>small</w:t>
      </w:r>
      <w:r w:rsidRPr="00447747">
        <w:rPr>
          <w:rFonts w:asciiTheme="minorHAnsi" w:hAnsiTheme="minorHAnsi"/>
        </w:rPr>
        <w:t xml:space="preserve"> </w:t>
      </w:r>
      <w:r>
        <w:rPr>
          <w:rFonts w:asciiTheme="minorHAnsi" w:hAnsiTheme="minorHAnsi"/>
        </w:rPr>
        <w:t xml:space="preserve">net </w:t>
      </w:r>
      <w:r w:rsidRPr="00447747">
        <w:rPr>
          <w:rFonts w:asciiTheme="minorHAnsi" w:hAnsiTheme="minorHAnsi"/>
        </w:rPr>
        <w:t>saving</w:t>
      </w:r>
      <w:r>
        <w:rPr>
          <w:rFonts w:asciiTheme="minorHAnsi" w:hAnsiTheme="minorHAnsi"/>
        </w:rPr>
        <w:t>s</w:t>
      </w:r>
      <w:r w:rsidRPr="00447747">
        <w:rPr>
          <w:rFonts w:asciiTheme="minorHAnsi" w:hAnsiTheme="minorHAnsi"/>
        </w:rPr>
        <w:t xml:space="preserve"> </w:t>
      </w:r>
      <w:r>
        <w:rPr>
          <w:rFonts w:asciiTheme="minorHAnsi" w:hAnsiTheme="minorHAnsi"/>
        </w:rPr>
        <w:t>in the range of $</w:t>
      </w:r>
      <w:r w:rsidR="00B40E82">
        <w:rPr>
          <w:rFonts w:asciiTheme="minorHAnsi" w:hAnsiTheme="minorHAnsi"/>
        </w:rPr>
        <w:t xml:space="preserve">71 </w:t>
      </w:r>
      <w:r>
        <w:rPr>
          <w:rFonts w:asciiTheme="minorHAnsi" w:hAnsiTheme="minorHAnsi"/>
        </w:rPr>
        <w:t>million in Present Value terms</w:t>
      </w:r>
      <w:r w:rsidRPr="00447747">
        <w:rPr>
          <w:rFonts w:asciiTheme="minorHAnsi" w:hAnsiTheme="minorHAnsi"/>
        </w:rPr>
        <w:t>.</w:t>
      </w:r>
      <w:r>
        <w:rPr>
          <w:rFonts w:asciiTheme="minorHAnsi" w:hAnsiTheme="minorHAnsi"/>
        </w:rPr>
        <w:t xml:space="preserve"> </w:t>
      </w:r>
    </w:p>
    <w:tbl>
      <w:tblPr>
        <w:tblStyle w:val="TableGrid"/>
        <w:tblW w:w="0" w:type="auto"/>
        <w:tblBorders>
          <w:insideH w:val="none" w:sz="0" w:space="0" w:color="auto"/>
          <w:insideV w:val="none" w:sz="0" w:space="0" w:color="auto"/>
        </w:tblBorders>
        <w:shd w:val="clear" w:color="auto" w:fill="BFBFBF" w:themeFill="background1" w:themeFillShade="BF"/>
        <w:tblLook w:val="0480" w:firstRow="0" w:lastRow="0" w:firstColumn="1" w:lastColumn="0" w:noHBand="0" w:noVBand="1"/>
        <w:tblCaption w:val="Table contatining consultation questions"/>
      </w:tblPr>
      <w:tblGrid>
        <w:gridCol w:w="9016"/>
      </w:tblGrid>
      <w:tr w:rsidR="00EB19C9" w:rsidTr="00FE3334">
        <w:trPr>
          <w:tblHeader/>
        </w:trPr>
        <w:tc>
          <w:tcPr>
            <w:tcW w:w="9016" w:type="dxa"/>
            <w:shd w:val="clear" w:color="auto" w:fill="BFBFBF" w:themeFill="background1" w:themeFillShade="BF"/>
          </w:tcPr>
          <w:p w:rsidR="00EB19C9" w:rsidRPr="00532ED3" w:rsidRDefault="00EB19C9" w:rsidP="00EB19C9">
            <w:pPr>
              <w:shd w:val="clear" w:color="auto" w:fill="BFBFBF" w:themeFill="background1" w:themeFillShade="BF"/>
              <w:rPr>
                <w:rFonts w:asciiTheme="minorHAnsi" w:hAnsiTheme="minorHAnsi"/>
              </w:rPr>
            </w:pPr>
            <w:r w:rsidRPr="00532ED3">
              <w:rPr>
                <w:rFonts w:asciiTheme="minorHAnsi" w:hAnsiTheme="minorHAnsi"/>
              </w:rPr>
              <w:t>Stakeholders were asked whether they had any comment on the ability of industry to meet the demand for sprinkler protection in four to eight storey Class 2 and Class 3 buildings.</w:t>
            </w:r>
          </w:p>
        </w:tc>
      </w:tr>
    </w:tbl>
    <w:p w:rsidR="00EB19C9" w:rsidRPr="00144299" w:rsidRDefault="00065F74" w:rsidP="00EB19C9">
      <w:pPr>
        <w:spacing w:before="240"/>
        <w:rPr>
          <w:rFonts w:asciiTheme="minorHAnsi" w:hAnsiTheme="minorHAnsi"/>
        </w:rPr>
      </w:pPr>
      <w:r>
        <w:rPr>
          <w:rFonts w:asciiTheme="minorHAnsi" w:hAnsiTheme="minorHAnsi"/>
          <w:bCs/>
        </w:rPr>
        <w:t>Four</w:t>
      </w:r>
      <w:r w:rsidR="00EB19C9" w:rsidRPr="00144299">
        <w:rPr>
          <w:rFonts w:asciiTheme="minorHAnsi" w:hAnsiTheme="minorHAnsi"/>
          <w:bCs/>
        </w:rPr>
        <w:t xml:space="preserve"> stakeholders suggested that demand for fire sprinklers would be unserviceable by industry upon implementation on the basis that </w:t>
      </w:r>
      <w:r>
        <w:rPr>
          <w:rFonts w:asciiTheme="minorHAnsi" w:hAnsiTheme="minorHAnsi"/>
          <w:bCs/>
        </w:rPr>
        <w:t xml:space="preserve">practitioners </w:t>
      </w:r>
      <w:r w:rsidR="00596F5F" w:rsidRPr="00144299">
        <w:rPr>
          <w:rFonts w:asciiTheme="minorHAnsi" w:hAnsiTheme="minorHAnsi"/>
          <w:bCs/>
        </w:rPr>
        <w:t>would need to re</w:t>
      </w:r>
      <w:r w:rsidR="00596F5F">
        <w:rPr>
          <w:rFonts w:asciiTheme="minorHAnsi" w:hAnsiTheme="minorHAnsi"/>
          <w:bCs/>
        </w:rPr>
        <w:t>-</w:t>
      </w:r>
      <w:r w:rsidR="00596F5F" w:rsidRPr="00144299">
        <w:rPr>
          <w:rFonts w:asciiTheme="minorHAnsi" w:hAnsiTheme="minorHAnsi"/>
          <w:bCs/>
        </w:rPr>
        <w:t>train</w:t>
      </w:r>
      <w:r w:rsidR="00596F5F">
        <w:rPr>
          <w:rFonts w:asciiTheme="minorHAnsi" w:hAnsiTheme="minorHAnsi"/>
          <w:bCs/>
        </w:rPr>
        <w:t xml:space="preserve"> </w:t>
      </w:r>
      <w:r>
        <w:rPr>
          <w:rFonts w:asciiTheme="minorHAnsi" w:hAnsiTheme="minorHAnsi"/>
          <w:bCs/>
        </w:rPr>
        <w:t xml:space="preserve">and </w:t>
      </w:r>
      <w:r w:rsidR="00EB19C9" w:rsidRPr="00144299">
        <w:rPr>
          <w:rFonts w:asciiTheme="minorHAnsi" w:hAnsiTheme="minorHAnsi"/>
          <w:bCs/>
        </w:rPr>
        <w:t>manufacturers re</w:t>
      </w:r>
      <w:r w:rsidR="001210FF">
        <w:rPr>
          <w:rFonts w:asciiTheme="minorHAnsi" w:hAnsiTheme="minorHAnsi"/>
          <w:bCs/>
        </w:rPr>
        <w:t>-</w:t>
      </w:r>
      <w:r w:rsidR="00EB19C9" w:rsidRPr="00144299">
        <w:rPr>
          <w:rFonts w:asciiTheme="minorHAnsi" w:hAnsiTheme="minorHAnsi"/>
          <w:bCs/>
        </w:rPr>
        <w:t>tool. These stakeholders also adv</w:t>
      </w:r>
      <w:r w:rsidR="00EB19C9" w:rsidRPr="00144299">
        <w:rPr>
          <w:rFonts w:asciiTheme="minorHAnsi" w:hAnsiTheme="minorHAnsi"/>
        </w:rPr>
        <w:t xml:space="preserve">ised that the fire safety industry is currently facing a labour shortage </w:t>
      </w:r>
      <w:r w:rsidR="00EB19C9">
        <w:rPr>
          <w:rFonts w:asciiTheme="minorHAnsi" w:hAnsiTheme="minorHAnsi"/>
        </w:rPr>
        <w:t xml:space="preserve">and the industry </w:t>
      </w:r>
      <w:r w:rsidR="00EB19C9" w:rsidRPr="00144299">
        <w:rPr>
          <w:rFonts w:asciiTheme="minorHAnsi" w:hAnsiTheme="minorHAnsi"/>
        </w:rPr>
        <w:t xml:space="preserve">had more positions vacant than could be filled. </w:t>
      </w:r>
    </w:p>
    <w:p w:rsidR="00EB19C9" w:rsidRPr="00144299" w:rsidRDefault="00EB19C9" w:rsidP="00EB19C9">
      <w:pPr>
        <w:rPr>
          <w:rFonts w:asciiTheme="minorHAnsi" w:hAnsiTheme="minorHAnsi"/>
          <w:bCs/>
        </w:rPr>
      </w:pPr>
      <w:r w:rsidRPr="00144299">
        <w:rPr>
          <w:rFonts w:asciiTheme="minorHAnsi" w:hAnsiTheme="minorHAnsi"/>
        </w:rPr>
        <w:t xml:space="preserve">Contrary to these views, the National Fire Industry Association indicated that </w:t>
      </w:r>
      <w:r w:rsidR="00F562BE">
        <w:rPr>
          <w:rFonts w:asciiTheme="minorHAnsi" w:hAnsiTheme="minorHAnsi"/>
        </w:rPr>
        <w:t>the industry</w:t>
      </w:r>
      <w:r w:rsidRPr="00144299">
        <w:rPr>
          <w:rFonts w:asciiTheme="minorHAnsi" w:hAnsiTheme="minorHAnsi"/>
        </w:rPr>
        <w:t xml:space="preserve"> had a surplus of labour and apprentices i</w:t>
      </w:r>
      <w:r w:rsidRPr="00144299">
        <w:rPr>
          <w:rFonts w:asciiTheme="minorHAnsi" w:hAnsiTheme="minorHAnsi"/>
          <w:bCs/>
        </w:rPr>
        <w:t xml:space="preserve">n training. Similarly the </w:t>
      </w:r>
      <w:r w:rsidR="00F562BE">
        <w:rPr>
          <w:rFonts w:asciiTheme="minorHAnsi" w:hAnsiTheme="minorHAnsi"/>
          <w:bCs/>
        </w:rPr>
        <w:t>AFAC</w:t>
      </w:r>
      <w:r w:rsidRPr="00144299">
        <w:rPr>
          <w:rFonts w:asciiTheme="minorHAnsi" w:hAnsiTheme="minorHAnsi"/>
          <w:bCs/>
        </w:rPr>
        <w:t xml:space="preserve"> and the </w:t>
      </w:r>
      <w:r w:rsidR="00F562BE">
        <w:rPr>
          <w:rFonts w:asciiTheme="minorHAnsi" w:hAnsiTheme="minorHAnsi"/>
          <w:bCs/>
        </w:rPr>
        <w:t>FPAA</w:t>
      </w:r>
      <w:r w:rsidRPr="00144299">
        <w:rPr>
          <w:rFonts w:asciiTheme="minorHAnsi" w:hAnsiTheme="minorHAnsi"/>
          <w:bCs/>
        </w:rPr>
        <w:t xml:space="preserve"> submission </w:t>
      </w:r>
      <w:r>
        <w:rPr>
          <w:rFonts w:asciiTheme="minorHAnsi" w:hAnsiTheme="minorHAnsi"/>
          <w:bCs/>
        </w:rPr>
        <w:t>indicated that</w:t>
      </w:r>
      <w:r w:rsidRPr="00144299">
        <w:rPr>
          <w:rFonts w:asciiTheme="minorHAnsi" w:hAnsiTheme="minorHAnsi"/>
          <w:bCs/>
        </w:rPr>
        <w:t xml:space="preserve"> a number of alternatives were available, including allowing the existing plumbing labour force to be permitt</w:t>
      </w:r>
      <w:r>
        <w:rPr>
          <w:rFonts w:asciiTheme="minorHAnsi" w:hAnsiTheme="minorHAnsi"/>
          <w:bCs/>
        </w:rPr>
        <w:t>ed to install fire sprinklers</w:t>
      </w:r>
      <w:r w:rsidR="00F562BE">
        <w:rPr>
          <w:rFonts w:asciiTheme="minorHAnsi" w:hAnsiTheme="minorHAnsi"/>
          <w:bCs/>
        </w:rPr>
        <w:t>. This is considered</w:t>
      </w:r>
      <w:r>
        <w:rPr>
          <w:rFonts w:asciiTheme="minorHAnsi" w:hAnsiTheme="minorHAnsi"/>
          <w:bCs/>
        </w:rPr>
        <w:t xml:space="preserve"> feasible under both options.</w:t>
      </w:r>
    </w:p>
    <w:p w:rsidR="00EB19C9" w:rsidRDefault="00EB19C9" w:rsidP="00EB19C9">
      <w:pPr>
        <w:rPr>
          <w:rFonts w:asciiTheme="minorHAnsi" w:hAnsiTheme="minorHAnsi"/>
        </w:rPr>
      </w:pPr>
      <w:r>
        <w:rPr>
          <w:rFonts w:asciiTheme="minorHAnsi" w:hAnsiTheme="minorHAnsi"/>
        </w:rPr>
        <w:t xml:space="preserve">A plumbing business raised concern regarding the </w:t>
      </w:r>
      <w:r w:rsidR="00E10DFB">
        <w:rPr>
          <w:rFonts w:asciiTheme="minorHAnsi" w:hAnsiTheme="minorHAnsi"/>
        </w:rPr>
        <w:t xml:space="preserve">timely </w:t>
      </w:r>
      <w:r>
        <w:rPr>
          <w:rFonts w:asciiTheme="minorHAnsi" w:hAnsiTheme="minorHAnsi"/>
        </w:rPr>
        <w:t xml:space="preserve">availability of purpose made products </w:t>
      </w:r>
      <w:r w:rsidR="00E10DFB">
        <w:rPr>
          <w:rFonts w:asciiTheme="minorHAnsi" w:hAnsiTheme="minorHAnsi"/>
        </w:rPr>
        <w:t xml:space="preserve">before </w:t>
      </w:r>
      <w:r>
        <w:rPr>
          <w:rFonts w:asciiTheme="minorHAnsi" w:hAnsiTheme="minorHAnsi"/>
        </w:rPr>
        <w:t>implement</w:t>
      </w:r>
      <w:r w:rsidR="00E10DFB">
        <w:rPr>
          <w:rFonts w:asciiTheme="minorHAnsi" w:hAnsiTheme="minorHAnsi"/>
        </w:rPr>
        <w:t>ation</w:t>
      </w:r>
      <w:r>
        <w:rPr>
          <w:rFonts w:asciiTheme="minorHAnsi" w:hAnsiTheme="minorHAnsi"/>
        </w:rPr>
        <w:t xml:space="preserve">, suggesting this problem could be exacerbated if the requirements were to replace the existing DtS provisions. </w:t>
      </w:r>
    </w:p>
    <w:p w:rsidR="00EB19C9" w:rsidRDefault="00EB19C9" w:rsidP="00EB19C9">
      <w:pPr>
        <w:rPr>
          <w:rFonts w:asciiTheme="minorHAnsi" w:hAnsiTheme="minorHAnsi"/>
        </w:rPr>
      </w:pPr>
      <w:r>
        <w:rPr>
          <w:rFonts w:asciiTheme="minorHAnsi" w:hAnsiTheme="minorHAnsi"/>
        </w:rPr>
        <w:t>The materials and components for both systems are currently available with the exception of:</w:t>
      </w:r>
    </w:p>
    <w:p w:rsidR="00EB19C9" w:rsidRPr="006B6605" w:rsidRDefault="00EB19C9" w:rsidP="00EB19C9">
      <w:pPr>
        <w:pStyle w:val="ListParagraph"/>
        <w:numPr>
          <w:ilvl w:val="0"/>
          <w:numId w:val="99"/>
        </w:numPr>
        <w:rPr>
          <w:rFonts w:asciiTheme="minorHAnsi" w:hAnsiTheme="minorHAnsi"/>
        </w:rPr>
      </w:pPr>
      <w:r>
        <w:rPr>
          <w:rFonts w:asciiTheme="minorHAnsi" w:hAnsiTheme="minorHAnsi"/>
        </w:rPr>
        <w:t>S</w:t>
      </w:r>
      <w:r w:rsidRPr="006B6605">
        <w:rPr>
          <w:rFonts w:asciiTheme="minorHAnsi" w:hAnsiTheme="minorHAnsi"/>
        </w:rPr>
        <w:t>prinkler heads</w:t>
      </w:r>
      <w:r>
        <w:rPr>
          <w:rFonts w:asciiTheme="minorHAnsi" w:hAnsiTheme="minorHAnsi"/>
        </w:rPr>
        <w:t xml:space="preserve"> that conform with the WaterMark Certification Scheme</w:t>
      </w:r>
      <w:r w:rsidRPr="006B6605">
        <w:rPr>
          <w:rFonts w:asciiTheme="minorHAnsi" w:hAnsiTheme="minorHAnsi"/>
        </w:rPr>
        <w:t xml:space="preserve">; and </w:t>
      </w:r>
    </w:p>
    <w:p w:rsidR="00EB19C9" w:rsidRDefault="00EB19C9" w:rsidP="00EB19C9">
      <w:pPr>
        <w:pStyle w:val="ListParagraph"/>
        <w:numPr>
          <w:ilvl w:val="0"/>
          <w:numId w:val="98"/>
        </w:numPr>
        <w:rPr>
          <w:rFonts w:asciiTheme="minorHAnsi" w:hAnsiTheme="minorHAnsi"/>
        </w:rPr>
      </w:pPr>
      <w:r>
        <w:rPr>
          <w:rFonts w:asciiTheme="minorHAnsi" w:hAnsiTheme="minorHAnsi"/>
        </w:rPr>
        <w:t xml:space="preserve">“lugged” tees. </w:t>
      </w:r>
    </w:p>
    <w:p w:rsidR="00EB19C9" w:rsidRDefault="00EB19C9" w:rsidP="00EB19C9">
      <w:pPr>
        <w:rPr>
          <w:rFonts w:asciiTheme="minorHAnsi" w:hAnsiTheme="minorHAnsi"/>
        </w:rPr>
      </w:pPr>
      <w:r>
        <w:rPr>
          <w:rFonts w:asciiTheme="minorHAnsi" w:hAnsiTheme="minorHAnsi"/>
        </w:rPr>
        <w:t xml:space="preserve">FPAA is </w:t>
      </w:r>
      <w:r w:rsidR="00BD5917">
        <w:rPr>
          <w:rFonts w:asciiTheme="minorHAnsi" w:hAnsiTheme="minorHAnsi"/>
        </w:rPr>
        <w:t xml:space="preserve">currently </w:t>
      </w:r>
      <w:r>
        <w:rPr>
          <w:rFonts w:asciiTheme="minorHAnsi" w:hAnsiTheme="minorHAnsi"/>
        </w:rPr>
        <w:t>working with industry partners of the Home Fire Sprinkler Coalition (i.e. sprinkler manufacturers/supplie</w:t>
      </w:r>
      <w:r w:rsidR="001210FF">
        <w:rPr>
          <w:rFonts w:asciiTheme="minorHAnsi" w:hAnsiTheme="minorHAnsi"/>
        </w:rPr>
        <w:t>r</w:t>
      </w:r>
      <w:r>
        <w:rPr>
          <w:rFonts w:asciiTheme="minorHAnsi" w:hAnsiTheme="minorHAnsi"/>
        </w:rPr>
        <w:t xml:space="preserve">s) to ensure their sprinkler heads obtain Watermark prior to NCC 2019 being adopted. However, this remains an unresolved supply constraint and may warrant consideration of a transitional arrangement should Option 1 be supported. </w:t>
      </w:r>
    </w:p>
    <w:p w:rsidR="00EB19C9" w:rsidRDefault="00EB19C9" w:rsidP="00EB19C9">
      <w:pPr>
        <w:rPr>
          <w:rFonts w:asciiTheme="minorHAnsi" w:hAnsiTheme="minorHAnsi"/>
        </w:rPr>
      </w:pPr>
      <w:r>
        <w:rPr>
          <w:rFonts w:asciiTheme="minorHAnsi" w:hAnsiTheme="minorHAnsi"/>
        </w:rPr>
        <w:lastRenderedPageBreak/>
        <w:t xml:space="preserve">In regards to “lugged” tees, these are available internationally, but currently there is little demand to install these in Australia. With the introduction of the specifications, such demand will be supplied from international manufacturers whilst production lines </w:t>
      </w:r>
      <w:r w:rsidR="004518EB">
        <w:rPr>
          <w:rFonts w:asciiTheme="minorHAnsi" w:hAnsiTheme="minorHAnsi"/>
        </w:rPr>
        <w:t>may be</w:t>
      </w:r>
      <w:r>
        <w:rPr>
          <w:rFonts w:asciiTheme="minorHAnsi" w:hAnsiTheme="minorHAnsi"/>
        </w:rPr>
        <w:t xml:space="preserve"> established in Australia.</w:t>
      </w:r>
    </w:p>
    <w:p w:rsidR="00EB19C9" w:rsidRPr="004639DE" w:rsidRDefault="00EB19C9" w:rsidP="00CD53E5">
      <w:pPr>
        <w:pStyle w:val="Heading1"/>
        <w:spacing w:before="360"/>
      </w:pPr>
      <w:bookmarkStart w:id="45" w:name="_Toc527709104"/>
      <w:r w:rsidRPr="004639DE">
        <w:t>Sensitivity Analysis</w:t>
      </w:r>
      <w:bookmarkEnd w:id="45"/>
    </w:p>
    <w:p w:rsidR="00EB19C9" w:rsidRPr="003F55DE" w:rsidRDefault="00EB19C9" w:rsidP="00EB19C9">
      <w:pPr>
        <w:rPr>
          <w:rFonts w:ascii="Calibri" w:hAnsi="Calibri"/>
        </w:rPr>
      </w:pPr>
      <w:r w:rsidRPr="003F55DE">
        <w:rPr>
          <w:rFonts w:ascii="Calibri" w:hAnsi="Calibri"/>
        </w:rPr>
        <w:t>This section examines the sensitivity of the quantitative analysis to variations in key assumptions underpinning the aggregate gross impact. The sensitivity ana</w:t>
      </w:r>
      <w:r>
        <w:rPr>
          <w:rFonts w:ascii="Calibri" w:hAnsi="Calibri"/>
        </w:rPr>
        <w:t>lysis has been conducted on the following</w:t>
      </w:r>
      <w:r w:rsidRPr="003F55DE">
        <w:rPr>
          <w:rFonts w:ascii="Calibri" w:hAnsi="Calibri"/>
        </w:rPr>
        <w:t xml:space="preserve"> areas noting</w:t>
      </w:r>
      <w:r>
        <w:rPr>
          <w:rFonts w:ascii="Calibri" w:hAnsi="Calibri"/>
        </w:rPr>
        <w:t xml:space="preserve"> the following</w:t>
      </w:r>
      <w:r w:rsidRPr="003F55DE">
        <w:rPr>
          <w:rFonts w:ascii="Calibri" w:hAnsi="Calibri"/>
        </w:rPr>
        <w:t>:</w:t>
      </w:r>
    </w:p>
    <w:p w:rsidR="00EB19C9" w:rsidRPr="003F55DE" w:rsidRDefault="00EB19C9" w:rsidP="00EB19C9">
      <w:pPr>
        <w:pStyle w:val="ListParagraph"/>
        <w:numPr>
          <w:ilvl w:val="0"/>
          <w:numId w:val="18"/>
        </w:numPr>
        <w:rPr>
          <w:rFonts w:ascii="Calibri" w:hAnsi="Calibri"/>
        </w:rPr>
      </w:pPr>
      <w:r w:rsidRPr="003F55DE">
        <w:rPr>
          <w:rFonts w:ascii="Calibri" w:hAnsi="Calibri"/>
        </w:rPr>
        <w:t>A real discount rate of 7% has been used in the quantitative analysis, and sensitivity will be tested from a lower bound of 3% to an upper bound of 11%.</w:t>
      </w:r>
    </w:p>
    <w:p w:rsidR="00EB19C9" w:rsidRPr="003F55DE" w:rsidRDefault="00EB19C9" w:rsidP="00EB19C9">
      <w:pPr>
        <w:pStyle w:val="ListParagraph"/>
        <w:numPr>
          <w:ilvl w:val="0"/>
          <w:numId w:val="18"/>
        </w:numPr>
        <w:rPr>
          <w:rFonts w:ascii="Calibri" w:hAnsi="Calibri"/>
        </w:rPr>
      </w:pPr>
      <w:r w:rsidRPr="003F55DE">
        <w:rPr>
          <w:rFonts w:ascii="Calibri" w:hAnsi="Calibri"/>
        </w:rPr>
        <w:t xml:space="preserve">Construction costs </w:t>
      </w:r>
      <w:r>
        <w:rPr>
          <w:rFonts w:ascii="Calibri" w:hAnsi="Calibri"/>
        </w:rPr>
        <w:t xml:space="preserve">and maintenance </w:t>
      </w:r>
      <w:r w:rsidRPr="003F55DE">
        <w:rPr>
          <w:rFonts w:ascii="Calibri" w:hAnsi="Calibri"/>
        </w:rPr>
        <w:t xml:space="preserve">may vary between </w:t>
      </w:r>
      <w:r w:rsidR="001210FF">
        <w:rPr>
          <w:rFonts w:ascii="Calibri" w:hAnsi="Calibri"/>
        </w:rPr>
        <w:t>S</w:t>
      </w:r>
      <w:r w:rsidRPr="003F55DE">
        <w:rPr>
          <w:rFonts w:ascii="Calibri" w:hAnsi="Calibri"/>
        </w:rPr>
        <w:t>tates and Territories. The sensitivity analysis will test a variance of ±</w:t>
      </w:r>
      <w:r w:rsidR="001962A5">
        <w:rPr>
          <w:rFonts w:ascii="Calibri" w:hAnsi="Calibri"/>
        </w:rPr>
        <w:t>1</w:t>
      </w:r>
      <w:r w:rsidRPr="003F55DE">
        <w:rPr>
          <w:rFonts w:ascii="Calibri" w:hAnsi="Calibri"/>
        </w:rPr>
        <w:t>0%.</w:t>
      </w:r>
    </w:p>
    <w:p w:rsidR="00EB19C9" w:rsidRDefault="00EB19C9" w:rsidP="00EB19C9">
      <w:pPr>
        <w:pStyle w:val="ListParagraph"/>
        <w:numPr>
          <w:ilvl w:val="0"/>
          <w:numId w:val="18"/>
        </w:numPr>
        <w:rPr>
          <w:rFonts w:ascii="Calibri" w:hAnsi="Calibri"/>
        </w:rPr>
      </w:pPr>
      <w:r>
        <w:rPr>
          <w:rFonts w:ascii="Calibri" w:hAnsi="Calibri"/>
        </w:rPr>
        <w:t>The proportion of buildings constructed with two or more fire stairs</w:t>
      </w:r>
      <w:r w:rsidR="00E33CF9">
        <w:rPr>
          <w:rFonts w:ascii="Calibri" w:hAnsi="Calibri"/>
        </w:rPr>
        <w:t xml:space="preserve"> could vary</w:t>
      </w:r>
      <w:r>
        <w:rPr>
          <w:rFonts w:ascii="Calibri" w:hAnsi="Calibri"/>
        </w:rPr>
        <w:t>.</w:t>
      </w:r>
      <w:r w:rsidR="00E33CF9">
        <w:rPr>
          <w:rFonts w:ascii="Calibri" w:hAnsi="Calibri"/>
        </w:rPr>
        <w:t xml:space="preserve"> The sensitivity analysis will test a </w:t>
      </w:r>
      <w:r w:rsidR="00E33CF9" w:rsidRPr="003F55DE">
        <w:rPr>
          <w:rFonts w:ascii="Calibri" w:hAnsi="Calibri"/>
        </w:rPr>
        <w:t>±</w:t>
      </w:r>
      <w:r w:rsidR="00E33CF9">
        <w:rPr>
          <w:rFonts w:ascii="Calibri" w:hAnsi="Calibri"/>
        </w:rPr>
        <w:t>1</w:t>
      </w:r>
      <w:r w:rsidR="00E33CF9" w:rsidRPr="003F55DE">
        <w:rPr>
          <w:rFonts w:ascii="Calibri" w:hAnsi="Calibri"/>
        </w:rPr>
        <w:t>0%</w:t>
      </w:r>
      <w:r w:rsidR="00E33CF9">
        <w:rPr>
          <w:rFonts w:ascii="Calibri" w:hAnsi="Calibri"/>
        </w:rPr>
        <w:t xml:space="preserve"> variation.</w:t>
      </w:r>
    </w:p>
    <w:p w:rsidR="00EB19C9" w:rsidRDefault="00EB19C9" w:rsidP="00EB19C9">
      <w:pPr>
        <w:pStyle w:val="ListParagraph"/>
        <w:numPr>
          <w:ilvl w:val="0"/>
          <w:numId w:val="18"/>
        </w:numPr>
        <w:rPr>
          <w:rFonts w:ascii="Calibri" w:hAnsi="Calibri"/>
        </w:rPr>
      </w:pPr>
      <w:r>
        <w:rPr>
          <w:rFonts w:ascii="Calibri" w:hAnsi="Calibri"/>
        </w:rPr>
        <w:t xml:space="preserve">Not all buildings will be capable of meeting the requirements of the FPAA 101D option. As such, the analysis may be sensitive to the uptake of the option and the sensitivity analysis will test a </w:t>
      </w:r>
      <w:r w:rsidRPr="003F55DE">
        <w:rPr>
          <w:rFonts w:ascii="Calibri" w:hAnsi="Calibri"/>
        </w:rPr>
        <w:t>±</w:t>
      </w:r>
      <w:r>
        <w:rPr>
          <w:rFonts w:ascii="Calibri" w:hAnsi="Calibri"/>
        </w:rPr>
        <w:t>2</w:t>
      </w:r>
      <w:r w:rsidRPr="003F55DE">
        <w:rPr>
          <w:rFonts w:ascii="Calibri" w:hAnsi="Calibri"/>
        </w:rPr>
        <w:t>0%</w:t>
      </w:r>
      <w:r>
        <w:rPr>
          <w:rFonts w:ascii="Calibri" w:hAnsi="Calibri"/>
        </w:rPr>
        <w:t xml:space="preserve"> variation.</w:t>
      </w:r>
    </w:p>
    <w:p w:rsidR="00EB19C9" w:rsidRDefault="00EB19C9" w:rsidP="00EB19C9">
      <w:pPr>
        <w:pStyle w:val="ListParagraph"/>
        <w:numPr>
          <w:ilvl w:val="0"/>
          <w:numId w:val="18"/>
        </w:numPr>
        <w:rPr>
          <w:rFonts w:ascii="Calibri" w:hAnsi="Calibri"/>
        </w:rPr>
      </w:pPr>
      <w:r>
        <w:rPr>
          <w:rFonts w:ascii="Calibri" w:hAnsi="Calibri"/>
        </w:rPr>
        <w:t xml:space="preserve">The rate of injury and fatality will also be tested and the analysis will apply a high (20% increase) and very high (40% increase) to the results. </w:t>
      </w:r>
    </w:p>
    <w:p w:rsidR="00EB19C9" w:rsidRPr="00C427D7" w:rsidRDefault="00EB19C9" w:rsidP="00EB19C9">
      <w:pPr>
        <w:rPr>
          <w:rFonts w:ascii="Calibri" w:hAnsi="Calibri"/>
        </w:rPr>
      </w:pPr>
      <w:r>
        <w:rPr>
          <w:rFonts w:ascii="Calibri" w:hAnsi="Calibri"/>
        </w:rPr>
        <w:t>T</w:t>
      </w:r>
      <w:r w:rsidRPr="003F55DE">
        <w:rPr>
          <w:rFonts w:ascii="Calibri" w:hAnsi="Calibri"/>
        </w:rPr>
        <w:t>able</w:t>
      </w:r>
      <w:r>
        <w:rPr>
          <w:rFonts w:ascii="Calibri" w:hAnsi="Calibri"/>
        </w:rPr>
        <w:t xml:space="preserve"> </w:t>
      </w:r>
      <w:r w:rsidR="008864EA">
        <w:rPr>
          <w:rFonts w:ascii="Calibri" w:hAnsi="Calibri"/>
        </w:rPr>
        <w:t>24</w:t>
      </w:r>
      <w:r>
        <w:rPr>
          <w:rFonts w:ascii="Calibri" w:hAnsi="Calibri"/>
        </w:rPr>
        <w:t xml:space="preserve"> shows t</w:t>
      </w:r>
      <w:r w:rsidRPr="003F55DE">
        <w:rPr>
          <w:rFonts w:ascii="Calibri" w:hAnsi="Calibri"/>
        </w:rPr>
        <w:t>he outcomes of the sensitivity analysis</w:t>
      </w:r>
      <w:r w:rsidRPr="009D6867">
        <w:rPr>
          <w:rFonts w:ascii="Calibri" w:hAnsi="Calibri"/>
        </w:rPr>
        <w:t xml:space="preserve"> </w:t>
      </w:r>
      <w:r w:rsidRPr="003F55DE">
        <w:rPr>
          <w:rFonts w:ascii="Calibri" w:hAnsi="Calibri"/>
        </w:rPr>
        <w:t xml:space="preserve">of each </w:t>
      </w:r>
      <w:r>
        <w:rPr>
          <w:rFonts w:ascii="Calibri" w:hAnsi="Calibri"/>
        </w:rPr>
        <w:t>varied parameter on the Present Value of the options</w:t>
      </w:r>
      <w:r w:rsidRPr="003F55DE">
        <w:rPr>
          <w:rFonts w:ascii="Calibri" w:hAnsi="Calibri"/>
        </w:rPr>
        <w:t>.</w:t>
      </w:r>
    </w:p>
    <w:p w:rsidR="00EB19C9" w:rsidRPr="00356C2D" w:rsidRDefault="00EB19C9" w:rsidP="00EB19C9">
      <w:pPr>
        <w:spacing w:after="0"/>
        <w:jc w:val="center"/>
        <w:rPr>
          <w:rFonts w:asciiTheme="minorHAnsi" w:hAnsiTheme="minorHAnsi"/>
          <w:iCs/>
          <w:color w:val="002060"/>
          <w:sz w:val="24"/>
          <w:szCs w:val="24"/>
        </w:rPr>
      </w:pPr>
      <w:r w:rsidRPr="007575C4">
        <w:rPr>
          <w:rFonts w:asciiTheme="minorHAnsi" w:hAnsiTheme="minorHAnsi"/>
          <w:iCs/>
          <w:color w:val="002060"/>
          <w:sz w:val="24"/>
          <w:szCs w:val="24"/>
        </w:rPr>
        <w:t xml:space="preserve">Table </w:t>
      </w:r>
      <w:r w:rsidR="008A7DC4">
        <w:rPr>
          <w:rFonts w:asciiTheme="minorHAnsi" w:hAnsiTheme="minorHAnsi"/>
          <w:iCs/>
          <w:color w:val="002060"/>
          <w:sz w:val="24"/>
          <w:szCs w:val="24"/>
        </w:rPr>
        <w:t>24</w:t>
      </w:r>
      <w:r w:rsidRPr="007575C4">
        <w:rPr>
          <w:rFonts w:asciiTheme="minorHAnsi" w:hAnsiTheme="minorHAnsi"/>
          <w:iCs/>
          <w:color w:val="002060"/>
          <w:sz w:val="24"/>
          <w:szCs w:val="24"/>
        </w:rPr>
        <w:t xml:space="preserve">: </w:t>
      </w:r>
      <w:r>
        <w:rPr>
          <w:rFonts w:asciiTheme="minorHAnsi" w:hAnsiTheme="minorHAnsi"/>
          <w:iCs/>
          <w:color w:val="002060"/>
          <w:sz w:val="24"/>
          <w:szCs w:val="24"/>
        </w:rPr>
        <w:t xml:space="preserve">Sensitivity testing of </w:t>
      </w:r>
      <w:r w:rsidR="00911DD5">
        <w:rPr>
          <w:rFonts w:asciiTheme="minorHAnsi" w:hAnsiTheme="minorHAnsi"/>
          <w:iCs/>
          <w:color w:val="002060"/>
          <w:sz w:val="24"/>
          <w:szCs w:val="24"/>
        </w:rPr>
        <w:t xml:space="preserve">NPV </w:t>
      </w:r>
      <w:r>
        <w:rPr>
          <w:rFonts w:asciiTheme="minorHAnsi" w:hAnsiTheme="minorHAnsi"/>
          <w:iCs/>
          <w:color w:val="002060"/>
          <w:sz w:val="24"/>
          <w:szCs w:val="24"/>
        </w:rPr>
        <w:t>outcomes</w:t>
      </w:r>
    </w:p>
    <w:tbl>
      <w:tblPr>
        <w:tblStyle w:val="TableGrid"/>
        <w:tblW w:w="9587" w:type="dxa"/>
        <w:tblInd w:w="-284" w:type="dxa"/>
        <w:tblLayout w:type="fixed"/>
        <w:tblLook w:val="0480" w:firstRow="0" w:lastRow="0" w:firstColumn="1" w:lastColumn="0" w:noHBand="0" w:noVBand="1"/>
        <w:tblCaption w:val="Table containing sensitivity test results for parameters and assumptions"/>
      </w:tblPr>
      <w:tblGrid>
        <w:gridCol w:w="4626"/>
        <w:gridCol w:w="2410"/>
        <w:gridCol w:w="2551"/>
      </w:tblGrid>
      <w:tr w:rsidR="00EB19C9" w:rsidTr="00EB19C9">
        <w:trPr>
          <w:trHeight w:val="447"/>
          <w:tblHeader/>
        </w:trPr>
        <w:tc>
          <w:tcPr>
            <w:tcW w:w="4626" w:type="dxa"/>
            <w:shd w:val="clear" w:color="auto" w:fill="002060"/>
          </w:tcPr>
          <w:p w:rsidR="00EB19C9" w:rsidRPr="00396B78" w:rsidRDefault="00EB19C9" w:rsidP="00EB19C9">
            <w:pPr>
              <w:spacing w:before="120"/>
              <w:jc w:val="center"/>
              <w:rPr>
                <w:rFonts w:ascii="Calibri" w:hAnsi="Calibri"/>
              </w:rPr>
            </w:pPr>
            <w:r w:rsidRPr="00396B78">
              <w:rPr>
                <w:rFonts w:ascii="Calibri" w:hAnsi="Calibri"/>
              </w:rPr>
              <w:t>Parameter</w:t>
            </w:r>
          </w:p>
        </w:tc>
        <w:tc>
          <w:tcPr>
            <w:tcW w:w="2410" w:type="dxa"/>
            <w:shd w:val="clear" w:color="auto" w:fill="002060"/>
          </w:tcPr>
          <w:p w:rsidR="00EB19C9" w:rsidRDefault="00EB19C9" w:rsidP="00EB19C9">
            <w:pPr>
              <w:spacing w:before="120"/>
              <w:jc w:val="center"/>
              <w:rPr>
                <w:rFonts w:ascii="Calibri" w:hAnsi="Calibri"/>
              </w:rPr>
            </w:pPr>
            <w:r>
              <w:rPr>
                <w:rFonts w:ascii="Calibri" w:hAnsi="Calibri"/>
              </w:rPr>
              <w:t>Option 1</w:t>
            </w:r>
          </w:p>
        </w:tc>
        <w:tc>
          <w:tcPr>
            <w:tcW w:w="2551" w:type="dxa"/>
            <w:shd w:val="clear" w:color="auto" w:fill="002060"/>
          </w:tcPr>
          <w:p w:rsidR="00EB19C9" w:rsidRDefault="00EB19C9" w:rsidP="00EB19C9">
            <w:pPr>
              <w:spacing w:before="120"/>
              <w:jc w:val="center"/>
              <w:rPr>
                <w:rFonts w:ascii="Calibri" w:hAnsi="Calibri"/>
              </w:rPr>
            </w:pPr>
            <w:r>
              <w:rPr>
                <w:rFonts w:ascii="Calibri" w:hAnsi="Calibri"/>
              </w:rPr>
              <w:t>Option 2</w:t>
            </w:r>
          </w:p>
        </w:tc>
      </w:tr>
      <w:tr w:rsidR="00EB19C9" w:rsidTr="00EB19C9">
        <w:tc>
          <w:tcPr>
            <w:tcW w:w="4626" w:type="dxa"/>
          </w:tcPr>
          <w:p w:rsidR="00EB19C9" w:rsidRPr="0062442C" w:rsidRDefault="00EB19C9" w:rsidP="00EB19C9">
            <w:pPr>
              <w:spacing w:before="120" w:after="120"/>
              <w:rPr>
                <w:rFonts w:ascii="Calibri" w:hAnsi="Calibri"/>
                <w:b/>
              </w:rPr>
            </w:pPr>
            <w:r w:rsidRPr="0062442C">
              <w:rPr>
                <w:rFonts w:asciiTheme="minorHAnsi" w:hAnsiTheme="minorHAnsi"/>
                <w:b/>
              </w:rPr>
              <w:t>Discount Rate</w:t>
            </w:r>
            <w:r w:rsidRPr="0062442C">
              <w:rPr>
                <w:rFonts w:ascii="Calibri" w:hAnsi="Calibri"/>
                <w:b/>
              </w:rPr>
              <w:t xml:space="preserve"> </w:t>
            </w:r>
            <w:r w:rsidRPr="0062442C">
              <w:rPr>
                <w:rFonts w:ascii="Calibri" w:hAnsi="Calibri"/>
              </w:rPr>
              <w:t>Low (3%)</w:t>
            </w:r>
          </w:p>
        </w:tc>
        <w:tc>
          <w:tcPr>
            <w:tcW w:w="2410" w:type="dxa"/>
            <w:shd w:val="clear" w:color="auto" w:fill="auto"/>
          </w:tcPr>
          <w:p w:rsidR="00EB19C9" w:rsidRPr="0076753D" w:rsidRDefault="00911DD5" w:rsidP="00D54781">
            <w:pPr>
              <w:spacing w:before="120"/>
              <w:jc w:val="center"/>
              <w:rPr>
                <w:rFonts w:ascii="Calibri" w:hAnsi="Calibri" w:cs="Calibri"/>
                <w:color w:val="000000"/>
              </w:rPr>
            </w:pPr>
            <w:r>
              <w:rPr>
                <w:rFonts w:ascii="Calibri" w:hAnsi="Calibri" w:cs="Calibri"/>
                <w:color w:val="000000"/>
              </w:rPr>
              <w:t>(</w:t>
            </w:r>
            <w:r w:rsidR="0076753D" w:rsidRPr="0076753D">
              <w:rPr>
                <w:rFonts w:ascii="Calibri" w:hAnsi="Calibri" w:cs="Calibri"/>
                <w:color w:val="000000"/>
              </w:rPr>
              <w:t>$</w:t>
            </w:r>
            <w:r w:rsidR="00D54781">
              <w:rPr>
                <w:rFonts w:ascii="Calibri" w:hAnsi="Calibri" w:cs="Calibri"/>
                <w:color w:val="000000"/>
              </w:rPr>
              <w:t>103,655,318</w:t>
            </w:r>
            <w:r>
              <w:rPr>
                <w:rFonts w:ascii="Calibri" w:hAnsi="Calibri" w:cs="Calibri"/>
                <w:color w:val="000000"/>
              </w:rPr>
              <w:t>)</w:t>
            </w:r>
          </w:p>
        </w:tc>
        <w:tc>
          <w:tcPr>
            <w:tcW w:w="2551" w:type="dxa"/>
            <w:shd w:val="clear" w:color="auto" w:fill="auto"/>
          </w:tcPr>
          <w:p w:rsidR="00EB19C9" w:rsidRPr="0076753D" w:rsidRDefault="0076753D" w:rsidP="00D54781">
            <w:pPr>
              <w:spacing w:before="120"/>
              <w:jc w:val="center"/>
              <w:rPr>
                <w:rFonts w:ascii="Calibri" w:hAnsi="Calibri" w:cs="Calibri"/>
                <w:color w:val="000000"/>
              </w:rPr>
            </w:pPr>
            <w:r>
              <w:rPr>
                <w:rFonts w:ascii="Calibri" w:hAnsi="Calibri" w:cs="Calibri"/>
                <w:color w:val="000000"/>
              </w:rPr>
              <w:t>$</w:t>
            </w:r>
            <w:r w:rsidR="00D54781">
              <w:rPr>
                <w:rFonts w:ascii="Calibri" w:hAnsi="Calibri" w:cs="Calibri"/>
                <w:color w:val="000000"/>
              </w:rPr>
              <w:t>97,763,435</w:t>
            </w:r>
          </w:p>
        </w:tc>
      </w:tr>
      <w:tr w:rsidR="00EB19C9" w:rsidTr="00EB19C9">
        <w:tc>
          <w:tcPr>
            <w:tcW w:w="4626" w:type="dxa"/>
          </w:tcPr>
          <w:p w:rsidR="00EB19C9" w:rsidRPr="0062442C" w:rsidRDefault="00EB19C9" w:rsidP="00EB19C9">
            <w:pPr>
              <w:spacing w:before="120" w:after="120"/>
              <w:rPr>
                <w:rFonts w:ascii="Calibri" w:hAnsi="Calibri"/>
                <w:b/>
              </w:rPr>
            </w:pPr>
            <w:r w:rsidRPr="0062442C">
              <w:rPr>
                <w:rFonts w:asciiTheme="minorHAnsi" w:hAnsiTheme="minorHAnsi"/>
                <w:b/>
              </w:rPr>
              <w:t>Discount Rate</w:t>
            </w:r>
            <w:r w:rsidRPr="0062442C">
              <w:rPr>
                <w:rFonts w:ascii="Calibri" w:hAnsi="Calibri"/>
                <w:b/>
              </w:rPr>
              <w:t xml:space="preserve"> </w:t>
            </w:r>
            <w:r w:rsidRPr="0062442C">
              <w:rPr>
                <w:rFonts w:ascii="Calibri" w:hAnsi="Calibri"/>
              </w:rPr>
              <w:t>High (11%)</w:t>
            </w:r>
          </w:p>
        </w:tc>
        <w:tc>
          <w:tcPr>
            <w:tcW w:w="2410" w:type="dxa"/>
            <w:shd w:val="clear" w:color="auto" w:fill="auto"/>
          </w:tcPr>
          <w:p w:rsidR="00EB19C9" w:rsidRPr="0076753D" w:rsidRDefault="00911DD5" w:rsidP="00BD6FD2">
            <w:pPr>
              <w:spacing w:before="120"/>
              <w:jc w:val="center"/>
              <w:rPr>
                <w:rFonts w:ascii="Calibri" w:hAnsi="Calibri" w:cs="Calibri"/>
                <w:color w:val="000000"/>
              </w:rPr>
            </w:pPr>
            <w:r>
              <w:rPr>
                <w:rFonts w:ascii="Calibri" w:hAnsi="Calibri" w:cs="Calibri"/>
                <w:color w:val="000000"/>
              </w:rPr>
              <w:t>(</w:t>
            </w:r>
            <w:r w:rsidR="004E5DA6">
              <w:rPr>
                <w:rFonts w:ascii="Calibri" w:hAnsi="Calibri" w:cs="Calibri"/>
                <w:color w:val="000000"/>
              </w:rPr>
              <w:t>$</w:t>
            </w:r>
            <w:r w:rsidR="00BD6FD2">
              <w:rPr>
                <w:rFonts w:ascii="Calibri" w:hAnsi="Calibri" w:cs="Calibri"/>
                <w:color w:val="000000"/>
              </w:rPr>
              <w:t>66,457,910</w:t>
            </w:r>
            <w:r>
              <w:rPr>
                <w:rFonts w:ascii="Calibri" w:hAnsi="Calibri" w:cs="Calibri"/>
                <w:color w:val="000000"/>
              </w:rPr>
              <w:t>)</w:t>
            </w:r>
          </w:p>
        </w:tc>
        <w:tc>
          <w:tcPr>
            <w:tcW w:w="2551" w:type="dxa"/>
            <w:shd w:val="clear" w:color="auto" w:fill="auto"/>
          </w:tcPr>
          <w:p w:rsidR="00EB19C9" w:rsidRPr="0076753D" w:rsidRDefault="004E5DA6" w:rsidP="00BD6FD2">
            <w:pPr>
              <w:spacing w:before="120"/>
              <w:jc w:val="center"/>
              <w:rPr>
                <w:rFonts w:ascii="Calibri" w:hAnsi="Calibri" w:cs="Calibri"/>
                <w:color w:val="000000"/>
              </w:rPr>
            </w:pPr>
            <w:r>
              <w:rPr>
                <w:rFonts w:ascii="Calibri" w:hAnsi="Calibri" w:cs="Calibri"/>
                <w:color w:val="000000"/>
              </w:rPr>
              <w:t>$</w:t>
            </w:r>
            <w:r w:rsidR="00BD6FD2">
              <w:rPr>
                <w:rFonts w:ascii="Calibri" w:hAnsi="Calibri" w:cs="Calibri"/>
                <w:color w:val="000000"/>
              </w:rPr>
              <w:t>50,781,898</w:t>
            </w:r>
          </w:p>
        </w:tc>
      </w:tr>
      <w:tr w:rsidR="00EB19C9" w:rsidTr="00EB19C9">
        <w:tc>
          <w:tcPr>
            <w:tcW w:w="4626" w:type="dxa"/>
          </w:tcPr>
          <w:p w:rsidR="00EB19C9" w:rsidRPr="0062442C" w:rsidRDefault="00EB19C9" w:rsidP="001962A5">
            <w:pPr>
              <w:spacing w:before="120" w:after="120"/>
              <w:rPr>
                <w:rFonts w:ascii="Calibri" w:hAnsi="Calibri"/>
                <w:b/>
              </w:rPr>
            </w:pPr>
            <w:r w:rsidRPr="0062442C">
              <w:rPr>
                <w:rFonts w:asciiTheme="minorHAnsi" w:hAnsiTheme="minorHAnsi"/>
                <w:b/>
              </w:rPr>
              <w:t>Construction Costs</w:t>
            </w:r>
            <w:r w:rsidRPr="0062442C">
              <w:rPr>
                <w:rFonts w:ascii="Calibri" w:hAnsi="Calibri"/>
                <w:b/>
              </w:rPr>
              <w:t xml:space="preserve"> </w:t>
            </w:r>
            <w:r w:rsidRPr="0062442C">
              <w:rPr>
                <w:rFonts w:ascii="Calibri" w:hAnsi="Calibri"/>
              </w:rPr>
              <w:t>Low (-</w:t>
            </w:r>
            <w:r w:rsidR="001962A5" w:rsidRPr="0062442C">
              <w:rPr>
                <w:rFonts w:ascii="Calibri" w:hAnsi="Calibri"/>
              </w:rPr>
              <w:t>1</w:t>
            </w:r>
            <w:r w:rsidRPr="0062442C">
              <w:rPr>
                <w:rFonts w:ascii="Calibri" w:hAnsi="Calibri"/>
              </w:rPr>
              <w:t>0%)</w:t>
            </w:r>
          </w:p>
        </w:tc>
        <w:tc>
          <w:tcPr>
            <w:tcW w:w="2410" w:type="dxa"/>
            <w:shd w:val="clear" w:color="auto" w:fill="auto"/>
          </w:tcPr>
          <w:p w:rsidR="00EB19C9" w:rsidRPr="0076753D" w:rsidRDefault="00911DD5" w:rsidP="00991210">
            <w:pPr>
              <w:spacing w:before="120"/>
              <w:jc w:val="center"/>
              <w:rPr>
                <w:rFonts w:ascii="Calibri" w:hAnsi="Calibri" w:cs="Calibri"/>
                <w:color w:val="000000"/>
              </w:rPr>
            </w:pPr>
            <w:r>
              <w:rPr>
                <w:rFonts w:ascii="Calibri" w:hAnsi="Calibri" w:cs="Calibri"/>
                <w:color w:val="000000"/>
              </w:rPr>
              <w:t>(</w:t>
            </w:r>
            <w:r w:rsidR="001962A5">
              <w:rPr>
                <w:rFonts w:ascii="Calibri" w:hAnsi="Calibri" w:cs="Calibri"/>
                <w:color w:val="000000"/>
              </w:rPr>
              <w:t>$</w:t>
            </w:r>
            <w:r w:rsidR="00991210">
              <w:rPr>
                <w:rFonts w:ascii="Calibri" w:hAnsi="Calibri" w:cs="Calibri"/>
                <w:color w:val="000000"/>
              </w:rPr>
              <w:t>13,105,899</w:t>
            </w:r>
            <w:r>
              <w:rPr>
                <w:rFonts w:ascii="Calibri" w:hAnsi="Calibri" w:cs="Calibri"/>
                <w:color w:val="000000"/>
              </w:rPr>
              <w:t>)</w:t>
            </w:r>
          </w:p>
        </w:tc>
        <w:tc>
          <w:tcPr>
            <w:tcW w:w="2551" w:type="dxa"/>
            <w:shd w:val="clear" w:color="auto" w:fill="auto"/>
          </w:tcPr>
          <w:p w:rsidR="00EB19C9" w:rsidRPr="0076753D" w:rsidRDefault="00991210" w:rsidP="00991210">
            <w:pPr>
              <w:spacing w:before="120"/>
              <w:jc w:val="center"/>
              <w:rPr>
                <w:rFonts w:ascii="Calibri" w:hAnsi="Calibri" w:cs="Calibri"/>
                <w:color w:val="000000"/>
              </w:rPr>
            </w:pPr>
            <w:r>
              <w:rPr>
                <w:rFonts w:ascii="Calibri" w:hAnsi="Calibri" w:cs="Calibri"/>
                <w:color w:val="000000"/>
              </w:rPr>
              <w:t>$84,380,957</w:t>
            </w:r>
          </w:p>
        </w:tc>
      </w:tr>
      <w:tr w:rsidR="00EB19C9" w:rsidTr="00EB19C9">
        <w:tc>
          <w:tcPr>
            <w:tcW w:w="4626" w:type="dxa"/>
          </w:tcPr>
          <w:p w:rsidR="00EB19C9" w:rsidRPr="0062442C" w:rsidRDefault="00EB19C9" w:rsidP="001962A5">
            <w:pPr>
              <w:spacing w:before="120" w:after="120"/>
              <w:rPr>
                <w:rFonts w:asciiTheme="minorHAnsi" w:hAnsiTheme="minorHAnsi"/>
                <w:b/>
              </w:rPr>
            </w:pPr>
            <w:r w:rsidRPr="0062442C">
              <w:rPr>
                <w:rFonts w:asciiTheme="minorHAnsi" w:hAnsiTheme="minorHAnsi"/>
                <w:b/>
              </w:rPr>
              <w:t xml:space="preserve">Construction Costs </w:t>
            </w:r>
            <w:r w:rsidRPr="0062442C">
              <w:rPr>
                <w:rFonts w:asciiTheme="minorHAnsi" w:hAnsiTheme="minorHAnsi"/>
              </w:rPr>
              <w:t>High (+</w:t>
            </w:r>
            <w:r w:rsidR="001962A5" w:rsidRPr="0062442C">
              <w:rPr>
                <w:rFonts w:asciiTheme="minorHAnsi" w:hAnsiTheme="minorHAnsi"/>
              </w:rPr>
              <w:t>1</w:t>
            </w:r>
            <w:r w:rsidRPr="0062442C">
              <w:rPr>
                <w:rFonts w:asciiTheme="minorHAnsi" w:hAnsiTheme="minorHAnsi"/>
              </w:rPr>
              <w:t>0%)</w:t>
            </w:r>
          </w:p>
        </w:tc>
        <w:tc>
          <w:tcPr>
            <w:tcW w:w="2410" w:type="dxa"/>
            <w:shd w:val="clear" w:color="auto" w:fill="auto"/>
          </w:tcPr>
          <w:p w:rsidR="00EB19C9" w:rsidRPr="0076753D" w:rsidRDefault="00911DD5" w:rsidP="00991210">
            <w:pPr>
              <w:spacing w:before="120"/>
              <w:jc w:val="center"/>
              <w:rPr>
                <w:rFonts w:ascii="Calibri" w:hAnsi="Calibri" w:cs="Calibri"/>
                <w:color w:val="000000"/>
              </w:rPr>
            </w:pPr>
            <w:r>
              <w:rPr>
                <w:rFonts w:ascii="Calibri" w:hAnsi="Calibri" w:cs="Calibri"/>
                <w:color w:val="000000"/>
              </w:rPr>
              <w:t>(</w:t>
            </w:r>
            <w:r w:rsidR="001962A5">
              <w:rPr>
                <w:rFonts w:ascii="Calibri" w:hAnsi="Calibri" w:cs="Calibri"/>
                <w:color w:val="000000"/>
              </w:rPr>
              <w:t>$</w:t>
            </w:r>
            <w:r w:rsidR="00991210">
              <w:rPr>
                <w:rFonts w:ascii="Calibri" w:hAnsi="Calibri" w:cs="Calibri"/>
                <w:color w:val="000000"/>
              </w:rPr>
              <w:t>136,112,622</w:t>
            </w:r>
            <w:r>
              <w:rPr>
                <w:rFonts w:ascii="Calibri" w:hAnsi="Calibri" w:cs="Calibri"/>
                <w:color w:val="000000"/>
              </w:rPr>
              <w:t>)</w:t>
            </w:r>
          </w:p>
        </w:tc>
        <w:tc>
          <w:tcPr>
            <w:tcW w:w="2551" w:type="dxa"/>
            <w:shd w:val="clear" w:color="auto" w:fill="auto"/>
          </w:tcPr>
          <w:p w:rsidR="00EB19C9" w:rsidRPr="0076753D" w:rsidRDefault="001962A5" w:rsidP="00991210">
            <w:pPr>
              <w:spacing w:before="120"/>
              <w:jc w:val="center"/>
              <w:rPr>
                <w:rFonts w:ascii="Calibri" w:hAnsi="Calibri" w:cs="Calibri"/>
                <w:color w:val="000000"/>
              </w:rPr>
            </w:pPr>
            <w:r>
              <w:rPr>
                <w:rFonts w:ascii="Calibri" w:hAnsi="Calibri" w:cs="Calibri"/>
                <w:color w:val="000000"/>
              </w:rPr>
              <w:t>$</w:t>
            </w:r>
            <w:r w:rsidR="00991210">
              <w:rPr>
                <w:rFonts w:ascii="Calibri" w:hAnsi="Calibri" w:cs="Calibri"/>
                <w:color w:val="000000"/>
              </w:rPr>
              <w:t>57,532,159</w:t>
            </w:r>
          </w:p>
        </w:tc>
      </w:tr>
      <w:tr w:rsidR="00EB19C9" w:rsidTr="00EB19C9">
        <w:tc>
          <w:tcPr>
            <w:tcW w:w="4626" w:type="dxa"/>
          </w:tcPr>
          <w:p w:rsidR="00EB19C9" w:rsidRPr="0062442C" w:rsidRDefault="00EB19C9" w:rsidP="004F6423">
            <w:pPr>
              <w:spacing w:before="120" w:after="120"/>
              <w:rPr>
                <w:rFonts w:asciiTheme="minorHAnsi" w:hAnsiTheme="minorHAnsi"/>
                <w:b/>
              </w:rPr>
            </w:pPr>
            <w:r w:rsidRPr="0062442C">
              <w:rPr>
                <w:rFonts w:asciiTheme="minorHAnsi" w:hAnsiTheme="minorHAnsi"/>
                <w:b/>
              </w:rPr>
              <w:t xml:space="preserve"> Proportion of buildings with </w:t>
            </w:r>
            <w:r w:rsidR="004F6423" w:rsidRPr="0062442C">
              <w:rPr>
                <w:rFonts w:asciiTheme="minorHAnsi" w:hAnsiTheme="minorHAnsi"/>
                <w:b/>
              </w:rPr>
              <w:t>two or more fire</w:t>
            </w:r>
            <w:r w:rsidR="00C85388" w:rsidRPr="0062442C">
              <w:rPr>
                <w:rFonts w:asciiTheme="minorHAnsi" w:hAnsiTheme="minorHAnsi"/>
                <w:b/>
              </w:rPr>
              <w:t xml:space="preserve"> </w:t>
            </w:r>
            <w:r w:rsidRPr="0062442C">
              <w:rPr>
                <w:rFonts w:asciiTheme="minorHAnsi" w:hAnsiTheme="minorHAnsi"/>
                <w:b/>
              </w:rPr>
              <w:t>stair</w:t>
            </w:r>
            <w:r w:rsidR="004F6423" w:rsidRPr="0062442C">
              <w:rPr>
                <w:rFonts w:asciiTheme="minorHAnsi" w:hAnsiTheme="minorHAnsi"/>
                <w:b/>
              </w:rPr>
              <w:t>s</w:t>
            </w:r>
            <w:r w:rsidRPr="0062442C">
              <w:rPr>
                <w:rFonts w:asciiTheme="minorHAnsi" w:hAnsiTheme="minorHAnsi"/>
                <w:b/>
              </w:rPr>
              <w:t xml:space="preserve"> - </w:t>
            </w:r>
            <w:r w:rsidRPr="0062442C">
              <w:rPr>
                <w:rFonts w:asciiTheme="minorHAnsi" w:hAnsiTheme="minorHAnsi"/>
              </w:rPr>
              <w:t>Low (5</w:t>
            </w:r>
            <w:r w:rsidR="0020750D" w:rsidRPr="0062442C">
              <w:rPr>
                <w:rFonts w:asciiTheme="minorHAnsi" w:hAnsiTheme="minorHAnsi"/>
              </w:rPr>
              <w:t>3</w:t>
            </w:r>
            <w:r w:rsidRPr="0062442C">
              <w:rPr>
                <w:rFonts w:asciiTheme="minorHAnsi" w:hAnsiTheme="minorHAnsi"/>
              </w:rPr>
              <w:t>%/4</w:t>
            </w:r>
            <w:r w:rsidR="0020750D" w:rsidRPr="0062442C">
              <w:rPr>
                <w:rFonts w:asciiTheme="minorHAnsi" w:hAnsiTheme="minorHAnsi"/>
              </w:rPr>
              <w:t>7</w:t>
            </w:r>
            <w:r w:rsidRPr="0062442C">
              <w:rPr>
                <w:rFonts w:asciiTheme="minorHAnsi" w:hAnsiTheme="minorHAnsi"/>
              </w:rPr>
              <w:t>%)</w:t>
            </w:r>
          </w:p>
        </w:tc>
        <w:tc>
          <w:tcPr>
            <w:tcW w:w="2410" w:type="dxa"/>
            <w:shd w:val="clear" w:color="auto" w:fill="auto"/>
          </w:tcPr>
          <w:p w:rsidR="00EB19C9" w:rsidRPr="0076753D" w:rsidRDefault="00911DD5" w:rsidP="00F23004">
            <w:pPr>
              <w:spacing w:before="120"/>
              <w:jc w:val="center"/>
              <w:rPr>
                <w:rFonts w:ascii="Calibri" w:hAnsi="Calibri" w:cs="Calibri"/>
                <w:color w:val="000000"/>
              </w:rPr>
            </w:pPr>
            <w:r>
              <w:rPr>
                <w:rFonts w:ascii="Calibri" w:hAnsi="Calibri" w:cs="Calibri"/>
                <w:color w:val="000000"/>
              </w:rPr>
              <w:t>(</w:t>
            </w:r>
            <w:r w:rsidR="004F6423">
              <w:rPr>
                <w:rFonts w:ascii="Calibri" w:hAnsi="Calibri" w:cs="Calibri"/>
                <w:color w:val="000000"/>
              </w:rPr>
              <w:t>$</w:t>
            </w:r>
            <w:r w:rsidR="00F23004">
              <w:rPr>
                <w:rFonts w:ascii="Calibri" w:hAnsi="Calibri" w:cs="Calibri"/>
                <w:color w:val="000000"/>
              </w:rPr>
              <w:t>151,257,905</w:t>
            </w:r>
            <w:r>
              <w:rPr>
                <w:rFonts w:ascii="Calibri" w:hAnsi="Calibri" w:cs="Calibri"/>
                <w:color w:val="000000"/>
              </w:rPr>
              <w:t>)</w:t>
            </w:r>
          </w:p>
        </w:tc>
        <w:tc>
          <w:tcPr>
            <w:tcW w:w="2551" w:type="dxa"/>
            <w:shd w:val="clear" w:color="auto" w:fill="auto"/>
          </w:tcPr>
          <w:p w:rsidR="00EB19C9" w:rsidRPr="0076753D" w:rsidRDefault="004F6423" w:rsidP="00F23004">
            <w:pPr>
              <w:spacing w:before="120"/>
              <w:jc w:val="center"/>
              <w:rPr>
                <w:rFonts w:ascii="Calibri" w:hAnsi="Calibri" w:cs="Calibri"/>
                <w:color w:val="000000"/>
              </w:rPr>
            </w:pPr>
            <w:r>
              <w:rPr>
                <w:rFonts w:ascii="Calibri" w:hAnsi="Calibri" w:cs="Calibri"/>
                <w:color w:val="000000"/>
              </w:rPr>
              <w:t>$</w:t>
            </w:r>
            <w:r w:rsidR="00F23004">
              <w:rPr>
                <w:rFonts w:ascii="Calibri" w:hAnsi="Calibri" w:cs="Calibri"/>
                <w:color w:val="000000"/>
              </w:rPr>
              <w:t>63,544,690</w:t>
            </w:r>
          </w:p>
        </w:tc>
      </w:tr>
      <w:tr w:rsidR="00EB19C9" w:rsidTr="00EB19C9">
        <w:tc>
          <w:tcPr>
            <w:tcW w:w="4626" w:type="dxa"/>
          </w:tcPr>
          <w:p w:rsidR="00EB19C9" w:rsidRPr="0062442C" w:rsidRDefault="004F6423" w:rsidP="004F6423">
            <w:pPr>
              <w:spacing w:before="120" w:after="120"/>
              <w:rPr>
                <w:rFonts w:asciiTheme="minorHAnsi" w:hAnsiTheme="minorHAnsi"/>
                <w:b/>
              </w:rPr>
            </w:pPr>
            <w:r w:rsidRPr="0062442C">
              <w:rPr>
                <w:rFonts w:asciiTheme="minorHAnsi" w:hAnsiTheme="minorHAnsi"/>
                <w:b/>
              </w:rPr>
              <w:t xml:space="preserve">Proportion of buildings with two or more fire stairs - </w:t>
            </w:r>
            <w:r w:rsidRPr="0062442C">
              <w:rPr>
                <w:rFonts w:asciiTheme="minorHAnsi" w:hAnsiTheme="minorHAnsi"/>
              </w:rPr>
              <w:t>High (73%/27%)</w:t>
            </w:r>
          </w:p>
        </w:tc>
        <w:tc>
          <w:tcPr>
            <w:tcW w:w="2410" w:type="dxa"/>
            <w:shd w:val="clear" w:color="auto" w:fill="auto"/>
          </w:tcPr>
          <w:p w:rsidR="00EB19C9" w:rsidRPr="0076753D" w:rsidRDefault="00911DD5" w:rsidP="00F23004">
            <w:pPr>
              <w:spacing w:before="120"/>
              <w:jc w:val="center"/>
              <w:rPr>
                <w:rFonts w:ascii="Calibri" w:hAnsi="Calibri" w:cs="Calibri"/>
                <w:color w:val="000000"/>
              </w:rPr>
            </w:pPr>
            <w:r>
              <w:rPr>
                <w:rFonts w:ascii="Calibri" w:hAnsi="Calibri" w:cs="Calibri"/>
                <w:color w:val="000000"/>
              </w:rPr>
              <w:t>(</w:t>
            </w:r>
            <w:r w:rsidR="001A343C">
              <w:rPr>
                <w:rFonts w:ascii="Calibri" w:hAnsi="Calibri" w:cs="Calibri"/>
                <w:color w:val="000000"/>
              </w:rPr>
              <w:t>$</w:t>
            </w:r>
            <w:r w:rsidR="00F23004">
              <w:rPr>
                <w:rFonts w:ascii="Calibri" w:hAnsi="Calibri" w:cs="Calibri"/>
                <w:color w:val="000000"/>
              </w:rPr>
              <w:t>23,386,853</w:t>
            </w:r>
            <w:r>
              <w:rPr>
                <w:rFonts w:ascii="Calibri" w:hAnsi="Calibri" w:cs="Calibri"/>
                <w:color w:val="000000"/>
              </w:rPr>
              <w:t>)</w:t>
            </w:r>
          </w:p>
        </w:tc>
        <w:tc>
          <w:tcPr>
            <w:tcW w:w="2551" w:type="dxa"/>
            <w:shd w:val="clear" w:color="auto" w:fill="auto"/>
          </w:tcPr>
          <w:p w:rsidR="00EB19C9" w:rsidRPr="0076753D" w:rsidRDefault="001A343C" w:rsidP="00F23004">
            <w:pPr>
              <w:spacing w:before="120"/>
              <w:jc w:val="center"/>
              <w:rPr>
                <w:rFonts w:ascii="Calibri" w:hAnsi="Calibri" w:cs="Calibri"/>
                <w:color w:val="000000"/>
              </w:rPr>
            </w:pPr>
            <w:r>
              <w:rPr>
                <w:rFonts w:ascii="Calibri" w:hAnsi="Calibri" w:cs="Calibri"/>
                <w:color w:val="000000"/>
              </w:rPr>
              <w:t>$</w:t>
            </w:r>
            <w:r w:rsidR="00F23004">
              <w:rPr>
                <w:rFonts w:ascii="Calibri" w:hAnsi="Calibri" w:cs="Calibri"/>
                <w:color w:val="000000"/>
              </w:rPr>
              <w:t>78,368,426</w:t>
            </w:r>
          </w:p>
        </w:tc>
      </w:tr>
      <w:tr w:rsidR="00EB19C9" w:rsidTr="00EB19C9">
        <w:tc>
          <w:tcPr>
            <w:tcW w:w="4626" w:type="dxa"/>
          </w:tcPr>
          <w:p w:rsidR="00EB19C9" w:rsidRPr="0062442C" w:rsidRDefault="00EB19C9" w:rsidP="00EB19C9">
            <w:pPr>
              <w:spacing w:before="120" w:after="120"/>
              <w:rPr>
                <w:rFonts w:asciiTheme="minorHAnsi" w:hAnsiTheme="minorHAnsi"/>
                <w:b/>
              </w:rPr>
            </w:pPr>
            <w:r w:rsidRPr="0062442C">
              <w:rPr>
                <w:rFonts w:asciiTheme="minorHAnsi" w:hAnsiTheme="minorHAnsi"/>
                <w:b/>
              </w:rPr>
              <w:t>Specification uptake FPAA 101D</w:t>
            </w:r>
            <w:r w:rsidR="001A343C" w:rsidRPr="0062442C">
              <w:rPr>
                <w:rFonts w:asciiTheme="minorHAnsi" w:hAnsiTheme="minorHAnsi"/>
                <w:b/>
              </w:rPr>
              <w:t xml:space="preserve"> -</w:t>
            </w:r>
            <w:r w:rsidRPr="0062442C">
              <w:rPr>
                <w:rFonts w:asciiTheme="minorHAnsi" w:hAnsiTheme="minorHAnsi"/>
              </w:rPr>
              <w:t>Low (10% AS 2118.1, 40% FPAA 101D, 50% FPA 101H)</w:t>
            </w:r>
          </w:p>
        </w:tc>
        <w:tc>
          <w:tcPr>
            <w:tcW w:w="2410" w:type="dxa"/>
            <w:shd w:val="clear" w:color="auto" w:fill="auto"/>
          </w:tcPr>
          <w:p w:rsidR="00EB19C9" w:rsidRPr="001D0B6A" w:rsidRDefault="00911DD5" w:rsidP="00BD6FD2">
            <w:pPr>
              <w:spacing w:before="120"/>
              <w:jc w:val="center"/>
              <w:rPr>
                <w:rFonts w:ascii="Calibri" w:hAnsi="Calibri"/>
                <w:color w:val="000000"/>
              </w:rPr>
            </w:pPr>
            <w:r>
              <w:rPr>
                <w:rFonts w:ascii="Calibri" w:hAnsi="Calibri"/>
                <w:color w:val="000000"/>
              </w:rPr>
              <w:t>(</w:t>
            </w:r>
            <w:r w:rsidR="00BC7327">
              <w:rPr>
                <w:rFonts w:ascii="Calibri" w:hAnsi="Calibri"/>
                <w:color w:val="000000"/>
              </w:rPr>
              <w:t>$</w:t>
            </w:r>
            <w:r w:rsidR="00BD6FD2">
              <w:rPr>
                <w:rFonts w:ascii="Calibri" w:hAnsi="Calibri"/>
                <w:color w:val="000000"/>
              </w:rPr>
              <w:t>190,443,397</w:t>
            </w:r>
            <w:r>
              <w:rPr>
                <w:rFonts w:ascii="Calibri" w:hAnsi="Calibri"/>
                <w:color w:val="000000"/>
              </w:rPr>
              <w:t>)</w:t>
            </w:r>
          </w:p>
        </w:tc>
        <w:tc>
          <w:tcPr>
            <w:tcW w:w="2551" w:type="dxa"/>
            <w:shd w:val="clear" w:color="auto" w:fill="auto"/>
          </w:tcPr>
          <w:p w:rsidR="00EB19C9" w:rsidRPr="00BC7327" w:rsidRDefault="00BC7327" w:rsidP="00BD6FD2">
            <w:pPr>
              <w:spacing w:before="120"/>
              <w:jc w:val="center"/>
              <w:rPr>
                <w:rFonts w:asciiTheme="minorHAnsi" w:hAnsiTheme="minorHAnsi"/>
              </w:rPr>
            </w:pPr>
            <w:r w:rsidRPr="00BC7327">
              <w:rPr>
                <w:rFonts w:asciiTheme="minorHAnsi" w:hAnsiTheme="minorHAnsi"/>
              </w:rPr>
              <w:t>$</w:t>
            </w:r>
            <w:r w:rsidR="00BD6FD2">
              <w:rPr>
                <w:rFonts w:asciiTheme="minorHAnsi" w:hAnsiTheme="minorHAnsi"/>
              </w:rPr>
              <w:t>45,504,367</w:t>
            </w:r>
          </w:p>
        </w:tc>
      </w:tr>
      <w:tr w:rsidR="00EB19C9" w:rsidTr="00EB19C9">
        <w:trPr>
          <w:trHeight w:val="270"/>
        </w:trPr>
        <w:tc>
          <w:tcPr>
            <w:tcW w:w="4626" w:type="dxa"/>
          </w:tcPr>
          <w:p w:rsidR="00EB19C9" w:rsidRPr="0062442C" w:rsidRDefault="00EB19C9" w:rsidP="00EB19C9">
            <w:pPr>
              <w:spacing w:before="120" w:after="120"/>
              <w:rPr>
                <w:rFonts w:asciiTheme="minorHAnsi" w:hAnsiTheme="minorHAnsi"/>
                <w:b/>
              </w:rPr>
            </w:pPr>
            <w:r w:rsidRPr="0062442C">
              <w:rPr>
                <w:rFonts w:asciiTheme="minorHAnsi" w:hAnsiTheme="minorHAnsi"/>
                <w:b/>
              </w:rPr>
              <w:t xml:space="preserve">Specification uptake FPAA 101D </w:t>
            </w:r>
            <w:r w:rsidRPr="0062442C">
              <w:rPr>
                <w:rFonts w:asciiTheme="minorHAnsi" w:hAnsiTheme="minorHAnsi"/>
              </w:rPr>
              <w:t>High (5% AS 2118.1, 80% FPAA 101D, 15% FPAA 101H)</w:t>
            </w:r>
          </w:p>
        </w:tc>
        <w:tc>
          <w:tcPr>
            <w:tcW w:w="2410" w:type="dxa"/>
            <w:shd w:val="clear" w:color="auto" w:fill="auto"/>
          </w:tcPr>
          <w:p w:rsidR="00EB19C9" w:rsidRPr="001D0B6A" w:rsidRDefault="00BD6FD2" w:rsidP="00EB19C9">
            <w:pPr>
              <w:spacing w:before="120"/>
              <w:jc w:val="center"/>
              <w:rPr>
                <w:rFonts w:ascii="Calibri" w:hAnsi="Calibri"/>
                <w:color w:val="000000"/>
              </w:rPr>
            </w:pPr>
            <w:r>
              <w:rPr>
                <w:rFonts w:ascii="Calibri" w:hAnsi="Calibri"/>
                <w:color w:val="000000"/>
              </w:rPr>
              <w:t>$53,172,469</w:t>
            </w:r>
          </w:p>
        </w:tc>
        <w:tc>
          <w:tcPr>
            <w:tcW w:w="2551" w:type="dxa"/>
            <w:shd w:val="clear" w:color="auto" w:fill="auto"/>
          </w:tcPr>
          <w:p w:rsidR="00EB19C9" w:rsidRPr="001D0B6A" w:rsidRDefault="00BC7327" w:rsidP="00BD6FD2">
            <w:pPr>
              <w:spacing w:before="120"/>
              <w:jc w:val="center"/>
              <w:rPr>
                <w:rFonts w:ascii="Calibri" w:hAnsi="Calibri"/>
                <w:color w:val="000000"/>
              </w:rPr>
            </w:pPr>
            <w:r>
              <w:rPr>
                <w:rFonts w:ascii="Calibri" w:hAnsi="Calibri"/>
                <w:color w:val="000000"/>
              </w:rPr>
              <w:t>$</w:t>
            </w:r>
            <w:r w:rsidR="00BD6FD2">
              <w:rPr>
                <w:rFonts w:ascii="Calibri" w:hAnsi="Calibri"/>
                <w:color w:val="000000"/>
              </w:rPr>
              <w:t>91,008,734</w:t>
            </w:r>
          </w:p>
        </w:tc>
      </w:tr>
      <w:tr w:rsidR="00EB19C9" w:rsidTr="00EB19C9">
        <w:trPr>
          <w:trHeight w:val="270"/>
        </w:trPr>
        <w:tc>
          <w:tcPr>
            <w:tcW w:w="4626" w:type="dxa"/>
          </w:tcPr>
          <w:p w:rsidR="00EB19C9" w:rsidRPr="0062442C" w:rsidRDefault="00EB19C9" w:rsidP="00EB19C9">
            <w:pPr>
              <w:spacing w:before="120" w:after="120"/>
              <w:rPr>
                <w:rFonts w:asciiTheme="minorHAnsi" w:hAnsiTheme="minorHAnsi"/>
                <w:b/>
              </w:rPr>
            </w:pPr>
            <w:r w:rsidRPr="0062442C">
              <w:rPr>
                <w:rFonts w:asciiTheme="minorHAnsi" w:hAnsiTheme="minorHAnsi"/>
                <w:b/>
              </w:rPr>
              <w:lastRenderedPageBreak/>
              <w:t xml:space="preserve">Rate of Injury and Fatality </w:t>
            </w:r>
            <w:r w:rsidRPr="0062442C">
              <w:rPr>
                <w:rFonts w:asciiTheme="minorHAnsi" w:hAnsiTheme="minorHAnsi"/>
              </w:rPr>
              <w:t>High (+20%)</w:t>
            </w:r>
          </w:p>
        </w:tc>
        <w:tc>
          <w:tcPr>
            <w:tcW w:w="2410" w:type="dxa"/>
            <w:shd w:val="clear" w:color="auto" w:fill="auto"/>
          </w:tcPr>
          <w:p w:rsidR="00EB19C9" w:rsidRPr="001D0B6A" w:rsidRDefault="00911DD5" w:rsidP="00BD6FD2">
            <w:pPr>
              <w:spacing w:before="120"/>
              <w:jc w:val="center"/>
              <w:rPr>
                <w:rFonts w:ascii="Calibri" w:hAnsi="Calibri"/>
                <w:color w:val="000000"/>
              </w:rPr>
            </w:pPr>
            <w:r>
              <w:rPr>
                <w:rFonts w:ascii="Calibri" w:hAnsi="Calibri"/>
                <w:color w:val="000000"/>
              </w:rPr>
              <w:t>(</w:t>
            </w:r>
            <w:r w:rsidR="003A4572">
              <w:rPr>
                <w:rFonts w:ascii="Calibri" w:hAnsi="Calibri"/>
                <w:color w:val="000000"/>
              </w:rPr>
              <w:t>$</w:t>
            </w:r>
            <w:r w:rsidR="00BD6FD2">
              <w:rPr>
                <w:rFonts w:ascii="Calibri" w:hAnsi="Calibri"/>
                <w:color w:val="000000"/>
              </w:rPr>
              <w:t>71,691,099</w:t>
            </w:r>
            <w:r>
              <w:rPr>
                <w:rFonts w:ascii="Calibri" w:hAnsi="Calibri"/>
                <w:color w:val="000000"/>
              </w:rPr>
              <w:t>)</w:t>
            </w:r>
          </w:p>
        </w:tc>
        <w:tc>
          <w:tcPr>
            <w:tcW w:w="2551" w:type="dxa"/>
            <w:shd w:val="clear" w:color="auto" w:fill="auto"/>
          </w:tcPr>
          <w:p w:rsidR="00EB19C9" w:rsidRPr="001D0B6A" w:rsidRDefault="003A4572" w:rsidP="00BD6FD2">
            <w:pPr>
              <w:spacing w:before="120"/>
              <w:jc w:val="center"/>
              <w:rPr>
                <w:rFonts w:ascii="Calibri" w:hAnsi="Calibri"/>
                <w:color w:val="000000"/>
              </w:rPr>
            </w:pPr>
            <w:r>
              <w:rPr>
                <w:rFonts w:ascii="Calibri" w:hAnsi="Calibri"/>
                <w:color w:val="000000"/>
              </w:rPr>
              <w:t>$</w:t>
            </w:r>
            <w:r w:rsidR="00BD6FD2">
              <w:rPr>
                <w:rFonts w:ascii="Calibri" w:hAnsi="Calibri"/>
                <w:color w:val="000000"/>
              </w:rPr>
              <w:t>72,033,317</w:t>
            </w:r>
          </w:p>
        </w:tc>
      </w:tr>
      <w:tr w:rsidR="00EB19C9" w:rsidTr="00EB19C9">
        <w:trPr>
          <w:trHeight w:val="270"/>
        </w:trPr>
        <w:tc>
          <w:tcPr>
            <w:tcW w:w="4626" w:type="dxa"/>
          </w:tcPr>
          <w:p w:rsidR="00EB19C9" w:rsidRPr="0062442C" w:rsidRDefault="00EB19C9" w:rsidP="00EB19C9">
            <w:pPr>
              <w:spacing w:before="120" w:after="120"/>
              <w:rPr>
                <w:rFonts w:asciiTheme="minorHAnsi" w:hAnsiTheme="minorHAnsi"/>
                <w:b/>
              </w:rPr>
            </w:pPr>
            <w:r w:rsidRPr="0062442C">
              <w:rPr>
                <w:rFonts w:asciiTheme="minorHAnsi" w:hAnsiTheme="minorHAnsi"/>
                <w:b/>
              </w:rPr>
              <w:t xml:space="preserve">Rate of Injury and Fatality </w:t>
            </w:r>
            <w:r w:rsidRPr="0062442C">
              <w:rPr>
                <w:rFonts w:asciiTheme="minorHAnsi" w:hAnsiTheme="minorHAnsi"/>
              </w:rPr>
              <w:t>Very High (+40%)</w:t>
            </w:r>
            <w:r w:rsidRPr="0062442C">
              <w:rPr>
                <w:rFonts w:asciiTheme="minorHAnsi" w:hAnsiTheme="minorHAnsi"/>
                <w:b/>
              </w:rPr>
              <w:t xml:space="preserve"> </w:t>
            </w:r>
          </w:p>
        </w:tc>
        <w:tc>
          <w:tcPr>
            <w:tcW w:w="2410" w:type="dxa"/>
            <w:shd w:val="clear" w:color="auto" w:fill="auto"/>
          </w:tcPr>
          <w:p w:rsidR="00EB19C9" w:rsidRDefault="00911DD5" w:rsidP="00BD6FD2">
            <w:pPr>
              <w:spacing w:before="120"/>
              <w:jc w:val="center"/>
              <w:rPr>
                <w:rFonts w:ascii="Calibri" w:hAnsi="Calibri"/>
                <w:color w:val="000000"/>
              </w:rPr>
            </w:pPr>
            <w:r>
              <w:rPr>
                <w:rFonts w:ascii="Calibri" w:hAnsi="Calibri"/>
                <w:color w:val="000000"/>
              </w:rPr>
              <w:t>(</w:t>
            </w:r>
            <w:r w:rsidR="003A4572">
              <w:rPr>
                <w:rFonts w:ascii="Calibri" w:hAnsi="Calibri"/>
                <w:color w:val="000000"/>
              </w:rPr>
              <w:t>$</w:t>
            </w:r>
            <w:r w:rsidR="00BD6FD2">
              <w:rPr>
                <w:rFonts w:ascii="Calibri" w:hAnsi="Calibri"/>
                <w:color w:val="000000"/>
              </w:rPr>
              <w:t>68,772,938</w:t>
            </w:r>
            <w:r>
              <w:rPr>
                <w:rFonts w:ascii="Calibri" w:hAnsi="Calibri"/>
                <w:color w:val="000000"/>
              </w:rPr>
              <w:t>)</w:t>
            </w:r>
          </w:p>
        </w:tc>
        <w:tc>
          <w:tcPr>
            <w:tcW w:w="2551" w:type="dxa"/>
            <w:shd w:val="clear" w:color="auto" w:fill="auto"/>
          </w:tcPr>
          <w:p w:rsidR="00EB19C9" w:rsidRDefault="003A4572" w:rsidP="00BD6FD2">
            <w:pPr>
              <w:spacing w:before="120"/>
              <w:jc w:val="center"/>
              <w:rPr>
                <w:rFonts w:ascii="Calibri" w:hAnsi="Calibri"/>
                <w:color w:val="000000"/>
              </w:rPr>
            </w:pPr>
            <w:r>
              <w:rPr>
                <w:rFonts w:ascii="Calibri" w:hAnsi="Calibri"/>
                <w:color w:val="000000"/>
              </w:rPr>
              <w:t>$</w:t>
            </w:r>
            <w:r w:rsidR="00BD6FD2">
              <w:rPr>
                <w:rFonts w:ascii="Calibri" w:hAnsi="Calibri"/>
                <w:color w:val="000000"/>
              </w:rPr>
              <w:t>73,110,076</w:t>
            </w:r>
          </w:p>
        </w:tc>
      </w:tr>
    </w:tbl>
    <w:p w:rsidR="004913AA" w:rsidRDefault="004913AA" w:rsidP="00EB19C9">
      <w:pPr>
        <w:spacing w:after="120"/>
        <w:rPr>
          <w:rFonts w:asciiTheme="minorHAnsi" w:hAnsiTheme="minorHAnsi"/>
        </w:rPr>
      </w:pPr>
    </w:p>
    <w:p w:rsidR="00EB19C9" w:rsidRDefault="006C3E21" w:rsidP="00EB19C9">
      <w:pPr>
        <w:spacing w:after="120"/>
        <w:rPr>
          <w:rFonts w:ascii="Calibri" w:hAnsi="Calibri"/>
        </w:rPr>
      </w:pPr>
      <w:r>
        <w:rPr>
          <w:rFonts w:asciiTheme="minorHAnsi" w:hAnsiTheme="minorHAnsi"/>
        </w:rPr>
        <w:t xml:space="preserve">Option 1 demonstrates net costs under the majority of parameters tested through sensitivity analysis. </w:t>
      </w:r>
      <w:r w:rsidR="00F23004">
        <w:rPr>
          <w:rFonts w:ascii="Calibri" w:hAnsi="Calibri"/>
        </w:rPr>
        <w:t xml:space="preserve">Two </w:t>
      </w:r>
      <w:r w:rsidR="009D0F78">
        <w:rPr>
          <w:rFonts w:ascii="Calibri" w:hAnsi="Calibri"/>
        </w:rPr>
        <w:t>scenario</w:t>
      </w:r>
      <w:r w:rsidR="00F23004">
        <w:rPr>
          <w:rFonts w:ascii="Calibri" w:hAnsi="Calibri"/>
        </w:rPr>
        <w:t>s</w:t>
      </w:r>
      <w:r w:rsidR="00991210">
        <w:rPr>
          <w:rFonts w:ascii="Calibri" w:hAnsi="Calibri"/>
        </w:rPr>
        <w:t xml:space="preserve"> demonstrate small net benefits under Option 1. V</w:t>
      </w:r>
      <w:r w:rsidR="009D0F78">
        <w:rPr>
          <w:rFonts w:ascii="Calibri" w:hAnsi="Calibri"/>
        </w:rPr>
        <w:t>ery high uptake of the domestic system was modelled to reflect FPAA expectations that AS 2118.1 would not be adopted into widespread use</w:t>
      </w:r>
      <w:r w:rsidR="00652B70">
        <w:rPr>
          <w:rFonts w:ascii="Calibri" w:hAnsi="Calibri"/>
        </w:rPr>
        <w:t xml:space="preserve"> due to cost</w:t>
      </w:r>
      <w:r w:rsidR="00FA713B">
        <w:rPr>
          <w:rFonts w:ascii="Calibri" w:hAnsi="Calibri"/>
        </w:rPr>
        <w:t xml:space="preserve">. </w:t>
      </w:r>
      <w:r w:rsidR="00652B70">
        <w:rPr>
          <w:rFonts w:ascii="Calibri" w:hAnsi="Calibri"/>
        </w:rPr>
        <w:t>While cost</w:t>
      </w:r>
      <w:r w:rsidR="00E10DFB">
        <w:rPr>
          <w:rFonts w:ascii="Calibri" w:hAnsi="Calibri"/>
        </w:rPr>
        <w:t xml:space="preserve"> would</w:t>
      </w:r>
      <w:r w:rsidR="00652B70">
        <w:rPr>
          <w:rFonts w:ascii="Calibri" w:hAnsi="Calibri"/>
        </w:rPr>
        <w:t xml:space="preserve"> prove a barrier to adoption under the status quo</w:t>
      </w:r>
      <w:r w:rsidR="00E10DFB">
        <w:rPr>
          <w:rFonts w:ascii="Calibri" w:hAnsi="Calibri"/>
        </w:rPr>
        <w:t xml:space="preserve"> for some buildings</w:t>
      </w:r>
      <w:r w:rsidR="00652B70">
        <w:rPr>
          <w:rFonts w:ascii="Calibri" w:hAnsi="Calibri"/>
        </w:rPr>
        <w:t>, should Option 1 be implemented</w:t>
      </w:r>
      <w:r w:rsidR="00E10DFB">
        <w:rPr>
          <w:rFonts w:ascii="Calibri" w:hAnsi="Calibri"/>
        </w:rPr>
        <w:t>,</w:t>
      </w:r>
      <w:r w:rsidR="00652B70">
        <w:rPr>
          <w:rFonts w:ascii="Calibri" w:hAnsi="Calibri"/>
        </w:rPr>
        <w:t xml:space="preserve"> there would be an absence of DtS alternatives. </w:t>
      </w:r>
      <w:r w:rsidR="00E10DFB">
        <w:rPr>
          <w:rFonts w:ascii="Calibri" w:hAnsi="Calibri"/>
        </w:rPr>
        <w:t xml:space="preserve">AS 2118.1 </w:t>
      </w:r>
      <w:r w:rsidR="00652B70">
        <w:rPr>
          <w:rFonts w:ascii="Calibri" w:hAnsi="Calibri"/>
        </w:rPr>
        <w:t>is proposed in recognition of the known limitations of the FPAA specification,</w:t>
      </w:r>
      <w:r w:rsidR="00420182">
        <w:rPr>
          <w:rFonts w:ascii="Calibri" w:hAnsi="Calibri"/>
        </w:rPr>
        <w:t xml:space="preserve"> </w:t>
      </w:r>
      <w:r w:rsidR="00652B70">
        <w:rPr>
          <w:rFonts w:ascii="Calibri" w:hAnsi="Calibri"/>
        </w:rPr>
        <w:t>and draws on significant</w:t>
      </w:r>
      <w:r w:rsidR="009D0F78">
        <w:rPr>
          <w:rFonts w:ascii="Calibri" w:hAnsi="Calibri"/>
        </w:rPr>
        <w:t xml:space="preserve"> </w:t>
      </w:r>
      <w:r w:rsidR="00420182">
        <w:rPr>
          <w:rFonts w:ascii="Calibri" w:hAnsi="Calibri"/>
        </w:rPr>
        <w:t xml:space="preserve">industry </w:t>
      </w:r>
      <w:r w:rsidR="009D0F78">
        <w:rPr>
          <w:rFonts w:ascii="Calibri" w:hAnsi="Calibri"/>
        </w:rPr>
        <w:t>capability</w:t>
      </w:r>
      <w:r w:rsidR="00652B70" w:rsidRPr="00652B70">
        <w:rPr>
          <w:rFonts w:ascii="Calibri" w:hAnsi="Calibri"/>
        </w:rPr>
        <w:t xml:space="preserve"> </w:t>
      </w:r>
      <w:r w:rsidR="00652B70">
        <w:rPr>
          <w:rFonts w:ascii="Calibri" w:hAnsi="Calibri"/>
        </w:rPr>
        <w:t>and awareness</w:t>
      </w:r>
      <w:r w:rsidR="009D0F78">
        <w:rPr>
          <w:rFonts w:ascii="Calibri" w:hAnsi="Calibri"/>
        </w:rPr>
        <w:t xml:space="preserve">. Given </w:t>
      </w:r>
      <w:r w:rsidR="009D0F78">
        <w:rPr>
          <w:rFonts w:asciiTheme="minorHAnsi" w:hAnsiTheme="minorHAnsi"/>
        </w:rPr>
        <w:t>stakeholder feedback on the assumptions used in the Consultation RIS,</w:t>
      </w:r>
      <w:r w:rsidR="009D0F78">
        <w:rPr>
          <w:rFonts w:ascii="Calibri" w:hAnsi="Calibri"/>
        </w:rPr>
        <w:t xml:space="preserve"> </w:t>
      </w:r>
      <w:r w:rsidR="002647AD">
        <w:rPr>
          <w:rFonts w:ascii="Calibri" w:hAnsi="Calibri"/>
        </w:rPr>
        <w:t xml:space="preserve">the very high uptake </w:t>
      </w:r>
      <w:r w:rsidR="009D0F78">
        <w:rPr>
          <w:rFonts w:ascii="Calibri" w:hAnsi="Calibri"/>
        </w:rPr>
        <w:t xml:space="preserve">scenario is </w:t>
      </w:r>
      <w:r w:rsidR="002647AD">
        <w:rPr>
          <w:rFonts w:ascii="Calibri" w:hAnsi="Calibri"/>
        </w:rPr>
        <w:t xml:space="preserve">considered </w:t>
      </w:r>
      <w:r w:rsidR="009D0F78">
        <w:rPr>
          <w:rFonts w:ascii="Calibri" w:hAnsi="Calibri"/>
        </w:rPr>
        <w:t>unlikely.</w:t>
      </w:r>
    </w:p>
    <w:p w:rsidR="00F23004" w:rsidRDefault="00F23004" w:rsidP="00EB19C9">
      <w:pPr>
        <w:spacing w:after="120"/>
        <w:rPr>
          <w:rFonts w:asciiTheme="minorHAnsi" w:hAnsiTheme="minorHAnsi"/>
        </w:rPr>
      </w:pPr>
      <w:r>
        <w:rPr>
          <w:rFonts w:ascii="Calibri" w:hAnsi="Calibri"/>
        </w:rPr>
        <w:t xml:space="preserve">The other sensitivity test </w:t>
      </w:r>
      <w:r w:rsidR="004518EB">
        <w:rPr>
          <w:rFonts w:ascii="Calibri" w:hAnsi="Calibri"/>
        </w:rPr>
        <w:t>that</w:t>
      </w:r>
      <w:r>
        <w:rPr>
          <w:rFonts w:ascii="Calibri" w:hAnsi="Calibri"/>
        </w:rPr>
        <w:t xml:space="preserve"> </w:t>
      </w:r>
      <w:r w:rsidR="003612CA">
        <w:rPr>
          <w:rFonts w:ascii="Calibri" w:hAnsi="Calibri"/>
        </w:rPr>
        <w:t>demonstrates</w:t>
      </w:r>
      <w:r>
        <w:rPr>
          <w:rFonts w:ascii="Calibri" w:hAnsi="Calibri"/>
        </w:rPr>
        <w:t xml:space="preserve"> small net benefit under Option 1 </w:t>
      </w:r>
      <w:r w:rsidR="003612CA">
        <w:rPr>
          <w:rFonts w:ascii="Calibri" w:hAnsi="Calibri"/>
        </w:rPr>
        <w:t>i</w:t>
      </w:r>
      <w:r>
        <w:rPr>
          <w:rFonts w:ascii="Calibri" w:hAnsi="Calibri"/>
        </w:rPr>
        <w:t xml:space="preserve">s the proportion of new buildings with two or more fire stairs, increasing from 63% to 73%. </w:t>
      </w:r>
      <w:r w:rsidR="00E10DFB">
        <w:rPr>
          <w:rFonts w:ascii="Calibri" w:hAnsi="Calibri"/>
        </w:rPr>
        <w:t xml:space="preserve">The central scenario of 63% is an upper bound </w:t>
      </w:r>
      <w:r w:rsidR="003612CA">
        <w:rPr>
          <w:rFonts w:ascii="Calibri" w:hAnsi="Calibri"/>
        </w:rPr>
        <w:t>and</w:t>
      </w:r>
      <w:r>
        <w:rPr>
          <w:rFonts w:ascii="Calibri" w:hAnsi="Calibri"/>
        </w:rPr>
        <w:t xml:space="preserve"> analysis by Phi</w:t>
      </w:r>
      <w:r w:rsidR="008A7DC4">
        <w:rPr>
          <w:rFonts w:ascii="Calibri" w:hAnsi="Calibri"/>
        </w:rPr>
        <w:t>l</w:t>
      </w:r>
      <w:r>
        <w:rPr>
          <w:rFonts w:ascii="Calibri" w:hAnsi="Calibri"/>
        </w:rPr>
        <w:t xml:space="preserve">lip Chun </w:t>
      </w:r>
      <w:r w:rsidR="001210FF">
        <w:rPr>
          <w:rFonts w:ascii="Calibri" w:hAnsi="Calibri"/>
        </w:rPr>
        <w:t>Building Compliance</w:t>
      </w:r>
      <w:r w:rsidR="00E10DFB">
        <w:rPr>
          <w:rFonts w:ascii="Calibri" w:hAnsi="Calibri"/>
        </w:rPr>
        <w:t xml:space="preserve"> suggests the potential for fewer buildings able to reduce fire-isolated stairs</w:t>
      </w:r>
      <w:r w:rsidR="00991210">
        <w:rPr>
          <w:rFonts w:ascii="Calibri" w:hAnsi="Calibri"/>
        </w:rPr>
        <w:t>.</w:t>
      </w:r>
      <w:r w:rsidR="003612CA">
        <w:rPr>
          <w:rFonts w:ascii="Calibri" w:hAnsi="Calibri"/>
        </w:rPr>
        <w:t xml:space="preserve"> </w:t>
      </w:r>
      <w:r w:rsidR="00991210">
        <w:rPr>
          <w:rFonts w:ascii="Calibri" w:hAnsi="Calibri"/>
        </w:rPr>
        <w:t>As</w:t>
      </w:r>
      <w:r w:rsidR="003612CA">
        <w:rPr>
          <w:rFonts w:ascii="Calibri" w:hAnsi="Calibri"/>
        </w:rPr>
        <w:t xml:space="preserve"> such, this </w:t>
      </w:r>
      <w:r w:rsidR="00991210">
        <w:rPr>
          <w:rFonts w:ascii="Calibri" w:hAnsi="Calibri"/>
        </w:rPr>
        <w:t>scenario is also</w:t>
      </w:r>
      <w:r w:rsidR="003612CA">
        <w:rPr>
          <w:rFonts w:ascii="Calibri" w:hAnsi="Calibri"/>
        </w:rPr>
        <w:t xml:space="preserve"> considered </w:t>
      </w:r>
      <w:r w:rsidR="00991210">
        <w:rPr>
          <w:rFonts w:ascii="Calibri" w:hAnsi="Calibri"/>
        </w:rPr>
        <w:t>unlikely</w:t>
      </w:r>
      <w:r w:rsidR="003612CA">
        <w:rPr>
          <w:rFonts w:ascii="Calibri" w:hAnsi="Calibri"/>
        </w:rPr>
        <w:t>.</w:t>
      </w:r>
    </w:p>
    <w:p w:rsidR="00EB19C9" w:rsidRDefault="006C3E21" w:rsidP="004518EB">
      <w:pPr>
        <w:spacing w:after="0"/>
        <w:rPr>
          <w:rFonts w:asciiTheme="minorHAnsi" w:hAnsiTheme="minorHAnsi"/>
        </w:rPr>
      </w:pPr>
      <w:r w:rsidRPr="006C3E21">
        <w:rPr>
          <w:rFonts w:asciiTheme="minorHAnsi" w:hAnsiTheme="minorHAnsi"/>
        </w:rPr>
        <w:t xml:space="preserve">All parameters tested under the sensitivity analysis </w:t>
      </w:r>
      <w:r w:rsidR="00E10DFB">
        <w:rPr>
          <w:rFonts w:asciiTheme="minorHAnsi" w:hAnsiTheme="minorHAnsi"/>
        </w:rPr>
        <w:t xml:space="preserve">for </w:t>
      </w:r>
      <w:r w:rsidR="00E10DFB" w:rsidRPr="006C3E21">
        <w:rPr>
          <w:rFonts w:asciiTheme="minorHAnsi" w:hAnsiTheme="minorHAnsi"/>
        </w:rPr>
        <w:t>Option 2</w:t>
      </w:r>
      <w:r w:rsidR="00E10DFB">
        <w:rPr>
          <w:rFonts w:asciiTheme="minorHAnsi" w:hAnsiTheme="minorHAnsi"/>
        </w:rPr>
        <w:t xml:space="preserve"> </w:t>
      </w:r>
      <w:r w:rsidRPr="006C3E21">
        <w:rPr>
          <w:rFonts w:asciiTheme="minorHAnsi" w:hAnsiTheme="minorHAnsi"/>
        </w:rPr>
        <w:t xml:space="preserve">demonstrate small net benefits </w:t>
      </w:r>
      <w:r w:rsidR="001A3309">
        <w:rPr>
          <w:rFonts w:asciiTheme="minorHAnsi" w:hAnsiTheme="minorHAnsi"/>
        </w:rPr>
        <w:t>ranging from $46 million to $</w:t>
      </w:r>
      <w:r w:rsidR="003612CA">
        <w:rPr>
          <w:rFonts w:asciiTheme="minorHAnsi" w:hAnsiTheme="minorHAnsi"/>
        </w:rPr>
        <w:t xml:space="preserve">98 </w:t>
      </w:r>
      <w:r w:rsidR="001A3309">
        <w:rPr>
          <w:rFonts w:asciiTheme="minorHAnsi" w:hAnsiTheme="minorHAnsi"/>
        </w:rPr>
        <w:t xml:space="preserve">million. Each sensitivity test also revealed that in all cases Option 2 produced higher net benefits when compared with Option 1. </w:t>
      </w:r>
      <w:r w:rsidR="00EB19C9">
        <w:rPr>
          <w:rFonts w:asciiTheme="minorHAnsi" w:hAnsiTheme="minorHAnsi"/>
        </w:rPr>
        <w:t xml:space="preserve">It should also be noted that the results of each option are not sensitive to changes in life safety </w:t>
      </w:r>
      <w:r w:rsidR="002647AD">
        <w:rPr>
          <w:rFonts w:asciiTheme="minorHAnsi" w:hAnsiTheme="minorHAnsi"/>
        </w:rPr>
        <w:t>(</w:t>
      </w:r>
      <w:r w:rsidR="00DC39EC">
        <w:rPr>
          <w:rFonts w:asciiTheme="minorHAnsi" w:hAnsiTheme="minorHAnsi"/>
        </w:rPr>
        <w:t>injury</w:t>
      </w:r>
      <w:r w:rsidR="002647AD">
        <w:rPr>
          <w:rFonts w:asciiTheme="minorHAnsi" w:hAnsiTheme="minorHAnsi"/>
        </w:rPr>
        <w:t xml:space="preserve"> or fatality) </w:t>
      </w:r>
      <w:r w:rsidR="00EB19C9">
        <w:rPr>
          <w:rFonts w:asciiTheme="minorHAnsi" w:hAnsiTheme="minorHAnsi"/>
        </w:rPr>
        <w:t>outcomes largely d</w:t>
      </w:r>
      <w:r w:rsidR="002647AD">
        <w:rPr>
          <w:rFonts w:asciiTheme="minorHAnsi" w:hAnsiTheme="minorHAnsi"/>
        </w:rPr>
        <w:t>ue</w:t>
      </w:r>
      <w:r w:rsidR="00EB19C9">
        <w:rPr>
          <w:rFonts w:asciiTheme="minorHAnsi" w:hAnsiTheme="minorHAnsi"/>
        </w:rPr>
        <w:t xml:space="preserve"> </w:t>
      </w:r>
      <w:r w:rsidR="002647AD">
        <w:rPr>
          <w:rFonts w:asciiTheme="minorHAnsi" w:hAnsiTheme="minorHAnsi"/>
        </w:rPr>
        <w:t>to</w:t>
      </w:r>
      <w:r w:rsidR="00EB19C9">
        <w:rPr>
          <w:rFonts w:asciiTheme="minorHAnsi" w:hAnsiTheme="minorHAnsi"/>
        </w:rPr>
        <w:t xml:space="preserve"> the low frequency of fatalities and injuries currently occurring in these buildings.</w:t>
      </w:r>
    </w:p>
    <w:p w:rsidR="00EB19C9" w:rsidRPr="007F2224" w:rsidRDefault="00EB19C9" w:rsidP="001210FF">
      <w:pPr>
        <w:pStyle w:val="Heading1"/>
        <w:spacing w:before="240"/>
      </w:pPr>
      <w:bookmarkStart w:id="46" w:name="_Toc527709105"/>
      <w:r w:rsidRPr="00220807">
        <w:t>Unintended Consequences</w:t>
      </w:r>
      <w:bookmarkEnd w:id="46"/>
    </w:p>
    <w:p w:rsidR="00EB19C9" w:rsidRDefault="00EB19C9" w:rsidP="001210FF">
      <w:pPr>
        <w:autoSpaceDE w:val="0"/>
        <w:autoSpaceDN w:val="0"/>
        <w:adjustRightInd w:val="0"/>
        <w:spacing w:after="0"/>
        <w:rPr>
          <w:rFonts w:ascii="Calibri" w:hAnsi="Calibri" w:cs="Arial"/>
        </w:rPr>
      </w:pPr>
      <w:r>
        <w:rPr>
          <w:rFonts w:ascii="Calibri" w:hAnsi="Calibri" w:cs="Arial"/>
        </w:rPr>
        <w:t xml:space="preserve">A potential unintended consequence that could result from the inclusion of measures to decrease individual risk (within a </w:t>
      </w:r>
      <w:r w:rsidR="001210FF">
        <w:rPr>
          <w:rFonts w:ascii="Calibri" w:hAnsi="Calibri" w:cs="Arial"/>
        </w:rPr>
        <w:t>SOU</w:t>
      </w:r>
      <w:r>
        <w:rPr>
          <w:rFonts w:ascii="Calibri" w:hAnsi="Calibri" w:cs="Arial"/>
        </w:rPr>
        <w:t>) is the potential impact on societal risk arising from providing concessions to</w:t>
      </w:r>
      <w:r w:rsidR="001210FF">
        <w:rPr>
          <w:rFonts w:ascii="Calibri" w:hAnsi="Calibri" w:cs="Arial"/>
        </w:rPr>
        <w:t xml:space="preserve"> the</w:t>
      </w:r>
      <w:r>
        <w:rPr>
          <w:rFonts w:ascii="Calibri" w:hAnsi="Calibri" w:cs="Arial"/>
        </w:rPr>
        <w:t xml:space="preserve"> current D</w:t>
      </w:r>
      <w:r w:rsidR="00C762FC">
        <w:rPr>
          <w:rFonts w:ascii="Calibri" w:hAnsi="Calibri" w:cs="Arial"/>
        </w:rPr>
        <w:t>t</w:t>
      </w:r>
      <w:r>
        <w:rPr>
          <w:rFonts w:ascii="Calibri" w:hAnsi="Calibri" w:cs="Arial"/>
        </w:rPr>
        <w:t>S Provisions.</w:t>
      </w:r>
    </w:p>
    <w:p w:rsidR="00EB19C9" w:rsidRDefault="00EB19C9" w:rsidP="00EB19C9">
      <w:pPr>
        <w:autoSpaceDE w:val="0"/>
        <w:autoSpaceDN w:val="0"/>
        <w:adjustRightInd w:val="0"/>
        <w:spacing w:before="240" w:after="0"/>
        <w:rPr>
          <w:rFonts w:ascii="Calibri" w:hAnsi="Calibri" w:cs="Arial"/>
        </w:rPr>
      </w:pPr>
      <w:r>
        <w:rPr>
          <w:rFonts w:ascii="Calibri" w:hAnsi="Calibri" w:cs="Arial"/>
        </w:rPr>
        <w:t>The fire engineering analysis concluded that for the buildings modelled, using the proposed sprinkler options, the societal risk was consistently lower than an equivalent building under the status quo with the same building population.</w:t>
      </w:r>
    </w:p>
    <w:p w:rsidR="00EB19C9" w:rsidRDefault="00EB19C9" w:rsidP="00EB19C9">
      <w:pPr>
        <w:autoSpaceDE w:val="0"/>
        <w:autoSpaceDN w:val="0"/>
        <w:adjustRightInd w:val="0"/>
        <w:spacing w:before="240" w:after="0"/>
        <w:rPr>
          <w:rFonts w:ascii="Calibri" w:hAnsi="Calibri" w:cs="Arial"/>
        </w:rPr>
      </w:pPr>
      <w:r>
        <w:rPr>
          <w:rFonts w:ascii="Calibri" w:hAnsi="Calibri" w:cs="Arial"/>
        </w:rPr>
        <w:t xml:space="preserve">Other classifications were also acknowledged as being potential components of an otherwise Class 2 or 3 </w:t>
      </w:r>
      <w:r w:rsidRPr="0073422F">
        <w:rPr>
          <w:rFonts w:ascii="Calibri" w:hAnsi="Calibri" w:cs="Arial"/>
        </w:rPr>
        <w:t>building. The risks associated with evacuation using an exit that passed through or by these parts were considered significant enough</w:t>
      </w:r>
      <w:r>
        <w:rPr>
          <w:rFonts w:ascii="Calibri" w:hAnsi="Calibri" w:cs="Arial"/>
        </w:rPr>
        <w:t xml:space="preserve"> to require these ancillary uses to also be sprinkler protected, which is reflected </w:t>
      </w:r>
      <w:r w:rsidR="004518EB">
        <w:rPr>
          <w:rFonts w:ascii="Calibri" w:hAnsi="Calibri" w:cs="Arial"/>
        </w:rPr>
        <w:t>in</w:t>
      </w:r>
      <w:r>
        <w:rPr>
          <w:rFonts w:ascii="Calibri" w:hAnsi="Calibri" w:cs="Arial"/>
        </w:rPr>
        <w:t xml:space="preserve"> all specifications. </w:t>
      </w:r>
    </w:p>
    <w:p w:rsidR="00EB19C9" w:rsidRDefault="00EB19C9" w:rsidP="00EB19C9">
      <w:pPr>
        <w:autoSpaceDE w:val="0"/>
        <w:autoSpaceDN w:val="0"/>
        <w:adjustRightInd w:val="0"/>
        <w:spacing w:before="240" w:after="0"/>
        <w:rPr>
          <w:rFonts w:ascii="Calibri" w:hAnsi="Calibri" w:cs="Arial"/>
        </w:rPr>
      </w:pPr>
      <w:r>
        <w:rPr>
          <w:rFonts w:ascii="Calibri" w:hAnsi="Calibri" w:cs="Arial"/>
        </w:rPr>
        <w:t>The resulting conclusions of the fire engineering analysis found that all options being considered by this Final RIS did not increase the societal risk of occupants in buildings</w:t>
      </w:r>
      <w:r w:rsidR="004518EB">
        <w:rPr>
          <w:rFonts w:ascii="Calibri" w:hAnsi="Calibri" w:cs="Arial"/>
        </w:rPr>
        <w:t xml:space="preserve"> and on balance</w:t>
      </w:r>
      <w:r>
        <w:rPr>
          <w:rFonts w:ascii="Calibri" w:hAnsi="Calibri" w:cs="Arial"/>
        </w:rPr>
        <w:t xml:space="preserve"> reduced this risk. </w:t>
      </w:r>
    </w:p>
    <w:p w:rsidR="00EB19C9" w:rsidRDefault="00EB19C9" w:rsidP="00EB19C9">
      <w:pPr>
        <w:pStyle w:val="Heading1"/>
        <w:spacing w:before="240"/>
      </w:pPr>
      <w:bookmarkStart w:id="47" w:name="_Toc527709106"/>
      <w:r w:rsidRPr="005B5084">
        <w:lastRenderedPageBreak/>
        <w:t>Business Compliance Cost</w:t>
      </w:r>
      <w:bookmarkEnd w:id="47"/>
    </w:p>
    <w:p w:rsidR="00EB19C9" w:rsidRDefault="00EB19C9" w:rsidP="00EB19C9">
      <w:pPr>
        <w:rPr>
          <w:rFonts w:asciiTheme="minorHAnsi" w:hAnsiTheme="minorHAnsi"/>
        </w:rPr>
      </w:pPr>
      <w:r w:rsidRPr="004639DE">
        <w:rPr>
          <w:rFonts w:asciiTheme="minorHAnsi" w:hAnsiTheme="minorHAnsi"/>
        </w:rPr>
        <w:t xml:space="preserve">Industry will incur a one-off education cost to become aware of the proposed </w:t>
      </w:r>
      <w:r>
        <w:rPr>
          <w:rFonts w:asciiTheme="minorHAnsi" w:hAnsiTheme="minorHAnsi"/>
        </w:rPr>
        <w:t>DtS P</w:t>
      </w:r>
      <w:r w:rsidRPr="004639DE">
        <w:rPr>
          <w:rFonts w:asciiTheme="minorHAnsi" w:hAnsiTheme="minorHAnsi"/>
        </w:rPr>
        <w:t xml:space="preserve">rovisions for </w:t>
      </w:r>
      <w:r w:rsidR="00B6645B">
        <w:rPr>
          <w:rFonts w:asciiTheme="minorHAnsi" w:hAnsiTheme="minorHAnsi"/>
        </w:rPr>
        <w:t xml:space="preserve">fire </w:t>
      </w:r>
      <w:r w:rsidRPr="004639DE">
        <w:rPr>
          <w:rFonts w:asciiTheme="minorHAnsi" w:hAnsiTheme="minorHAnsi"/>
        </w:rPr>
        <w:t>sprinklers, and to reflect how to respond</w:t>
      </w:r>
      <w:r w:rsidR="00FA713B">
        <w:rPr>
          <w:rFonts w:asciiTheme="minorHAnsi" w:hAnsiTheme="minorHAnsi"/>
        </w:rPr>
        <w:t xml:space="preserve"> to them and their objectives. </w:t>
      </w:r>
      <w:r w:rsidRPr="004639DE">
        <w:rPr>
          <w:rFonts w:asciiTheme="minorHAnsi" w:hAnsiTheme="minorHAnsi"/>
        </w:rPr>
        <w:t>The ABCB seeks to effectively</w:t>
      </w:r>
      <w:r w:rsidR="004518EB">
        <w:rPr>
          <w:rFonts w:asciiTheme="minorHAnsi" w:hAnsiTheme="minorHAnsi"/>
        </w:rPr>
        <w:t xml:space="preserve"> communicate changes to the NCC</w:t>
      </w:r>
      <w:r w:rsidRPr="004639DE">
        <w:rPr>
          <w:rFonts w:asciiTheme="minorHAnsi" w:hAnsiTheme="minorHAnsi"/>
        </w:rPr>
        <w:t xml:space="preserve"> and hence minimise education costs, by holding seminars in each jurisd</w:t>
      </w:r>
      <w:r>
        <w:rPr>
          <w:rFonts w:asciiTheme="minorHAnsi" w:hAnsiTheme="minorHAnsi"/>
        </w:rPr>
        <w:t xml:space="preserve">iction to explain the changes. </w:t>
      </w:r>
      <w:r w:rsidRPr="004639DE">
        <w:rPr>
          <w:rFonts w:asciiTheme="minorHAnsi" w:hAnsiTheme="minorHAnsi"/>
        </w:rPr>
        <w:t>The building industry takes time and effort to become familiar with the changes each year, including through strong participation in the ABCB seminars (about half a day).</w:t>
      </w:r>
      <w:r w:rsidR="00FA713B">
        <w:rPr>
          <w:rFonts w:asciiTheme="minorHAnsi" w:hAnsiTheme="minorHAnsi"/>
        </w:rPr>
        <w:t xml:space="preserve"> </w:t>
      </w:r>
      <w:r w:rsidRPr="004639DE">
        <w:rPr>
          <w:rFonts w:asciiTheme="minorHAnsi" w:hAnsiTheme="minorHAnsi"/>
        </w:rPr>
        <w:t>As an indication of the size of the one-off education costs, the incremental contribution of the sprinkler provisions would be a small part of this education exercise, around 10 minutes in a half-day seminar.</w:t>
      </w:r>
    </w:p>
    <w:tbl>
      <w:tblPr>
        <w:tblStyle w:val="TableGrid"/>
        <w:tblW w:w="0" w:type="auto"/>
        <w:tblBorders>
          <w:insideH w:val="none" w:sz="0" w:space="0" w:color="auto"/>
          <w:insideV w:val="none" w:sz="0" w:space="0" w:color="auto"/>
        </w:tblBorders>
        <w:shd w:val="clear" w:color="auto" w:fill="BFBFBF" w:themeFill="background1" w:themeFillShade="BF"/>
        <w:tblLook w:val="04A0" w:firstRow="1" w:lastRow="0" w:firstColumn="1" w:lastColumn="0" w:noHBand="0" w:noVBand="1"/>
        <w:tblCaption w:val="Table containing consultation questions"/>
      </w:tblPr>
      <w:tblGrid>
        <w:gridCol w:w="9016"/>
      </w:tblGrid>
      <w:tr w:rsidR="00EB19C9" w:rsidTr="00EB19C9">
        <w:trPr>
          <w:tblHeader/>
        </w:trPr>
        <w:tc>
          <w:tcPr>
            <w:tcW w:w="9016" w:type="dxa"/>
            <w:shd w:val="clear" w:color="auto" w:fill="BFBFBF" w:themeFill="background1" w:themeFillShade="BF"/>
          </w:tcPr>
          <w:p w:rsidR="00EB19C9" w:rsidRPr="00393409" w:rsidRDefault="00EB19C9" w:rsidP="00EB19C9">
            <w:pPr>
              <w:rPr>
                <w:rFonts w:asciiTheme="majorHAnsi" w:eastAsia="Times New Roman" w:hAnsiTheme="majorHAnsi" w:cs="Times New Roman"/>
                <w:b/>
                <w:color w:val="002060"/>
                <w:sz w:val="24"/>
                <w:szCs w:val="24"/>
              </w:rPr>
            </w:pPr>
            <w:r w:rsidRPr="00FC6708">
              <w:rPr>
                <w:rFonts w:asciiTheme="minorHAnsi" w:hAnsiTheme="minorHAnsi"/>
              </w:rPr>
              <w:t xml:space="preserve">Stakeholders were asked in the Consultation RIS whether they felt there were any business compliance costs that should be considered by the Final RIS. </w:t>
            </w:r>
          </w:p>
        </w:tc>
      </w:tr>
    </w:tbl>
    <w:p w:rsidR="00EB19C9" w:rsidRDefault="00EB19C9" w:rsidP="00EB19C9">
      <w:pPr>
        <w:spacing w:before="240"/>
        <w:rPr>
          <w:rFonts w:asciiTheme="minorHAnsi" w:hAnsiTheme="minorHAnsi"/>
        </w:rPr>
      </w:pPr>
      <w:r>
        <w:rPr>
          <w:rFonts w:asciiTheme="minorHAnsi" w:hAnsiTheme="minorHAnsi"/>
        </w:rPr>
        <w:t xml:space="preserve">Concern was raised in regards to the current competency of practitioners and whether there was need for further training to be provided at a TAFE level. </w:t>
      </w:r>
    </w:p>
    <w:p w:rsidR="00EB19C9" w:rsidRDefault="00EB19C9" w:rsidP="00EB19C9">
      <w:pPr>
        <w:rPr>
          <w:rFonts w:asciiTheme="minorHAnsi" w:hAnsiTheme="minorHAnsi"/>
        </w:rPr>
      </w:pPr>
      <w:r>
        <w:rPr>
          <w:rFonts w:asciiTheme="minorHAnsi" w:hAnsiTheme="minorHAnsi"/>
        </w:rPr>
        <w:t xml:space="preserve">FRNSW, FPAA and AFAC consider the current TAFE qualifications to be suitable and provides for the necessary skills to install these fire sprinkler systems. However, they do consider it necessary to provide dedicated training workshops for installers, designers, and building surveyors to inform them of the subtle differences from what they would know as typical historical type sprinkler systems. Should either option be adopted, training and awareness to the industry will be provided by FPAA. </w:t>
      </w:r>
    </w:p>
    <w:p w:rsidR="004518EB" w:rsidRPr="00D8561E" w:rsidRDefault="004518EB" w:rsidP="00EB19C9">
      <w:pPr>
        <w:rPr>
          <w:rFonts w:asciiTheme="minorHAnsi" w:hAnsiTheme="minorHAnsi"/>
        </w:rPr>
      </w:pPr>
      <w:r>
        <w:rPr>
          <w:rFonts w:asciiTheme="minorHAnsi" w:hAnsiTheme="minorHAnsi"/>
        </w:rPr>
        <w:t>It is understood that the FPAA and AFAC will also prepare appropriate training and information materials for use by practitioners upon the introduction of any new specifications.</w:t>
      </w:r>
    </w:p>
    <w:p w:rsidR="00EB19C9" w:rsidRPr="0046448A" w:rsidRDefault="00EB19C9" w:rsidP="00EB19C9">
      <w:pPr>
        <w:pStyle w:val="Heading1"/>
        <w:spacing w:before="240"/>
      </w:pPr>
      <w:bookmarkStart w:id="48" w:name="_Toc527709107"/>
      <w:r w:rsidRPr="0046448A">
        <w:t>Regulatory Burden</w:t>
      </w:r>
      <w:bookmarkEnd w:id="48"/>
    </w:p>
    <w:p w:rsidR="00EB19C9" w:rsidRPr="0046448A" w:rsidRDefault="00EB19C9" w:rsidP="00EB19C9">
      <w:pPr>
        <w:spacing w:after="120"/>
        <w:rPr>
          <w:rFonts w:asciiTheme="minorHAnsi" w:hAnsiTheme="minorHAnsi"/>
        </w:rPr>
      </w:pPr>
      <w:r w:rsidRPr="0046448A">
        <w:rPr>
          <w:rFonts w:asciiTheme="minorHAnsi" w:hAnsiTheme="minorHAnsi"/>
        </w:rPr>
        <w:t>The Australian Government has introduced the ‘Guide to Regulation’, which discusses the importance of cutting red tape.</w:t>
      </w:r>
    </w:p>
    <w:p w:rsidR="00EB19C9" w:rsidRPr="0046448A" w:rsidRDefault="00EB19C9" w:rsidP="00EB19C9">
      <w:pPr>
        <w:spacing w:after="120"/>
        <w:rPr>
          <w:rFonts w:asciiTheme="minorHAnsi" w:hAnsiTheme="minorHAnsi"/>
        </w:rPr>
      </w:pPr>
      <w:r w:rsidRPr="0046448A">
        <w:rPr>
          <w:rFonts w:asciiTheme="minorHAnsi" w:hAnsiTheme="minorHAnsi"/>
        </w:rPr>
        <w:t>A key principle for Australian Government policy makers in the Guide to Regulation is that:</w:t>
      </w:r>
    </w:p>
    <w:p w:rsidR="00EB19C9" w:rsidRPr="0046448A" w:rsidRDefault="00EB19C9" w:rsidP="00EB19C9">
      <w:pPr>
        <w:spacing w:after="120"/>
        <w:rPr>
          <w:rFonts w:asciiTheme="minorHAnsi" w:hAnsiTheme="minorHAnsi"/>
          <w:i/>
        </w:rPr>
      </w:pPr>
      <w:r w:rsidRPr="0046448A">
        <w:rPr>
          <w:rFonts w:asciiTheme="minorHAnsi" w:hAnsiTheme="minorHAnsi"/>
          <w:i/>
        </w:rPr>
        <w:t>The cost burden of new regulation must be fully offset by reductions in existing regulatory burden.</w:t>
      </w:r>
    </w:p>
    <w:p w:rsidR="00EB19C9" w:rsidRPr="0046448A" w:rsidRDefault="00EB19C9" w:rsidP="00EB19C9">
      <w:pPr>
        <w:spacing w:after="120"/>
        <w:rPr>
          <w:rFonts w:asciiTheme="minorHAnsi" w:hAnsiTheme="minorHAnsi"/>
        </w:rPr>
      </w:pPr>
      <w:r w:rsidRPr="0046448A">
        <w:rPr>
          <w:rFonts w:asciiTheme="minorHAnsi" w:hAnsiTheme="minorHAnsi"/>
        </w:rPr>
        <w:t>All regulatory costs, whether arising from new regulations or changes to existing regulation, must be quantified using the Regulatory Burden Measurement framework. The framework must also be used for quantifying regulatory savings, where applicable.</w:t>
      </w:r>
    </w:p>
    <w:p w:rsidR="00A1564F" w:rsidRDefault="00EB19C9" w:rsidP="00EB19C9">
      <w:pPr>
        <w:spacing w:after="120"/>
        <w:rPr>
          <w:rFonts w:asciiTheme="minorHAnsi" w:hAnsiTheme="minorHAnsi"/>
        </w:rPr>
      </w:pPr>
      <w:r w:rsidRPr="0046448A">
        <w:rPr>
          <w:rFonts w:asciiTheme="minorHAnsi" w:hAnsiTheme="minorHAnsi"/>
        </w:rPr>
        <w:t>As measured in accordance with the framework, the regulatory</w:t>
      </w:r>
      <w:r>
        <w:rPr>
          <w:rFonts w:asciiTheme="minorHAnsi" w:hAnsiTheme="minorHAnsi"/>
        </w:rPr>
        <w:t xml:space="preserve"> burden as</w:t>
      </w:r>
      <w:r w:rsidR="008864EA">
        <w:rPr>
          <w:rFonts w:asciiTheme="minorHAnsi" w:hAnsiTheme="minorHAnsi"/>
        </w:rPr>
        <w:t>sociated with each option is shown in Table 25.</w:t>
      </w:r>
    </w:p>
    <w:p w:rsidR="00EB19C9" w:rsidRDefault="00A1564F" w:rsidP="00A1564F">
      <w:pPr>
        <w:rPr>
          <w:rFonts w:asciiTheme="minorHAnsi" w:hAnsiTheme="minorHAnsi"/>
        </w:rPr>
      </w:pPr>
      <w:r>
        <w:rPr>
          <w:rFonts w:asciiTheme="minorHAnsi" w:hAnsiTheme="minorHAnsi"/>
        </w:rPr>
        <w:br w:type="page"/>
      </w:r>
    </w:p>
    <w:p w:rsidR="00EB19C9" w:rsidRPr="0048305D" w:rsidRDefault="00EB19C9" w:rsidP="00EB19C9">
      <w:pPr>
        <w:spacing w:after="0"/>
        <w:jc w:val="center"/>
        <w:rPr>
          <w:rFonts w:asciiTheme="minorHAnsi" w:hAnsiTheme="minorHAnsi"/>
          <w:iCs/>
          <w:color w:val="002060"/>
          <w:sz w:val="24"/>
          <w:szCs w:val="24"/>
        </w:rPr>
      </w:pPr>
      <w:r w:rsidRPr="007575C4">
        <w:rPr>
          <w:rFonts w:asciiTheme="minorHAnsi" w:hAnsiTheme="minorHAnsi"/>
          <w:iCs/>
          <w:color w:val="002060"/>
          <w:sz w:val="24"/>
          <w:szCs w:val="24"/>
        </w:rPr>
        <w:lastRenderedPageBreak/>
        <w:t xml:space="preserve">Table </w:t>
      </w:r>
      <w:r w:rsidR="008A7DC4">
        <w:rPr>
          <w:rFonts w:asciiTheme="minorHAnsi" w:hAnsiTheme="minorHAnsi"/>
          <w:iCs/>
          <w:color w:val="002060"/>
          <w:sz w:val="24"/>
          <w:szCs w:val="24"/>
        </w:rPr>
        <w:t>25</w:t>
      </w:r>
      <w:r w:rsidRPr="007575C4">
        <w:rPr>
          <w:rFonts w:asciiTheme="minorHAnsi" w:hAnsiTheme="minorHAnsi"/>
          <w:iCs/>
          <w:color w:val="002060"/>
          <w:sz w:val="24"/>
          <w:szCs w:val="24"/>
        </w:rPr>
        <w:t xml:space="preserve">: </w:t>
      </w:r>
      <w:r>
        <w:rPr>
          <w:rFonts w:asciiTheme="minorHAnsi" w:hAnsiTheme="minorHAnsi"/>
          <w:iCs/>
          <w:color w:val="002060"/>
          <w:sz w:val="24"/>
          <w:szCs w:val="24"/>
        </w:rPr>
        <w:t>Regulatory Burden Measurement</w:t>
      </w:r>
    </w:p>
    <w:tbl>
      <w:tblPr>
        <w:tblStyle w:val="TableGrid"/>
        <w:tblW w:w="0" w:type="auto"/>
        <w:tblLook w:val="04A0" w:firstRow="1" w:lastRow="0" w:firstColumn="1" w:lastColumn="0" w:noHBand="0" w:noVBand="1"/>
        <w:tblCaption w:val="Table 32 - Regulatory Burden Measurment "/>
        <w:tblDescription w:val="This table outlines the requlatory burden associated with Option 1 and 2. These figures are calculated using the Regulatory Burden Measurement Framework. "/>
      </w:tblPr>
      <w:tblGrid>
        <w:gridCol w:w="3256"/>
        <w:gridCol w:w="2834"/>
        <w:gridCol w:w="2926"/>
      </w:tblGrid>
      <w:tr w:rsidR="00EB19C9" w:rsidTr="00FE3334">
        <w:trPr>
          <w:tblHeader/>
        </w:trPr>
        <w:tc>
          <w:tcPr>
            <w:tcW w:w="3256" w:type="dxa"/>
            <w:shd w:val="clear" w:color="auto" w:fill="002060"/>
          </w:tcPr>
          <w:p w:rsidR="00EB19C9" w:rsidRDefault="00EB19C9" w:rsidP="00EB19C9">
            <w:pPr>
              <w:spacing w:after="120"/>
              <w:rPr>
                <w:rFonts w:asciiTheme="minorHAnsi" w:hAnsiTheme="minorHAnsi"/>
              </w:rPr>
            </w:pPr>
            <w:r>
              <w:rPr>
                <w:rFonts w:asciiTheme="minorHAnsi" w:hAnsiTheme="minorHAnsi"/>
              </w:rPr>
              <w:t>Regulatory Burden Measurement</w:t>
            </w:r>
          </w:p>
        </w:tc>
        <w:tc>
          <w:tcPr>
            <w:tcW w:w="2834" w:type="dxa"/>
            <w:shd w:val="clear" w:color="auto" w:fill="002060"/>
          </w:tcPr>
          <w:p w:rsidR="00EB19C9" w:rsidRDefault="00EB19C9" w:rsidP="00EB19C9">
            <w:pPr>
              <w:spacing w:after="120"/>
              <w:jc w:val="center"/>
              <w:rPr>
                <w:rFonts w:asciiTheme="minorHAnsi" w:hAnsiTheme="minorHAnsi"/>
              </w:rPr>
            </w:pPr>
            <w:r>
              <w:rPr>
                <w:rFonts w:asciiTheme="minorHAnsi" w:hAnsiTheme="minorHAnsi"/>
              </w:rPr>
              <w:t>Option 1</w:t>
            </w:r>
          </w:p>
        </w:tc>
        <w:tc>
          <w:tcPr>
            <w:tcW w:w="2926" w:type="dxa"/>
            <w:shd w:val="clear" w:color="auto" w:fill="002060"/>
          </w:tcPr>
          <w:p w:rsidR="00EB19C9" w:rsidRDefault="00EB19C9" w:rsidP="00EB19C9">
            <w:pPr>
              <w:spacing w:after="120"/>
              <w:jc w:val="center"/>
              <w:rPr>
                <w:rFonts w:asciiTheme="minorHAnsi" w:hAnsiTheme="minorHAnsi"/>
              </w:rPr>
            </w:pPr>
            <w:r>
              <w:rPr>
                <w:rFonts w:asciiTheme="minorHAnsi" w:hAnsiTheme="minorHAnsi"/>
              </w:rPr>
              <w:t>Option 2</w:t>
            </w:r>
          </w:p>
        </w:tc>
      </w:tr>
      <w:tr w:rsidR="00EB19C9" w:rsidTr="00EB19C9">
        <w:tc>
          <w:tcPr>
            <w:tcW w:w="9016" w:type="dxa"/>
            <w:gridSpan w:val="3"/>
          </w:tcPr>
          <w:p w:rsidR="00EB19C9" w:rsidRPr="00103412" w:rsidRDefault="00EB19C9" w:rsidP="00EB19C9">
            <w:pPr>
              <w:spacing w:after="120"/>
              <w:rPr>
                <w:rFonts w:asciiTheme="minorHAnsi" w:hAnsiTheme="minorHAnsi"/>
                <w:b/>
              </w:rPr>
            </w:pPr>
            <w:r>
              <w:rPr>
                <w:rFonts w:asciiTheme="minorHAnsi" w:hAnsiTheme="minorHAnsi"/>
                <w:b/>
              </w:rPr>
              <w:t>Substantive C</w:t>
            </w:r>
            <w:r w:rsidRPr="00103412">
              <w:rPr>
                <w:rFonts w:asciiTheme="minorHAnsi" w:hAnsiTheme="minorHAnsi"/>
                <w:b/>
              </w:rPr>
              <w:t>osts</w:t>
            </w:r>
          </w:p>
        </w:tc>
      </w:tr>
      <w:tr w:rsidR="00EB19C9" w:rsidTr="00EB19C9">
        <w:tc>
          <w:tcPr>
            <w:tcW w:w="3256" w:type="dxa"/>
          </w:tcPr>
          <w:p w:rsidR="00EB19C9" w:rsidRDefault="00EB19C9" w:rsidP="00EB19C9">
            <w:pPr>
              <w:spacing w:after="120"/>
              <w:rPr>
                <w:rFonts w:asciiTheme="minorHAnsi" w:hAnsiTheme="minorHAnsi"/>
              </w:rPr>
            </w:pPr>
            <w:r>
              <w:rPr>
                <w:rFonts w:asciiTheme="minorHAnsi" w:hAnsiTheme="minorHAnsi"/>
              </w:rPr>
              <w:t>Construction Costs</w:t>
            </w:r>
          </w:p>
        </w:tc>
        <w:tc>
          <w:tcPr>
            <w:tcW w:w="2834" w:type="dxa"/>
          </w:tcPr>
          <w:p w:rsidR="00EB19C9" w:rsidRDefault="002647AD" w:rsidP="009344B3">
            <w:pPr>
              <w:spacing w:after="120"/>
              <w:jc w:val="center"/>
              <w:rPr>
                <w:rFonts w:asciiTheme="minorHAnsi" w:hAnsiTheme="minorHAnsi"/>
              </w:rPr>
            </w:pPr>
            <w:r>
              <w:rPr>
                <w:rFonts w:asciiTheme="minorHAnsi" w:hAnsiTheme="minorHAnsi"/>
              </w:rPr>
              <w:t>(</w:t>
            </w:r>
            <w:r w:rsidR="00EB19C9">
              <w:rPr>
                <w:rFonts w:asciiTheme="minorHAnsi" w:hAnsiTheme="minorHAnsi"/>
              </w:rPr>
              <w:t>$</w:t>
            </w:r>
            <w:r w:rsidR="009344B3">
              <w:rPr>
                <w:rFonts w:asciiTheme="minorHAnsi" w:hAnsiTheme="minorHAnsi"/>
              </w:rPr>
              <w:t>23,404,763</w:t>
            </w:r>
            <w:r>
              <w:rPr>
                <w:rFonts w:asciiTheme="minorHAnsi" w:hAnsiTheme="minorHAnsi"/>
              </w:rPr>
              <w:t>)</w:t>
            </w:r>
          </w:p>
        </w:tc>
        <w:tc>
          <w:tcPr>
            <w:tcW w:w="2926" w:type="dxa"/>
          </w:tcPr>
          <w:p w:rsidR="00EB19C9" w:rsidRDefault="00EB19C9" w:rsidP="009344B3">
            <w:pPr>
              <w:spacing w:after="120"/>
              <w:jc w:val="center"/>
              <w:rPr>
                <w:rFonts w:asciiTheme="minorHAnsi" w:hAnsiTheme="minorHAnsi"/>
              </w:rPr>
            </w:pPr>
            <w:r>
              <w:rPr>
                <w:rFonts w:asciiTheme="minorHAnsi" w:hAnsiTheme="minorHAnsi"/>
              </w:rPr>
              <w:t>$</w:t>
            </w:r>
            <w:r w:rsidR="009344B3">
              <w:rPr>
                <w:rFonts w:asciiTheme="minorHAnsi" w:hAnsiTheme="minorHAnsi"/>
              </w:rPr>
              <w:t>11,361,428</w:t>
            </w:r>
          </w:p>
        </w:tc>
      </w:tr>
      <w:tr w:rsidR="00EB19C9" w:rsidTr="00EB19C9">
        <w:tc>
          <w:tcPr>
            <w:tcW w:w="3256" w:type="dxa"/>
          </w:tcPr>
          <w:p w:rsidR="00EB19C9" w:rsidRDefault="00EB19C9" w:rsidP="00EB19C9">
            <w:pPr>
              <w:spacing w:after="120"/>
              <w:rPr>
                <w:rFonts w:asciiTheme="minorHAnsi" w:hAnsiTheme="minorHAnsi"/>
              </w:rPr>
            </w:pPr>
            <w:r>
              <w:rPr>
                <w:rFonts w:asciiTheme="minorHAnsi" w:hAnsiTheme="minorHAnsi"/>
              </w:rPr>
              <w:t>Maintenance Costs</w:t>
            </w:r>
          </w:p>
        </w:tc>
        <w:tc>
          <w:tcPr>
            <w:tcW w:w="2834" w:type="dxa"/>
          </w:tcPr>
          <w:p w:rsidR="00EB19C9" w:rsidRDefault="00911DD5" w:rsidP="009344B3">
            <w:pPr>
              <w:spacing w:after="120"/>
              <w:jc w:val="center"/>
              <w:rPr>
                <w:rFonts w:asciiTheme="minorHAnsi" w:hAnsiTheme="minorHAnsi"/>
              </w:rPr>
            </w:pPr>
            <w:r>
              <w:rPr>
                <w:rFonts w:asciiTheme="minorHAnsi" w:hAnsiTheme="minorHAnsi"/>
              </w:rPr>
              <w:t>(</w:t>
            </w:r>
            <w:r w:rsidR="009344B3">
              <w:rPr>
                <w:rFonts w:asciiTheme="minorHAnsi" w:hAnsiTheme="minorHAnsi"/>
              </w:rPr>
              <w:t>$1,361,683</w:t>
            </w:r>
            <w:r>
              <w:rPr>
                <w:rFonts w:asciiTheme="minorHAnsi" w:hAnsiTheme="minorHAnsi"/>
              </w:rPr>
              <w:t>)</w:t>
            </w:r>
          </w:p>
        </w:tc>
        <w:tc>
          <w:tcPr>
            <w:tcW w:w="2926" w:type="dxa"/>
          </w:tcPr>
          <w:p w:rsidR="00EB19C9" w:rsidRDefault="002647AD" w:rsidP="009344B3">
            <w:pPr>
              <w:spacing w:after="120"/>
              <w:jc w:val="center"/>
              <w:rPr>
                <w:rFonts w:asciiTheme="minorHAnsi" w:hAnsiTheme="minorHAnsi"/>
              </w:rPr>
            </w:pPr>
            <w:r>
              <w:rPr>
                <w:rFonts w:asciiTheme="minorHAnsi" w:hAnsiTheme="minorHAnsi"/>
              </w:rPr>
              <w:t>(</w:t>
            </w:r>
            <w:r w:rsidR="009344B3">
              <w:rPr>
                <w:rFonts w:asciiTheme="minorHAnsi" w:hAnsiTheme="minorHAnsi"/>
              </w:rPr>
              <w:t>$261,026</w:t>
            </w:r>
            <w:r>
              <w:rPr>
                <w:rFonts w:asciiTheme="minorHAnsi" w:hAnsiTheme="minorHAnsi"/>
              </w:rPr>
              <w:t>)</w:t>
            </w:r>
          </w:p>
        </w:tc>
      </w:tr>
      <w:tr w:rsidR="00EB19C9" w:rsidTr="00EB19C9">
        <w:tc>
          <w:tcPr>
            <w:tcW w:w="3256" w:type="dxa"/>
          </w:tcPr>
          <w:p w:rsidR="00EB19C9" w:rsidRDefault="00EB19C9" w:rsidP="00EB19C9">
            <w:pPr>
              <w:spacing w:after="120"/>
              <w:rPr>
                <w:rFonts w:asciiTheme="minorHAnsi" w:hAnsiTheme="minorHAnsi"/>
              </w:rPr>
            </w:pPr>
            <w:r>
              <w:rPr>
                <w:rFonts w:asciiTheme="minorHAnsi" w:hAnsiTheme="minorHAnsi"/>
              </w:rPr>
              <w:t>Training – Building Certifiers</w:t>
            </w:r>
          </w:p>
        </w:tc>
        <w:tc>
          <w:tcPr>
            <w:tcW w:w="2834" w:type="dxa"/>
          </w:tcPr>
          <w:p w:rsidR="00EB19C9" w:rsidRDefault="00911DD5" w:rsidP="00EB19C9">
            <w:pPr>
              <w:spacing w:after="120"/>
              <w:jc w:val="center"/>
              <w:rPr>
                <w:rFonts w:asciiTheme="minorHAnsi" w:hAnsiTheme="minorHAnsi"/>
              </w:rPr>
            </w:pPr>
            <w:r>
              <w:rPr>
                <w:rFonts w:asciiTheme="minorHAnsi" w:hAnsiTheme="minorHAnsi"/>
              </w:rPr>
              <w:t>(</w:t>
            </w:r>
            <w:r w:rsidR="00EB19C9">
              <w:rPr>
                <w:rFonts w:asciiTheme="minorHAnsi" w:hAnsiTheme="minorHAnsi"/>
              </w:rPr>
              <w:t>$56,463</w:t>
            </w:r>
            <w:r>
              <w:rPr>
                <w:rFonts w:asciiTheme="minorHAnsi" w:hAnsiTheme="minorHAnsi"/>
              </w:rPr>
              <w:t>)</w:t>
            </w:r>
          </w:p>
        </w:tc>
        <w:tc>
          <w:tcPr>
            <w:tcW w:w="2926" w:type="dxa"/>
          </w:tcPr>
          <w:p w:rsidR="00EB19C9" w:rsidRDefault="00911DD5" w:rsidP="00EB19C9">
            <w:pPr>
              <w:spacing w:after="120"/>
              <w:jc w:val="center"/>
              <w:rPr>
                <w:rFonts w:asciiTheme="minorHAnsi" w:hAnsiTheme="minorHAnsi"/>
              </w:rPr>
            </w:pPr>
            <w:r>
              <w:rPr>
                <w:rFonts w:asciiTheme="minorHAnsi" w:hAnsiTheme="minorHAnsi"/>
              </w:rPr>
              <w:t>(</w:t>
            </w:r>
            <w:r w:rsidR="00EB19C9">
              <w:rPr>
                <w:rFonts w:asciiTheme="minorHAnsi" w:hAnsiTheme="minorHAnsi"/>
              </w:rPr>
              <w:t>$18,127</w:t>
            </w:r>
            <w:r>
              <w:rPr>
                <w:rFonts w:asciiTheme="minorHAnsi" w:hAnsiTheme="minorHAnsi"/>
              </w:rPr>
              <w:t>)</w:t>
            </w:r>
          </w:p>
        </w:tc>
      </w:tr>
      <w:tr w:rsidR="00EB19C9" w:rsidTr="00EB19C9">
        <w:tc>
          <w:tcPr>
            <w:tcW w:w="3256" w:type="dxa"/>
          </w:tcPr>
          <w:p w:rsidR="00EB19C9" w:rsidRDefault="00EB19C9" w:rsidP="00EB19C9">
            <w:pPr>
              <w:spacing w:after="120"/>
              <w:rPr>
                <w:rFonts w:asciiTheme="minorHAnsi" w:hAnsiTheme="minorHAnsi"/>
              </w:rPr>
            </w:pPr>
            <w:r>
              <w:rPr>
                <w:rFonts w:asciiTheme="minorHAnsi" w:hAnsiTheme="minorHAnsi"/>
              </w:rPr>
              <w:t>Training – Plumbing Practitioners</w:t>
            </w:r>
          </w:p>
        </w:tc>
        <w:tc>
          <w:tcPr>
            <w:tcW w:w="2834" w:type="dxa"/>
          </w:tcPr>
          <w:p w:rsidR="00EB19C9" w:rsidRDefault="00911DD5" w:rsidP="00EB19C9">
            <w:pPr>
              <w:spacing w:after="120"/>
              <w:jc w:val="center"/>
              <w:rPr>
                <w:rFonts w:asciiTheme="minorHAnsi" w:hAnsiTheme="minorHAnsi"/>
              </w:rPr>
            </w:pPr>
            <w:r>
              <w:rPr>
                <w:rFonts w:asciiTheme="minorHAnsi" w:hAnsiTheme="minorHAnsi"/>
              </w:rPr>
              <w:t>(</w:t>
            </w:r>
            <w:r w:rsidR="00EB19C9">
              <w:rPr>
                <w:rFonts w:asciiTheme="minorHAnsi" w:hAnsiTheme="minorHAnsi"/>
              </w:rPr>
              <w:t>$66,321</w:t>
            </w:r>
            <w:r>
              <w:rPr>
                <w:rFonts w:asciiTheme="minorHAnsi" w:hAnsiTheme="minorHAnsi"/>
              </w:rPr>
              <w:t>)</w:t>
            </w:r>
          </w:p>
        </w:tc>
        <w:tc>
          <w:tcPr>
            <w:tcW w:w="2926" w:type="dxa"/>
          </w:tcPr>
          <w:p w:rsidR="00EB19C9" w:rsidRDefault="00911DD5" w:rsidP="00EB19C9">
            <w:pPr>
              <w:spacing w:after="120"/>
              <w:jc w:val="center"/>
              <w:rPr>
                <w:rFonts w:asciiTheme="minorHAnsi" w:hAnsiTheme="minorHAnsi"/>
              </w:rPr>
            </w:pPr>
            <w:r>
              <w:rPr>
                <w:rFonts w:asciiTheme="minorHAnsi" w:hAnsiTheme="minorHAnsi"/>
              </w:rPr>
              <w:t>(</w:t>
            </w:r>
            <w:r w:rsidR="00EB19C9">
              <w:rPr>
                <w:rFonts w:asciiTheme="minorHAnsi" w:hAnsiTheme="minorHAnsi"/>
              </w:rPr>
              <w:t>$21,292</w:t>
            </w:r>
            <w:r>
              <w:rPr>
                <w:rFonts w:asciiTheme="minorHAnsi" w:hAnsiTheme="minorHAnsi"/>
              </w:rPr>
              <w:t>)</w:t>
            </w:r>
          </w:p>
        </w:tc>
      </w:tr>
      <w:tr w:rsidR="00EB19C9" w:rsidTr="00EB19C9">
        <w:tc>
          <w:tcPr>
            <w:tcW w:w="3256" w:type="dxa"/>
          </w:tcPr>
          <w:p w:rsidR="00EB19C9" w:rsidRPr="00103412" w:rsidRDefault="00EB19C9" w:rsidP="00EB19C9">
            <w:pPr>
              <w:spacing w:after="120"/>
              <w:rPr>
                <w:rFonts w:asciiTheme="minorHAnsi" w:hAnsiTheme="minorHAnsi"/>
                <w:b/>
              </w:rPr>
            </w:pPr>
            <w:r w:rsidRPr="00103412">
              <w:rPr>
                <w:rFonts w:asciiTheme="minorHAnsi" w:hAnsiTheme="minorHAnsi"/>
                <w:b/>
              </w:rPr>
              <w:t>Total</w:t>
            </w:r>
          </w:p>
        </w:tc>
        <w:tc>
          <w:tcPr>
            <w:tcW w:w="2834" w:type="dxa"/>
          </w:tcPr>
          <w:p w:rsidR="00EB19C9" w:rsidRDefault="00911DD5" w:rsidP="007D701C">
            <w:pPr>
              <w:spacing w:after="120"/>
              <w:jc w:val="center"/>
              <w:rPr>
                <w:rFonts w:asciiTheme="minorHAnsi" w:hAnsiTheme="minorHAnsi"/>
              </w:rPr>
            </w:pPr>
            <w:r>
              <w:rPr>
                <w:rFonts w:asciiTheme="minorHAnsi" w:hAnsiTheme="minorHAnsi"/>
              </w:rPr>
              <w:t>(</w:t>
            </w:r>
            <w:r w:rsidR="00EB19C9">
              <w:rPr>
                <w:rFonts w:asciiTheme="minorHAnsi" w:hAnsiTheme="minorHAnsi"/>
              </w:rPr>
              <w:t>$</w:t>
            </w:r>
            <w:r w:rsidR="007D701C">
              <w:rPr>
                <w:rFonts w:asciiTheme="minorHAnsi" w:hAnsiTheme="minorHAnsi"/>
              </w:rPr>
              <w:t>24,889,230</w:t>
            </w:r>
            <w:r>
              <w:rPr>
                <w:rFonts w:asciiTheme="minorHAnsi" w:hAnsiTheme="minorHAnsi"/>
              </w:rPr>
              <w:t>)</w:t>
            </w:r>
          </w:p>
        </w:tc>
        <w:tc>
          <w:tcPr>
            <w:tcW w:w="2926" w:type="dxa"/>
          </w:tcPr>
          <w:p w:rsidR="00EB19C9" w:rsidRDefault="007D701C" w:rsidP="007D701C">
            <w:pPr>
              <w:spacing w:after="120"/>
              <w:jc w:val="center"/>
              <w:rPr>
                <w:rFonts w:asciiTheme="minorHAnsi" w:hAnsiTheme="minorHAnsi"/>
              </w:rPr>
            </w:pPr>
            <w:r>
              <w:rPr>
                <w:rFonts w:asciiTheme="minorHAnsi" w:hAnsiTheme="minorHAnsi"/>
              </w:rPr>
              <w:t>$11,060,983</w:t>
            </w:r>
          </w:p>
        </w:tc>
      </w:tr>
    </w:tbl>
    <w:p w:rsidR="00EB19C9" w:rsidRPr="005C4713" w:rsidRDefault="00EB19C9" w:rsidP="00EB19C9">
      <w:pPr>
        <w:spacing w:after="120"/>
        <w:rPr>
          <w:rFonts w:ascii="Calibri" w:hAnsi="Calibri"/>
          <w:bCs/>
          <w:sz w:val="20"/>
        </w:rPr>
      </w:pPr>
      <w:r w:rsidRPr="005C4713">
        <w:rPr>
          <w:rFonts w:ascii="Calibri" w:hAnsi="Calibri"/>
          <w:bCs/>
          <w:sz w:val="20"/>
        </w:rPr>
        <w:t>Notes:</w:t>
      </w:r>
    </w:p>
    <w:p w:rsidR="00EB19C9" w:rsidRPr="005C4713" w:rsidRDefault="00EB19C9" w:rsidP="00EB19C9">
      <w:pPr>
        <w:pStyle w:val="ListParagraph"/>
        <w:numPr>
          <w:ilvl w:val="0"/>
          <w:numId w:val="128"/>
        </w:numPr>
        <w:spacing w:after="120"/>
        <w:rPr>
          <w:rFonts w:ascii="Calibri" w:hAnsi="Calibri"/>
          <w:bCs/>
          <w:sz w:val="20"/>
        </w:rPr>
      </w:pPr>
      <w:r w:rsidRPr="005C4713">
        <w:rPr>
          <w:rFonts w:ascii="Calibri" w:hAnsi="Calibri"/>
          <w:bCs/>
          <w:sz w:val="20"/>
        </w:rPr>
        <w:t xml:space="preserve">All costs are annualised and presented in real terms. </w:t>
      </w:r>
    </w:p>
    <w:p w:rsidR="00EB19C9" w:rsidRPr="005C4713" w:rsidRDefault="00EB19C9" w:rsidP="00EB19C9">
      <w:pPr>
        <w:pStyle w:val="ListParagraph"/>
        <w:numPr>
          <w:ilvl w:val="0"/>
          <w:numId w:val="128"/>
        </w:numPr>
        <w:spacing w:after="120"/>
        <w:rPr>
          <w:rFonts w:ascii="Calibri" w:hAnsi="Calibri"/>
          <w:bCs/>
          <w:sz w:val="20"/>
        </w:rPr>
      </w:pPr>
      <w:r w:rsidRPr="005C4713">
        <w:rPr>
          <w:rFonts w:ascii="Calibri" w:hAnsi="Calibri"/>
          <w:bCs/>
          <w:sz w:val="20"/>
        </w:rPr>
        <w:t>Construction and maintenance costs reflect capitalised square meter costs and relative uptake of each system under each option.</w:t>
      </w:r>
    </w:p>
    <w:p w:rsidR="00EB19C9" w:rsidRPr="005C4713" w:rsidRDefault="00EB19C9" w:rsidP="00EB19C9">
      <w:pPr>
        <w:pStyle w:val="ListParagraph"/>
        <w:numPr>
          <w:ilvl w:val="0"/>
          <w:numId w:val="128"/>
        </w:numPr>
        <w:spacing w:after="120"/>
        <w:rPr>
          <w:rFonts w:ascii="Calibri" w:hAnsi="Calibri"/>
          <w:bCs/>
          <w:sz w:val="20"/>
        </w:rPr>
      </w:pPr>
      <w:r w:rsidRPr="005C4713">
        <w:rPr>
          <w:rFonts w:ascii="Calibri" w:hAnsi="Calibri"/>
          <w:bCs/>
          <w:sz w:val="20"/>
        </w:rPr>
        <w:t xml:space="preserve">Training costs incurred for FPAA 101D and FPAA 101H systems only. </w:t>
      </w:r>
    </w:p>
    <w:p w:rsidR="00EB19C9" w:rsidRPr="005C4713" w:rsidRDefault="00EB19C9" w:rsidP="00EB19C9">
      <w:pPr>
        <w:pStyle w:val="ListParagraph"/>
        <w:numPr>
          <w:ilvl w:val="0"/>
          <w:numId w:val="128"/>
        </w:numPr>
        <w:spacing w:after="120"/>
        <w:rPr>
          <w:rFonts w:ascii="Calibri" w:hAnsi="Calibri"/>
          <w:bCs/>
          <w:sz w:val="20"/>
        </w:rPr>
      </w:pPr>
      <w:r>
        <w:rPr>
          <w:rFonts w:ascii="Calibri" w:hAnsi="Calibri"/>
          <w:bCs/>
          <w:sz w:val="20"/>
        </w:rPr>
        <w:t>Training c</w:t>
      </w:r>
      <w:r w:rsidRPr="005C4713">
        <w:rPr>
          <w:rFonts w:ascii="Calibri" w:hAnsi="Calibri"/>
          <w:bCs/>
          <w:sz w:val="20"/>
        </w:rPr>
        <w:t xml:space="preserve">osts to Building Certifiers under Option 1 calculated as 18 x 0.12 x $68.79 x 380 (number of pages x time required x wage rate x number of times performed) </w:t>
      </w:r>
    </w:p>
    <w:p w:rsidR="00EB19C9" w:rsidRDefault="00EB19C9" w:rsidP="00EB19C9">
      <w:pPr>
        <w:pStyle w:val="ListParagraph"/>
        <w:numPr>
          <w:ilvl w:val="0"/>
          <w:numId w:val="128"/>
        </w:numPr>
        <w:spacing w:after="120"/>
        <w:rPr>
          <w:rFonts w:ascii="Calibri" w:hAnsi="Calibri"/>
          <w:bCs/>
          <w:sz w:val="20"/>
        </w:rPr>
      </w:pPr>
      <w:r>
        <w:rPr>
          <w:rFonts w:ascii="Calibri" w:hAnsi="Calibri"/>
          <w:bCs/>
          <w:sz w:val="20"/>
        </w:rPr>
        <w:t>Training c</w:t>
      </w:r>
      <w:r w:rsidR="00C52F85">
        <w:rPr>
          <w:rFonts w:ascii="Calibri" w:hAnsi="Calibri"/>
          <w:bCs/>
          <w:sz w:val="20"/>
        </w:rPr>
        <w:t xml:space="preserve">osts to sprinkler fitters/plumbing practitioners </w:t>
      </w:r>
      <w:r w:rsidRPr="005C4713">
        <w:rPr>
          <w:rFonts w:ascii="Calibri" w:hAnsi="Calibri"/>
          <w:bCs/>
          <w:sz w:val="20"/>
        </w:rPr>
        <w:t>under Option 2 calculated as 18 x 0.12 x $</w:t>
      </w:r>
      <w:r>
        <w:rPr>
          <w:rFonts w:ascii="Calibri" w:hAnsi="Calibri"/>
          <w:bCs/>
          <w:sz w:val="20"/>
        </w:rPr>
        <w:t>80.80</w:t>
      </w:r>
      <w:r w:rsidRPr="005C4713">
        <w:rPr>
          <w:rFonts w:ascii="Calibri" w:hAnsi="Calibri"/>
          <w:bCs/>
          <w:sz w:val="20"/>
        </w:rPr>
        <w:t xml:space="preserve"> x 122 (number of pages x time required x wage rate x number of times performed). </w:t>
      </w:r>
    </w:p>
    <w:p w:rsidR="00EB19C9" w:rsidRPr="005C4713" w:rsidRDefault="00EB19C9" w:rsidP="00EB19C9">
      <w:pPr>
        <w:pStyle w:val="ListParagraph"/>
        <w:numPr>
          <w:ilvl w:val="0"/>
          <w:numId w:val="128"/>
        </w:numPr>
        <w:spacing w:after="120"/>
        <w:rPr>
          <w:rFonts w:ascii="Calibri" w:hAnsi="Calibri"/>
          <w:bCs/>
          <w:sz w:val="20"/>
        </w:rPr>
      </w:pPr>
      <w:r>
        <w:rPr>
          <w:rFonts w:ascii="Calibri" w:hAnsi="Calibri"/>
          <w:bCs/>
          <w:sz w:val="20"/>
        </w:rPr>
        <w:t>Training costs to Plumbing Practitioners follows same method as Building Certifiers with a wage rate of $80.80</w:t>
      </w:r>
    </w:p>
    <w:p w:rsidR="00EB19C9" w:rsidRDefault="00EB19C9" w:rsidP="00EB19C9">
      <w:pPr>
        <w:spacing w:before="240" w:after="120"/>
        <w:rPr>
          <w:rFonts w:asciiTheme="minorHAnsi" w:hAnsiTheme="minorHAnsi"/>
        </w:rPr>
      </w:pPr>
      <w:r>
        <w:rPr>
          <w:rFonts w:asciiTheme="minorHAnsi" w:hAnsiTheme="minorHAnsi"/>
        </w:rPr>
        <w:t>Option 1 imposes a regulatory burden of $</w:t>
      </w:r>
      <w:r w:rsidR="007D701C">
        <w:rPr>
          <w:rFonts w:asciiTheme="minorHAnsi" w:hAnsiTheme="minorHAnsi"/>
        </w:rPr>
        <w:t>24,889,230</w:t>
      </w:r>
      <w:r>
        <w:rPr>
          <w:rFonts w:asciiTheme="minorHAnsi" w:hAnsiTheme="minorHAnsi"/>
        </w:rPr>
        <w:t xml:space="preserve"> of which the Commonwealth’s share is </w:t>
      </w:r>
      <w:r w:rsidR="007D701C">
        <w:rPr>
          <w:rFonts w:asciiTheme="minorHAnsi" w:hAnsiTheme="minorHAnsi"/>
        </w:rPr>
        <w:t>$2,765,537</w:t>
      </w:r>
      <w:r>
        <w:rPr>
          <w:rFonts w:asciiTheme="minorHAnsi" w:hAnsiTheme="minorHAnsi"/>
        </w:rPr>
        <w:t>.</w:t>
      </w:r>
    </w:p>
    <w:p w:rsidR="00EB19C9" w:rsidRDefault="00EB19C9" w:rsidP="00EB19C9">
      <w:pPr>
        <w:spacing w:before="240" w:after="120"/>
        <w:rPr>
          <w:rFonts w:asciiTheme="minorHAnsi" w:hAnsiTheme="minorHAnsi"/>
        </w:rPr>
      </w:pPr>
      <w:r>
        <w:rPr>
          <w:rFonts w:asciiTheme="minorHAnsi" w:hAnsiTheme="minorHAnsi"/>
        </w:rPr>
        <w:t>Option 2 generates a regulatory saving of $</w:t>
      </w:r>
      <w:r w:rsidR="007D701C">
        <w:rPr>
          <w:rFonts w:asciiTheme="minorHAnsi" w:hAnsiTheme="minorHAnsi"/>
        </w:rPr>
        <w:t>11,060,983</w:t>
      </w:r>
      <w:r>
        <w:rPr>
          <w:rFonts w:asciiTheme="minorHAnsi" w:hAnsiTheme="minorHAnsi"/>
        </w:rPr>
        <w:t xml:space="preserve"> of which the Commonwealth’s share is $</w:t>
      </w:r>
      <w:r w:rsidR="007D701C">
        <w:rPr>
          <w:rFonts w:asciiTheme="minorHAnsi" w:hAnsiTheme="minorHAnsi"/>
        </w:rPr>
        <w:t>1,228,998</w:t>
      </w:r>
      <w:r>
        <w:rPr>
          <w:rFonts w:asciiTheme="minorHAnsi" w:hAnsiTheme="minorHAnsi"/>
        </w:rPr>
        <w:t xml:space="preserve">. </w:t>
      </w:r>
    </w:p>
    <w:p w:rsidR="00C72E52" w:rsidRPr="00FD39C2" w:rsidRDefault="00EB19C9" w:rsidP="00971FDA">
      <w:pPr>
        <w:rPr>
          <w:rFonts w:asciiTheme="minorHAnsi" w:hAnsiTheme="minorHAnsi"/>
        </w:rPr>
      </w:pPr>
      <w:r w:rsidRPr="0046448A">
        <w:rPr>
          <w:rFonts w:asciiTheme="minorHAnsi" w:hAnsiTheme="minorHAnsi"/>
        </w:rPr>
        <w:t>Governments of the States and Territories are not required under COAG policy to identify regulatory offset</w:t>
      </w:r>
      <w:r w:rsidR="00FA713B">
        <w:rPr>
          <w:rFonts w:asciiTheme="minorHAnsi" w:hAnsiTheme="minorHAnsi"/>
        </w:rPr>
        <w:t xml:space="preserve">s. </w:t>
      </w:r>
      <w:r w:rsidRPr="0046448A">
        <w:rPr>
          <w:rFonts w:asciiTheme="minorHAnsi" w:hAnsiTheme="minorHAnsi"/>
        </w:rPr>
        <w:t>Some jurisdictions may have their own mechanisms regarding regulatory offsets, which would be a matter for t</w:t>
      </w:r>
      <w:r>
        <w:rPr>
          <w:rFonts w:asciiTheme="minorHAnsi" w:hAnsiTheme="minorHAnsi"/>
        </w:rPr>
        <w:t>hose jurisdictions to consider.</w:t>
      </w:r>
      <w:r w:rsidR="006D4101">
        <w:rPr>
          <w:rFonts w:asciiTheme="minorHAnsi" w:hAnsiTheme="minorHAnsi"/>
        </w:rPr>
        <w:br w:type="page"/>
      </w:r>
    </w:p>
    <w:p w:rsidR="005077D8" w:rsidRPr="00C63369" w:rsidRDefault="005077D8" w:rsidP="00B6645B">
      <w:pPr>
        <w:pStyle w:val="Heading1"/>
      </w:pPr>
      <w:bookmarkStart w:id="49" w:name="_Toc527709108"/>
      <w:bookmarkStart w:id="50" w:name="_Toc471384404"/>
      <w:bookmarkEnd w:id="27"/>
      <w:bookmarkEnd w:id="28"/>
      <w:bookmarkEnd w:id="40"/>
      <w:r w:rsidRPr="00C63369">
        <w:lastRenderedPageBreak/>
        <w:t>Consultation</w:t>
      </w:r>
      <w:bookmarkEnd w:id="49"/>
      <w:r w:rsidRPr="00C63369">
        <w:t xml:space="preserve"> </w:t>
      </w:r>
    </w:p>
    <w:p w:rsidR="005077D8" w:rsidRPr="005077D8" w:rsidRDefault="005077D8" w:rsidP="00B6645B">
      <w:pPr>
        <w:autoSpaceDE w:val="0"/>
        <w:autoSpaceDN w:val="0"/>
        <w:adjustRightInd w:val="0"/>
        <w:spacing w:after="0"/>
        <w:rPr>
          <w:rFonts w:ascii="Calibri" w:hAnsi="Calibri" w:cs="Calibri"/>
          <w:color w:val="000000"/>
        </w:rPr>
      </w:pPr>
      <w:r w:rsidRPr="005077D8">
        <w:rPr>
          <w:rFonts w:ascii="Calibri" w:hAnsi="Calibri" w:cs="Calibri"/>
          <w:color w:val="000000"/>
        </w:rPr>
        <w:t xml:space="preserve">Consultation is the cornerstone of the ABCB’s commitment to create a contemporary and relevant construction code that delivers good societal outcomes for health, safety, amenity and sustainability in the built environment. This must be achieved in the context of good regulatory practice that evaluates the costs and benefits to society, as per the objective of the ABCB’s Inter-Government Agreement. The ABCB recognises the value of engaging constructively with the community and industry in order to achieve this. </w:t>
      </w:r>
    </w:p>
    <w:p w:rsidR="005077D8" w:rsidRDefault="005077D8" w:rsidP="009D5141">
      <w:pPr>
        <w:autoSpaceDE w:val="0"/>
        <w:autoSpaceDN w:val="0"/>
        <w:adjustRightInd w:val="0"/>
        <w:spacing w:after="0"/>
        <w:rPr>
          <w:rFonts w:ascii="Calibri" w:hAnsi="Calibri" w:cs="Calibri"/>
          <w:color w:val="000000"/>
        </w:rPr>
      </w:pPr>
    </w:p>
    <w:p w:rsidR="005077D8" w:rsidRPr="005077D8" w:rsidRDefault="005077D8" w:rsidP="009D5141">
      <w:pPr>
        <w:autoSpaceDE w:val="0"/>
        <w:autoSpaceDN w:val="0"/>
        <w:adjustRightInd w:val="0"/>
        <w:spacing w:after="0"/>
        <w:rPr>
          <w:rFonts w:ascii="Calibri" w:hAnsi="Calibri" w:cs="Calibri"/>
          <w:color w:val="000000"/>
        </w:rPr>
      </w:pPr>
      <w:r w:rsidRPr="005077D8">
        <w:rPr>
          <w:rFonts w:ascii="Calibri" w:hAnsi="Calibri" w:cs="Calibri"/>
          <w:color w:val="000000"/>
        </w:rPr>
        <w:t xml:space="preserve">There were </w:t>
      </w:r>
      <w:r w:rsidR="00FC66E0">
        <w:rPr>
          <w:rFonts w:ascii="Calibri" w:hAnsi="Calibri" w:cs="Calibri"/>
          <w:color w:val="000000"/>
        </w:rPr>
        <w:t>1</w:t>
      </w:r>
      <w:r w:rsidR="00065F74">
        <w:rPr>
          <w:rFonts w:ascii="Calibri" w:hAnsi="Calibri" w:cs="Calibri"/>
          <w:color w:val="000000"/>
        </w:rPr>
        <w:t>5</w:t>
      </w:r>
      <w:r w:rsidRPr="005077D8">
        <w:rPr>
          <w:rFonts w:ascii="Calibri" w:hAnsi="Calibri" w:cs="Calibri"/>
          <w:color w:val="000000"/>
        </w:rPr>
        <w:t xml:space="preserve"> submissions to the Consultation RIS. Submissions were received from the following stakeholders: </w:t>
      </w:r>
    </w:p>
    <w:p w:rsidR="00065F74" w:rsidRPr="004620DD" w:rsidRDefault="00065F74" w:rsidP="009D5141">
      <w:pPr>
        <w:pStyle w:val="ListParagraph"/>
        <w:numPr>
          <w:ilvl w:val="0"/>
          <w:numId w:val="100"/>
        </w:numPr>
        <w:autoSpaceDE w:val="0"/>
        <w:autoSpaceDN w:val="0"/>
        <w:adjustRightInd w:val="0"/>
        <w:spacing w:after="1"/>
        <w:rPr>
          <w:rFonts w:ascii="Calibri" w:hAnsi="Calibri" w:cs="Calibri"/>
          <w:color w:val="000000"/>
        </w:rPr>
      </w:pPr>
      <w:r w:rsidRPr="004620DD">
        <w:rPr>
          <w:rFonts w:ascii="Calibri" w:hAnsi="Calibri" w:cs="Calibri"/>
          <w:color w:val="000000"/>
        </w:rPr>
        <w:t>Acceptable Public Domain</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An Architect</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Australasian Fire and Emergency Services Council (AFAC)</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BGC Construction</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BR Plumbing and Excavations Pty Ltd</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Building Code Group</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 xml:space="preserve">Fire Protection Association of Australia (FPAA) </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FIRE Technical Services</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Housing Industry Association (HIA)</w:t>
      </w:r>
    </w:p>
    <w:p w:rsidR="00065F74" w:rsidRPr="004620DD"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 xml:space="preserve">Master Builders Australia </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National Fire Industry Association</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National Fire Industry Association Australia</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Phillip Chun Compliance</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Plumbing and Pipe Trade Employees Union</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Plumbing Industry Climate Action Centre</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 xml:space="preserve">Property Council of Australia </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 xml:space="preserve">Stephen Grubits and Associates </w:t>
      </w:r>
    </w:p>
    <w:p w:rsidR="00065F74" w:rsidRDefault="00065F74" w:rsidP="009D5141">
      <w:pPr>
        <w:pStyle w:val="ListParagraph"/>
        <w:numPr>
          <w:ilvl w:val="0"/>
          <w:numId w:val="100"/>
        </w:numPr>
        <w:autoSpaceDE w:val="0"/>
        <w:autoSpaceDN w:val="0"/>
        <w:adjustRightInd w:val="0"/>
        <w:spacing w:after="1"/>
        <w:rPr>
          <w:rFonts w:ascii="Calibri" w:hAnsi="Calibri" w:cs="Calibri"/>
          <w:color w:val="000000"/>
        </w:rPr>
      </w:pPr>
      <w:r>
        <w:rPr>
          <w:rFonts w:ascii="Calibri" w:hAnsi="Calibri" w:cs="Calibri"/>
          <w:color w:val="000000"/>
        </w:rPr>
        <w:t xml:space="preserve">UNSW Enabling Built Environment Program </w:t>
      </w:r>
    </w:p>
    <w:p w:rsidR="005077D8" w:rsidRPr="005077D8" w:rsidRDefault="005077D8" w:rsidP="009D5141">
      <w:pPr>
        <w:autoSpaceDE w:val="0"/>
        <w:autoSpaceDN w:val="0"/>
        <w:adjustRightInd w:val="0"/>
        <w:spacing w:after="0"/>
        <w:rPr>
          <w:rFonts w:ascii="Calibri" w:hAnsi="Calibri" w:cs="Calibri"/>
          <w:color w:val="000000"/>
        </w:rPr>
      </w:pPr>
    </w:p>
    <w:p w:rsidR="00756B9C" w:rsidRDefault="00911DD5" w:rsidP="00C55071">
      <w:pPr>
        <w:rPr>
          <w:rFonts w:ascii="Calibri" w:hAnsi="Calibri" w:cs="Calibri"/>
          <w:color w:val="000000"/>
        </w:rPr>
      </w:pPr>
      <w:r>
        <w:rPr>
          <w:rFonts w:ascii="Calibri" w:hAnsi="Calibri" w:cs="Calibri"/>
          <w:color w:val="000000"/>
        </w:rPr>
        <w:t xml:space="preserve">In general respondents were supportive of the </w:t>
      </w:r>
      <w:r w:rsidR="006E618D">
        <w:rPr>
          <w:rFonts w:ascii="Calibri" w:hAnsi="Calibri" w:cs="Calibri"/>
          <w:color w:val="000000"/>
        </w:rPr>
        <w:t>description of the problem</w:t>
      </w:r>
      <w:r w:rsidR="00211114">
        <w:rPr>
          <w:rFonts w:ascii="Calibri" w:hAnsi="Calibri" w:cs="Calibri"/>
          <w:color w:val="000000"/>
        </w:rPr>
        <w:t xml:space="preserve">, </w:t>
      </w:r>
      <w:r w:rsidR="00065F74">
        <w:rPr>
          <w:rFonts w:ascii="Calibri" w:hAnsi="Calibri" w:cs="Calibri"/>
          <w:color w:val="000000"/>
        </w:rPr>
        <w:t>three</w:t>
      </w:r>
      <w:r w:rsidR="00211114">
        <w:rPr>
          <w:rFonts w:ascii="Calibri" w:hAnsi="Calibri" w:cs="Calibri"/>
          <w:color w:val="000000"/>
        </w:rPr>
        <w:t xml:space="preserve"> respondents felt the proposed solution was not commensurate with the problem. Problems </w:t>
      </w:r>
      <w:r w:rsidR="006E618D">
        <w:rPr>
          <w:rFonts w:ascii="Calibri" w:hAnsi="Calibri" w:cs="Calibri"/>
          <w:color w:val="000000"/>
        </w:rPr>
        <w:t xml:space="preserve">outside of the influence of the analysis </w:t>
      </w:r>
      <w:r w:rsidR="00211114">
        <w:rPr>
          <w:rFonts w:ascii="Calibri" w:hAnsi="Calibri" w:cs="Calibri"/>
          <w:color w:val="000000"/>
        </w:rPr>
        <w:t xml:space="preserve">raised </w:t>
      </w:r>
      <w:r w:rsidR="00DC39EC">
        <w:rPr>
          <w:rFonts w:ascii="Calibri" w:hAnsi="Calibri" w:cs="Calibri"/>
          <w:color w:val="000000"/>
        </w:rPr>
        <w:t xml:space="preserve">by respondents </w:t>
      </w:r>
      <w:r w:rsidR="006E618D">
        <w:rPr>
          <w:rFonts w:ascii="Calibri" w:hAnsi="Calibri" w:cs="Calibri"/>
          <w:color w:val="000000"/>
        </w:rPr>
        <w:t xml:space="preserve">included the proportion of buildings less than 4 storeys where fatalities occur, fire service capability and future risks from increased population density. </w:t>
      </w:r>
    </w:p>
    <w:p w:rsidR="006E618D" w:rsidRDefault="00756B9C" w:rsidP="00C55071">
      <w:pPr>
        <w:rPr>
          <w:rFonts w:ascii="Calibri" w:hAnsi="Calibri" w:cs="Calibri"/>
          <w:color w:val="000000"/>
        </w:rPr>
      </w:pPr>
      <w:r>
        <w:rPr>
          <w:rFonts w:ascii="Calibri" w:hAnsi="Calibri" w:cs="Calibri"/>
          <w:color w:val="000000"/>
        </w:rPr>
        <w:t>Valuable te</w:t>
      </w:r>
      <w:r w:rsidR="006E618D">
        <w:rPr>
          <w:rFonts w:ascii="Calibri" w:hAnsi="Calibri" w:cs="Calibri"/>
          <w:color w:val="000000"/>
        </w:rPr>
        <w:t>chnical feedback was</w:t>
      </w:r>
      <w:r w:rsidR="00DC39EC">
        <w:rPr>
          <w:rFonts w:ascii="Calibri" w:hAnsi="Calibri" w:cs="Calibri"/>
          <w:color w:val="000000"/>
        </w:rPr>
        <w:t xml:space="preserve"> received and</w:t>
      </w:r>
      <w:r w:rsidR="006E618D">
        <w:rPr>
          <w:rFonts w:ascii="Calibri" w:hAnsi="Calibri" w:cs="Calibri"/>
          <w:color w:val="000000"/>
        </w:rPr>
        <w:t xml:space="preserve"> considered via the specification’s development process by the proponent</w:t>
      </w:r>
      <w:r w:rsidR="00FA713B">
        <w:rPr>
          <w:rFonts w:ascii="Calibri" w:hAnsi="Calibri" w:cs="Calibri"/>
          <w:color w:val="000000"/>
        </w:rPr>
        <w:t xml:space="preserve">. </w:t>
      </w:r>
      <w:r w:rsidR="00DC39EC">
        <w:rPr>
          <w:rFonts w:ascii="Calibri" w:hAnsi="Calibri" w:cs="Calibri"/>
          <w:color w:val="000000"/>
        </w:rPr>
        <w:t>This</w:t>
      </w:r>
      <w:r w:rsidR="006E618D">
        <w:rPr>
          <w:rFonts w:ascii="Calibri" w:hAnsi="Calibri" w:cs="Calibri"/>
          <w:color w:val="000000"/>
        </w:rPr>
        <w:t xml:space="preserve"> re</w:t>
      </w:r>
      <w:r w:rsidR="00DC39EC">
        <w:rPr>
          <w:rFonts w:ascii="Calibri" w:hAnsi="Calibri" w:cs="Calibri"/>
          <w:color w:val="000000"/>
        </w:rPr>
        <w:t xml:space="preserve">port reflects a revised standard including </w:t>
      </w:r>
      <w:r w:rsidR="006E618D">
        <w:rPr>
          <w:rFonts w:ascii="Calibri" w:hAnsi="Calibri" w:cs="Calibri"/>
          <w:color w:val="000000"/>
        </w:rPr>
        <w:t xml:space="preserve">amendments to the proposal and in some cases </w:t>
      </w:r>
      <w:r>
        <w:rPr>
          <w:rFonts w:ascii="Calibri" w:hAnsi="Calibri" w:cs="Calibri"/>
          <w:color w:val="000000"/>
        </w:rPr>
        <w:t xml:space="preserve">costs </w:t>
      </w:r>
      <w:r w:rsidR="00DC39EC">
        <w:rPr>
          <w:rFonts w:ascii="Calibri" w:hAnsi="Calibri" w:cs="Calibri"/>
          <w:color w:val="000000"/>
        </w:rPr>
        <w:t xml:space="preserve">following </w:t>
      </w:r>
      <w:r w:rsidR="006E618D">
        <w:rPr>
          <w:rFonts w:ascii="Calibri" w:hAnsi="Calibri" w:cs="Calibri"/>
          <w:color w:val="000000"/>
        </w:rPr>
        <w:t xml:space="preserve">further research and consultation. </w:t>
      </w:r>
      <w:r>
        <w:rPr>
          <w:rFonts w:ascii="Calibri" w:hAnsi="Calibri" w:cs="Calibri"/>
          <w:color w:val="000000"/>
        </w:rPr>
        <w:t xml:space="preserve">No </w:t>
      </w:r>
      <w:r w:rsidR="00DC39EC">
        <w:rPr>
          <w:rFonts w:ascii="Calibri" w:hAnsi="Calibri" w:cs="Calibri"/>
          <w:color w:val="000000"/>
        </w:rPr>
        <w:t xml:space="preserve">new </w:t>
      </w:r>
      <w:r>
        <w:rPr>
          <w:rFonts w:ascii="Calibri" w:hAnsi="Calibri" w:cs="Calibri"/>
          <w:color w:val="000000"/>
        </w:rPr>
        <w:t>feasible alternatives to the proposal were identified.</w:t>
      </w:r>
    </w:p>
    <w:p w:rsidR="00911DD5" w:rsidRDefault="00065F74" w:rsidP="00C55071">
      <w:pPr>
        <w:rPr>
          <w:rFonts w:ascii="Calibri" w:hAnsi="Calibri" w:cs="Calibri"/>
          <w:color w:val="000000"/>
        </w:rPr>
      </w:pPr>
      <w:r>
        <w:rPr>
          <w:rFonts w:ascii="Calibri" w:hAnsi="Calibri" w:cs="Calibri"/>
          <w:color w:val="000000"/>
        </w:rPr>
        <w:t>Five</w:t>
      </w:r>
      <w:r w:rsidR="006E618D">
        <w:rPr>
          <w:rFonts w:ascii="Calibri" w:hAnsi="Calibri" w:cs="Calibri"/>
          <w:color w:val="000000"/>
        </w:rPr>
        <w:t xml:space="preserve"> stakeholders raised concerns over industry capability to service the required demand under Option 1</w:t>
      </w:r>
      <w:r w:rsidR="00DC39EC">
        <w:rPr>
          <w:rFonts w:ascii="Calibri" w:hAnsi="Calibri" w:cs="Calibri"/>
          <w:color w:val="000000"/>
        </w:rPr>
        <w:t>,</w:t>
      </w:r>
      <w:r w:rsidR="006E618D">
        <w:rPr>
          <w:rFonts w:ascii="Calibri" w:hAnsi="Calibri" w:cs="Calibri"/>
          <w:color w:val="000000"/>
        </w:rPr>
        <w:t xml:space="preserve"> an area acknowledged by the </w:t>
      </w:r>
      <w:r w:rsidR="00DC39EC">
        <w:rPr>
          <w:rFonts w:ascii="Calibri" w:hAnsi="Calibri" w:cs="Calibri"/>
          <w:color w:val="000000"/>
        </w:rPr>
        <w:t>analysis</w:t>
      </w:r>
      <w:r w:rsidR="006E618D">
        <w:rPr>
          <w:rFonts w:ascii="Calibri" w:hAnsi="Calibri" w:cs="Calibri"/>
          <w:color w:val="000000"/>
        </w:rPr>
        <w:t xml:space="preserve"> as needing to be addressed directly via training.</w:t>
      </w:r>
      <w:r w:rsidR="00756B9C">
        <w:rPr>
          <w:rFonts w:ascii="Calibri" w:hAnsi="Calibri" w:cs="Calibri"/>
          <w:color w:val="000000"/>
        </w:rPr>
        <w:t xml:space="preserve"> Data including market behaviour </w:t>
      </w:r>
      <w:r w:rsidR="00DC39EC">
        <w:rPr>
          <w:rFonts w:ascii="Calibri" w:hAnsi="Calibri" w:cs="Calibri"/>
          <w:color w:val="000000"/>
        </w:rPr>
        <w:t xml:space="preserve">and </w:t>
      </w:r>
      <w:r w:rsidR="00756B9C">
        <w:rPr>
          <w:rFonts w:ascii="Calibri" w:hAnsi="Calibri" w:cs="Calibri"/>
          <w:color w:val="000000"/>
        </w:rPr>
        <w:t>performance solutions, building configurations, maintenance and saleable spa</w:t>
      </w:r>
      <w:r w:rsidR="008A7DC4">
        <w:rPr>
          <w:rFonts w:ascii="Calibri" w:hAnsi="Calibri" w:cs="Calibri"/>
          <w:color w:val="000000"/>
        </w:rPr>
        <w:t>ce was provided from FPAA, Phillip Chun</w:t>
      </w:r>
      <w:r w:rsidR="00756B9C">
        <w:rPr>
          <w:rFonts w:ascii="Calibri" w:hAnsi="Calibri" w:cs="Calibri"/>
          <w:color w:val="000000"/>
        </w:rPr>
        <w:t xml:space="preserve"> Compliance and AFAC. </w:t>
      </w:r>
    </w:p>
    <w:p w:rsidR="00D44B82" w:rsidRPr="002A34A5" w:rsidRDefault="005077D8" w:rsidP="00C55071">
      <w:pPr>
        <w:rPr>
          <w:rFonts w:ascii="Calibri" w:hAnsi="Calibri" w:cs="Calibri"/>
          <w:color w:val="000000"/>
        </w:rPr>
      </w:pPr>
      <w:r w:rsidRPr="005077D8">
        <w:rPr>
          <w:rFonts w:ascii="Calibri" w:hAnsi="Calibri" w:cs="Calibri"/>
          <w:color w:val="000000"/>
        </w:rPr>
        <w:t xml:space="preserve">Responses to consultation questions have been included throughout this document. </w:t>
      </w:r>
      <w:r w:rsidR="00D44B82">
        <w:br w:type="page"/>
      </w:r>
    </w:p>
    <w:p w:rsidR="00C63369" w:rsidRPr="00C63369" w:rsidRDefault="00C63369" w:rsidP="00664BD0">
      <w:pPr>
        <w:pStyle w:val="Heading1"/>
        <w:ind w:left="-284"/>
      </w:pPr>
      <w:bookmarkStart w:id="51" w:name="_Toc471384405"/>
      <w:bookmarkStart w:id="52" w:name="_Toc505333530"/>
      <w:bookmarkStart w:id="53" w:name="_Toc527709109"/>
      <w:bookmarkEnd w:id="50"/>
      <w:r w:rsidRPr="00C63369">
        <w:lastRenderedPageBreak/>
        <w:t>Conclusion</w:t>
      </w:r>
      <w:bookmarkEnd w:id="51"/>
      <w:bookmarkEnd w:id="52"/>
      <w:bookmarkEnd w:id="53"/>
    </w:p>
    <w:p w:rsidR="00D36F01" w:rsidRPr="009D5141" w:rsidRDefault="00CF1423">
      <w:pPr>
        <w:ind w:left="-284"/>
        <w:rPr>
          <w:rFonts w:ascii="Calibri" w:hAnsi="Calibri"/>
        </w:rPr>
      </w:pPr>
      <w:r w:rsidRPr="009D5141">
        <w:rPr>
          <w:rFonts w:ascii="Calibri" w:hAnsi="Calibri"/>
        </w:rPr>
        <w:t xml:space="preserve">The analysis reveals that </w:t>
      </w:r>
      <w:r w:rsidR="009D5141">
        <w:rPr>
          <w:rFonts w:ascii="Calibri" w:hAnsi="Calibri"/>
        </w:rPr>
        <w:t>of the options proposed, Option 2 produces a</w:t>
      </w:r>
      <w:r w:rsidRPr="009D5141">
        <w:rPr>
          <w:rFonts w:ascii="Calibri" w:hAnsi="Calibri"/>
        </w:rPr>
        <w:t xml:space="preserve"> </w:t>
      </w:r>
      <w:r w:rsidR="009D5141">
        <w:rPr>
          <w:rFonts w:ascii="Calibri" w:hAnsi="Calibri"/>
        </w:rPr>
        <w:t xml:space="preserve">small </w:t>
      </w:r>
      <w:r w:rsidR="003E3D03" w:rsidRPr="009D5141">
        <w:rPr>
          <w:rFonts w:ascii="Calibri" w:hAnsi="Calibri"/>
        </w:rPr>
        <w:t>net benefit relative to the status quo.</w:t>
      </w:r>
      <w:r w:rsidRPr="009D5141">
        <w:rPr>
          <w:rFonts w:ascii="Calibri" w:hAnsi="Calibri"/>
        </w:rPr>
        <w:t xml:space="preserve"> </w:t>
      </w:r>
    </w:p>
    <w:p w:rsidR="007F0834" w:rsidRPr="009D5141" w:rsidRDefault="00D36F01" w:rsidP="00CF1423">
      <w:pPr>
        <w:ind w:left="-284"/>
        <w:rPr>
          <w:rFonts w:ascii="Calibri" w:hAnsi="Calibri"/>
        </w:rPr>
      </w:pPr>
      <w:r w:rsidRPr="009D5141">
        <w:rPr>
          <w:rFonts w:ascii="Calibri" w:hAnsi="Calibri"/>
        </w:rPr>
        <w:t xml:space="preserve">The proposed sprinkler specifications and associated offsets present a range of benefits for Class 2 and Class 3 buildings </w:t>
      </w:r>
      <w:r w:rsidR="000A3725" w:rsidRPr="009D5141">
        <w:rPr>
          <w:rFonts w:ascii="Calibri" w:hAnsi="Calibri"/>
        </w:rPr>
        <w:t xml:space="preserve">that </w:t>
      </w:r>
      <w:r w:rsidRPr="009D5141">
        <w:rPr>
          <w:rFonts w:ascii="Calibri" w:hAnsi="Calibri"/>
        </w:rPr>
        <w:t>includ</w:t>
      </w:r>
      <w:r w:rsidR="000A3725" w:rsidRPr="009D5141">
        <w:rPr>
          <w:rFonts w:ascii="Calibri" w:hAnsi="Calibri"/>
        </w:rPr>
        <w:t>e</w:t>
      </w:r>
      <w:r w:rsidRPr="009D5141">
        <w:rPr>
          <w:rFonts w:ascii="Calibri" w:hAnsi="Calibri"/>
        </w:rPr>
        <w:t xml:space="preserve"> reductions in individual and societal risk, </w:t>
      </w:r>
      <w:r w:rsidR="00E906C5" w:rsidRPr="009D5141">
        <w:rPr>
          <w:rFonts w:ascii="Calibri" w:hAnsi="Calibri"/>
        </w:rPr>
        <w:t xml:space="preserve">improved </w:t>
      </w:r>
      <w:r w:rsidRPr="009D5141">
        <w:rPr>
          <w:rFonts w:ascii="Calibri" w:hAnsi="Calibri"/>
        </w:rPr>
        <w:t xml:space="preserve">property protection, </w:t>
      </w:r>
      <w:r w:rsidR="005B1D70" w:rsidRPr="009D5141">
        <w:rPr>
          <w:rFonts w:ascii="Calibri" w:hAnsi="Calibri"/>
        </w:rPr>
        <w:t xml:space="preserve">and where larger buildings are constructed, more flexibility in building design and configuration associated with the removal of other fire safety features. </w:t>
      </w:r>
    </w:p>
    <w:p w:rsidR="009D5141" w:rsidRDefault="005B1D70" w:rsidP="00CF1423">
      <w:pPr>
        <w:ind w:left="-284"/>
        <w:rPr>
          <w:rFonts w:ascii="Calibri" w:hAnsi="Calibri"/>
        </w:rPr>
      </w:pPr>
      <w:r w:rsidRPr="009D5141">
        <w:rPr>
          <w:rFonts w:ascii="Calibri" w:hAnsi="Calibri"/>
        </w:rPr>
        <w:t>Under Option 1</w:t>
      </w:r>
      <w:r w:rsidR="00F11C2C" w:rsidRPr="009D5141">
        <w:rPr>
          <w:rFonts w:ascii="Calibri" w:hAnsi="Calibri"/>
        </w:rPr>
        <w:t>,</w:t>
      </w:r>
      <w:r w:rsidRPr="009D5141">
        <w:rPr>
          <w:rFonts w:ascii="Calibri" w:hAnsi="Calibri"/>
        </w:rPr>
        <w:t xml:space="preserve"> a range of </w:t>
      </w:r>
      <w:r w:rsidR="00E10DFB">
        <w:rPr>
          <w:rFonts w:ascii="Calibri" w:hAnsi="Calibri"/>
        </w:rPr>
        <w:t xml:space="preserve">costs would apply to </w:t>
      </w:r>
      <w:r w:rsidRPr="009D5141">
        <w:rPr>
          <w:rFonts w:ascii="Calibri" w:hAnsi="Calibri"/>
        </w:rPr>
        <w:t xml:space="preserve">specifications </w:t>
      </w:r>
      <w:r w:rsidR="00E10DFB">
        <w:rPr>
          <w:rFonts w:ascii="Calibri" w:hAnsi="Calibri"/>
        </w:rPr>
        <w:t xml:space="preserve">and be </w:t>
      </w:r>
      <w:r w:rsidR="00EA08F6" w:rsidRPr="009D5141">
        <w:rPr>
          <w:rFonts w:ascii="Calibri" w:hAnsi="Calibri"/>
        </w:rPr>
        <w:t xml:space="preserve">offset to differing extents primarily </w:t>
      </w:r>
      <w:r w:rsidR="009D5141">
        <w:rPr>
          <w:rFonts w:ascii="Calibri" w:hAnsi="Calibri"/>
        </w:rPr>
        <w:t xml:space="preserve">through </w:t>
      </w:r>
      <w:r w:rsidR="00EA08F6" w:rsidRPr="009D5141">
        <w:rPr>
          <w:rFonts w:ascii="Calibri" w:hAnsi="Calibri"/>
        </w:rPr>
        <w:t>increased travel distances</w:t>
      </w:r>
      <w:r w:rsidR="00DC39EC">
        <w:rPr>
          <w:rFonts w:ascii="Calibri" w:hAnsi="Calibri"/>
        </w:rPr>
        <w:t xml:space="preserve"> allowing</w:t>
      </w:r>
      <w:r w:rsidR="009D5141">
        <w:rPr>
          <w:rFonts w:ascii="Calibri" w:hAnsi="Calibri"/>
        </w:rPr>
        <w:t xml:space="preserve"> the </w:t>
      </w:r>
      <w:r w:rsidR="00C838DE">
        <w:rPr>
          <w:rFonts w:ascii="Calibri" w:hAnsi="Calibri"/>
        </w:rPr>
        <w:t xml:space="preserve">ability to </w:t>
      </w:r>
      <w:r w:rsidR="007F0834" w:rsidRPr="009D5141">
        <w:rPr>
          <w:rFonts w:ascii="Calibri" w:hAnsi="Calibri"/>
        </w:rPr>
        <w:t>reduc</w:t>
      </w:r>
      <w:r w:rsidR="00C838DE">
        <w:rPr>
          <w:rFonts w:ascii="Calibri" w:hAnsi="Calibri"/>
        </w:rPr>
        <w:t>e</w:t>
      </w:r>
      <w:r w:rsidR="007F0834" w:rsidRPr="009D5141">
        <w:rPr>
          <w:rFonts w:ascii="Calibri" w:hAnsi="Calibri"/>
        </w:rPr>
        <w:t xml:space="preserve"> the number of </w:t>
      </w:r>
      <w:r w:rsidR="009D5141">
        <w:rPr>
          <w:rFonts w:ascii="Calibri" w:hAnsi="Calibri"/>
        </w:rPr>
        <w:t xml:space="preserve">fire-isolated </w:t>
      </w:r>
      <w:r w:rsidR="007F0834" w:rsidRPr="009D5141">
        <w:rPr>
          <w:rFonts w:ascii="Calibri" w:hAnsi="Calibri"/>
        </w:rPr>
        <w:t>stairs</w:t>
      </w:r>
      <w:r w:rsidR="00DC39EC">
        <w:rPr>
          <w:rFonts w:ascii="Calibri" w:hAnsi="Calibri"/>
        </w:rPr>
        <w:t xml:space="preserve"> and to a lesser extent </w:t>
      </w:r>
      <w:r w:rsidR="00E10DFB">
        <w:rPr>
          <w:rFonts w:ascii="Calibri" w:hAnsi="Calibri"/>
        </w:rPr>
        <w:t xml:space="preserve">through </w:t>
      </w:r>
      <w:r w:rsidR="00DC39EC">
        <w:rPr>
          <w:rFonts w:ascii="Calibri" w:hAnsi="Calibri"/>
        </w:rPr>
        <w:t>other offsets and associated maintenance</w:t>
      </w:r>
      <w:r w:rsidR="00190B2C">
        <w:rPr>
          <w:rFonts w:ascii="Calibri" w:hAnsi="Calibri"/>
        </w:rPr>
        <w:t xml:space="preserve">. </w:t>
      </w:r>
      <w:r w:rsidR="00E10DFB">
        <w:rPr>
          <w:rFonts w:ascii="Calibri" w:hAnsi="Calibri"/>
        </w:rPr>
        <w:t xml:space="preserve">Primary </w:t>
      </w:r>
      <w:r w:rsidR="009D5141">
        <w:rPr>
          <w:rFonts w:ascii="Calibri" w:hAnsi="Calibri"/>
        </w:rPr>
        <w:t xml:space="preserve">benefits </w:t>
      </w:r>
      <w:r w:rsidR="0012328B" w:rsidRPr="009D5141">
        <w:rPr>
          <w:rFonts w:ascii="Calibri" w:hAnsi="Calibri"/>
        </w:rPr>
        <w:t xml:space="preserve">are </w:t>
      </w:r>
      <w:r w:rsidR="00E10DFB">
        <w:rPr>
          <w:rFonts w:ascii="Calibri" w:hAnsi="Calibri"/>
        </w:rPr>
        <w:t xml:space="preserve">small and savings are </w:t>
      </w:r>
      <w:r w:rsidR="009D5141">
        <w:rPr>
          <w:rFonts w:ascii="Calibri" w:hAnsi="Calibri"/>
        </w:rPr>
        <w:t xml:space="preserve">driven by those </w:t>
      </w:r>
      <w:r w:rsidR="00985426" w:rsidRPr="009D5141">
        <w:rPr>
          <w:rFonts w:ascii="Calibri" w:hAnsi="Calibri"/>
        </w:rPr>
        <w:t>c</w:t>
      </w:r>
      <w:r w:rsidR="00EA08F6" w:rsidRPr="009D5141">
        <w:rPr>
          <w:rFonts w:ascii="Calibri" w:hAnsi="Calibri"/>
        </w:rPr>
        <w:t>onfiguration</w:t>
      </w:r>
      <w:r w:rsidR="009D5141">
        <w:rPr>
          <w:rFonts w:ascii="Calibri" w:hAnsi="Calibri"/>
        </w:rPr>
        <w:t>s</w:t>
      </w:r>
      <w:r w:rsidR="00EA08F6" w:rsidRPr="009D5141">
        <w:rPr>
          <w:rFonts w:ascii="Calibri" w:hAnsi="Calibri"/>
        </w:rPr>
        <w:t xml:space="preserve"> </w:t>
      </w:r>
      <w:r w:rsidR="00E10DFB">
        <w:rPr>
          <w:rFonts w:ascii="Calibri" w:hAnsi="Calibri"/>
        </w:rPr>
        <w:t>with the potential to</w:t>
      </w:r>
      <w:r w:rsidR="00985426" w:rsidRPr="009D5141">
        <w:rPr>
          <w:rFonts w:ascii="Calibri" w:hAnsi="Calibri"/>
        </w:rPr>
        <w:t xml:space="preserve"> </w:t>
      </w:r>
      <w:r w:rsidR="00E10DFB">
        <w:rPr>
          <w:rFonts w:ascii="Calibri" w:hAnsi="Calibri"/>
        </w:rPr>
        <w:t xml:space="preserve">increased travel distance. </w:t>
      </w:r>
      <w:r w:rsidR="009D5141">
        <w:rPr>
          <w:rFonts w:ascii="Calibri" w:hAnsi="Calibri"/>
        </w:rPr>
        <w:t xml:space="preserve"> </w:t>
      </w:r>
    </w:p>
    <w:p w:rsidR="003612CA" w:rsidRDefault="00E906C5">
      <w:pPr>
        <w:ind w:left="-284"/>
        <w:rPr>
          <w:rFonts w:ascii="Calibri" w:hAnsi="Calibri"/>
        </w:rPr>
      </w:pPr>
      <w:r w:rsidRPr="009D5141">
        <w:rPr>
          <w:rFonts w:ascii="Calibri" w:hAnsi="Calibri"/>
        </w:rPr>
        <w:t xml:space="preserve">The </w:t>
      </w:r>
      <w:r w:rsidR="00EA08F6" w:rsidRPr="009D5141">
        <w:rPr>
          <w:rFonts w:ascii="Calibri" w:hAnsi="Calibri"/>
        </w:rPr>
        <w:t xml:space="preserve">FPAA 101D specification </w:t>
      </w:r>
      <w:r w:rsidR="00985426" w:rsidRPr="009D5141">
        <w:rPr>
          <w:rFonts w:ascii="Calibri" w:hAnsi="Calibri"/>
        </w:rPr>
        <w:t xml:space="preserve">was </w:t>
      </w:r>
      <w:r w:rsidR="00E10DFB">
        <w:rPr>
          <w:rFonts w:ascii="Calibri" w:hAnsi="Calibri"/>
        </w:rPr>
        <w:t>found to be</w:t>
      </w:r>
      <w:r w:rsidR="00E10DFB" w:rsidRPr="009D5141">
        <w:rPr>
          <w:rFonts w:ascii="Calibri" w:hAnsi="Calibri"/>
        </w:rPr>
        <w:t xml:space="preserve"> </w:t>
      </w:r>
      <w:r w:rsidR="00EA08F6" w:rsidRPr="009D5141">
        <w:rPr>
          <w:rFonts w:ascii="Calibri" w:hAnsi="Calibri"/>
        </w:rPr>
        <w:t xml:space="preserve">the most cost effective of all </w:t>
      </w:r>
      <w:r w:rsidR="00985426" w:rsidRPr="009D5141">
        <w:rPr>
          <w:rFonts w:ascii="Calibri" w:hAnsi="Calibri"/>
        </w:rPr>
        <w:t xml:space="preserve">specifications </w:t>
      </w:r>
      <w:r w:rsidR="0012328B" w:rsidRPr="009D5141">
        <w:rPr>
          <w:rFonts w:ascii="Calibri" w:hAnsi="Calibri"/>
        </w:rPr>
        <w:t>under the assessed building configurations</w:t>
      </w:r>
      <w:r w:rsidR="00190B2C">
        <w:rPr>
          <w:rFonts w:ascii="Calibri" w:hAnsi="Calibri"/>
        </w:rPr>
        <w:t>.</w:t>
      </w:r>
      <w:r w:rsidR="0012328B" w:rsidRPr="009D5141">
        <w:rPr>
          <w:rFonts w:ascii="Calibri" w:hAnsi="Calibri"/>
        </w:rPr>
        <w:t xml:space="preserve"> </w:t>
      </w:r>
      <w:r w:rsidR="00190B2C">
        <w:rPr>
          <w:rFonts w:ascii="Calibri" w:hAnsi="Calibri"/>
        </w:rPr>
        <w:t>I</w:t>
      </w:r>
      <w:r w:rsidR="00EA08F6" w:rsidRPr="009D5141">
        <w:rPr>
          <w:rFonts w:ascii="Calibri" w:hAnsi="Calibri"/>
        </w:rPr>
        <w:t xml:space="preserve">t is </w:t>
      </w:r>
      <w:r w:rsidRPr="009D5141">
        <w:rPr>
          <w:rFonts w:ascii="Calibri" w:hAnsi="Calibri"/>
        </w:rPr>
        <w:t xml:space="preserve">assumed </w:t>
      </w:r>
      <w:r w:rsidR="00FD3D36" w:rsidRPr="009D5141">
        <w:rPr>
          <w:rFonts w:ascii="Calibri" w:hAnsi="Calibri"/>
        </w:rPr>
        <w:t>that</w:t>
      </w:r>
      <w:r w:rsidR="00190B2C">
        <w:rPr>
          <w:rFonts w:ascii="Calibri" w:hAnsi="Calibri"/>
        </w:rPr>
        <w:t xml:space="preserve"> where configurations allow,</w:t>
      </w:r>
      <w:r w:rsidR="00FD3D36" w:rsidRPr="009D5141">
        <w:rPr>
          <w:rFonts w:ascii="Calibri" w:hAnsi="Calibri"/>
        </w:rPr>
        <w:t xml:space="preserve"> </w:t>
      </w:r>
      <w:r w:rsidR="00985426" w:rsidRPr="009D5141">
        <w:rPr>
          <w:rFonts w:ascii="Calibri" w:hAnsi="Calibri"/>
        </w:rPr>
        <w:t xml:space="preserve">industry </w:t>
      </w:r>
      <w:r w:rsidR="00FD3D36" w:rsidRPr="009D5141">
        <w:rPr>
          <w:rFonts w:ascii="Calibri" w:hAnsi="Calibri"/>
        </w:rPr>
        <w:t>will</w:t>
      </w:r>
      <w:r w:rsidR="00985426" w:rsidRPr="009D5141">
        <w:rPr>
          <w:rFonts w:ascii="Calibri" w:hAnsi="Calibri"/>
        </w:rPr>
        <w:t xml:space="preserve"> </w:t>
      </w:r>
      <w:r w:rsidR="00EA08F6" w:rsidRPr="009D5141">
        <w:rPr>
          <w:rFonts w:ascii="Calibri" w:hAnsi="Calibri"/>
        </w:rPr>
        <w:t>u</w:t>
      </w:r>
      <w:r w:rsidR="008C4F7F" w:rsidRPr="009D5141">
        <w:rPr>
          <w:rFonts w:ascii="Calibri" w:hAnsi="Calibri"/>
        </w:rPr>
        <w:t>se</w:t>
      </w:r>
      <w:r w:rsidR="00EA08F6" w:rsidRPr="009D5141">
        <w:rPr>
          <w:rFonts w:ascii="Calibri" w:hAnsi="Calibri"/>
        </w:rPr>
        <w:t xml:space="preserve"> </w:t>
      </w:r>
      <w:r w:rsidR="00A1564F">
        <w:rPr>
          <w:rFonts w:ascii="Calibri" w:hAnsi="Calibri"/>
        </w:rPr>
        <w:t>this</w:t>
      </w:r>
      <w:r w:rsidR="00DC39EC">
        <w:rPr>
          <w:rFonts w:ascii="Calibri" w:hAnsi="Calibri"/>
        </w:rPr>
        <w:t xml:space="preserve"> specification</w:t>
      </w:r>
      <w:r w:rsidR="00F058F5">
        <w:rPr>
          <w:rFonts w:ascii="Calibri" w:hAnsi="Calibri"/>
        </w:rPr>
        <w:t>,</w:t>
      </w:r>
      <w:r w:rsidR="00DC39EC">
        <w:rPr>
          <w:rFonts w:ascii="Calibri" w:hAnsi="Calibri"/>
        </w:rPr>
        <w:t xml:space="preserve"> which</w:t>
      </w:r>
      <w:r w:rsidR="00A1564F">
        <w:rPr>
          <w:rFonts w:ascii="Calibri" w:hAnsi="Calibri"/>
        </w:rPr>
        <w:t xml:space="preserve"> also</w:t>
      </w:r>
      <w:r w:rsidR="00DC39EC">
        <w:rPr>
          <w:rFonts w:ascii="Calibri" w:hAnsi="Calibri"/>
        </w:rPr>
        <w:t xml:space="preserve"> </w:t>
      </w:r>
      <w:r w:rsidR="0029712E">
        <w:rPr>
          <w:rFonts w:ascii="Calibri" w:hAnsi="Calibri"/>
        </w:rPr>
        <w:t>requires</w:t>
      </w:r>
      <w:r w:rsidR="00190B2C">
        <w:rPr>
          <w:rFonts w:ascii="Calibri" w:hAnsi="Calibri"/>
        </w:rPr>
        <w:t xml:space="preserve"> the</w:t>
      </w:r>
      <w:r w:rsidR="00190B2C" w:rsidRPr="009D5141">
        <w:rPr>
          <w:rFonts w:ascii="Calibri" w:hAnsi="Calibri"/>
        </w:rPr>
        <w:t xml:space="preserve"> </w:t>
      </w:r>
      <w:r w:rsidR="00985426" w:rsidRPr="009D5141">
        <w:rPr>
          <w:rFonts w:ascii="Calibri" w:hAnsi="Calibri"/>
        </w:rPr>
        <w:t>lowest</w:t>
      </w:r>
      <w:r w:rsidR="00EA08F6" w:rsidRPr="009D5141">
        <w:rPr>
          <w:rFonts w:ascii="Calibri" w:hAnsi="Calibri"/>
        </w:rPr>
        <w:t xml:space="preserve"> ongoing maintenance cost.</w:t>
      </w:r>
      <w:r w:rsidR="0012328B" w:rsidRPr="009D5141">
        <w:rPr>
          <w:rFonts w:ascii="Calibri" w:hAnsi="Calibri"/>
        </w:rPr>
        <w:t xml:space="preserve"> </w:t>
      </w:r>
      <w:r w:rsidR="00E10DFB">
        <w:rPr>
          <w:rFonts w:ascii="Calibri" w:hAnsi="Calibri"/>
        </w:rPr>
        <w:t xml:space="preserve">The analysis recognises </w:t>
      </w:r>
      <w:r w:rsidR="00E10DFB" w:rsidRPr="009D5141">
        <w:rPr>
          <w:rFonts w:ascii="Calibri" w:hAnsi="Calibri"/>
        </w:rPr>
        <w:t>saleable/lettable space</w:t>
      </w:r>
      <w:r w:rsidR="00E10DFB">
        <w:rPr>
          <w:rFonts w:ascii="Calibri" w:hAnsi="Calibri"/>
        </w:rPr>
        <w:t xml:space="preserve"> will be a significant incentive and encourage the uptake of FPAA 101D (under either Option), </w:t>
      </w:r>
      <w:r w:rsidR="00F058F5">
        <w:rPr>
          <w:rFonts w:ascii="Calibri" w:hAnsi="Calibri"/>
        </w:rPr>
        <w:t>al</w:t>
      </w:r>
      <w:r w:rsidR="00E10DFB">
        <w:rPr>
          <w:rFonts w:ascii="Calibri" w:hAnsi="Calibri"/>
        </w:rPr>
        <w:t>though savings are unlikely to extend to those buildings with only a single fire-isolated stair.</w:t>
      </w:r>
      <w:r w:rsidR="00C465E5">
        <w:rPr>
          <w:rFonts w:ascii="Calibri" w:hAnsi="Calibri"/>
        </w:rPr>
        <w:t xml:space="preserve"> </w:t>
      </w:r>
      <w:r w:rsidR="0029712E">
        <w:rPr>
          <w:rFonts w:ascii="Calibri" w:hAnsi="Calibri"/>
        </w:rPr>
        <w:t xml:space="preserve">As not all designs can utilise this configuration, the share of alternative specifications is found to be important. </w:t>
      </w:r>
      <w:r w:rsidR="003612CA">
        <w:rPr>
          <w:rFonts w:ascii="Calibri" w:hAnsi="Calibri"/>
        </w:rPr>
        <w:t xml:space="preserve">Taking these factors into consideration, Option 1 demonstrates a net cost of $74,609,260 in Present Value terms. </w:t>
      </w:r>
    </w:p>
    <w:p w:rsidR="002647AD" w:rsidRDefault="005B1D70">
      <w:pPr>
        <w:ind w:left="-284"/>
        <w:rPr>
          <w:rFonts w:asciiTheme="minorHAnsi" w:hAnsiTheme="minorHAnsi"/>
        </w:rPr>
      </w:pPr>
      <w:r w:rsidRPr="009D5141">
        <w:rPr>
          <w:rFonts w:ascii="Calibri" w:hAnsi="Calibri"/>
        </w:rPr>
        <w:t>A number of key assumptions were varied to assess the robustness of this outcom</w:t>
      </w:r>
      <w:r w:rsidR="00FA713B">
        <w:rPr>
          <w:rFonts w:ascii="Calibri" w:hAnsi="Calibri"/>
        </w:rPr>
        <w:t>e</w:t>
      </w:r>
      <w:r w:rsidR="00E10DFB" w:rsidRPr="00E10DFB">
        <w:rPr>
          <w:rFonts w:ascii="Calibri" w:hAnsi="Calibri"/>
        </w:rPr>
        <w:t xml:space="preserve"> </w:t>
      </w:r>
      <w:r w:rsidR="00E10DFB">
        <w:rPr>
          <w:rFonts w:ascii="Calibri" w:hAnsi="Calibri"/>
        </w:rPr>
        <w:t xml:space="preserve">that </w:t>
      </w:r>
      <w:r w:rsidR="00E10DFB" w:rsidRPr="003612CA">
        <w:rPr>
          <w:rFonts w:ascii="Calibri" w:hAnsi="Calibri"/>
        </w:rPr>
        <w:t>did not change the proportional standing of the options</w:t>
      </w:r>
      <w:r w:rsidR="00FA713B">
        <w:rPr>
          <w:rFonts w:ascii="Calibri" w:hAnsi="Calibri"/>
        </w:rPr>
        <w:t xml:space="preserve">. </w:t>
      </w:r>
      <w:r w:rsidRPr="003612CA">
        <w:rPr>
          <w:rFonts w:ascii="Calibri" w:hAnsi="Calibri"/>
        </w:rPr>
        <w:t xml:space="preserve">The variance of market uptake of the most cost effective specification was found to be most sensitive to change. </w:t>
      </w:r>
      <w:r w:rsidR="00190B2C" w:rsidRPr="003612CA">
        <w:rPr>
          <w:rFonts w:ascii="Calibri" w:hAnsi="Calibri"/>
        </w:rPr>
        <w:t>Raising the uptake of FPAA 101D ha</w:t>
      </w:r>
      <w:r w:rsidR="00E10DFB">
        <w:rPr>
          <w:rFonts w:ascii="Calibri" w:hAnsi="Calibri"/>
        </w:rPr>
        <w:t>d</w:t>
      </w:r>
      <w:r w:rsidR="00190B2C" w:rsidRPr="003612CA">
        <w:rPr>
          <w:rFonts w:ascii="Calibri" w:hAnsi="Calibri"/>
        </w:rPr>
        <w:t xml:space="preserve"> the effect of increasing benefits under both options</w:t>
      </w:r>
      <w:r w:rsidR="00E10DFB">
        <w:rPr>
          <w:rFonts w:ascii="Calibri" w:hAnsi="Calibri"/>
        </w:rPr>
        <w:t xml:space="preserve"> and</w:t>
      </w:r>
      <w:r w:rsidR="00E10DFB">
        <w:rPr>
          <w:rFonts w:asciiTheme="minorHAnsi" w:hAnsiTheme="minorHAnsi"/>
        </w:rPr>
        <w:t xml:space="preserve"> </w:t>
      </w:r>
      <w:r w:rsidR="002647AD">
        <w:rPr>
          <w:rFonts w:asciiTheme="minorHAnsi" w:hAnsiTheme="minorHAnsi"/>
        </w:rPr>
        <w:t xml:space="preserve">produced a small net benefit under Option 1. However, stakeholder feedback on the assumptions used in the Consultation RIS and the known </w:t>
      </w:r>
      <w:r w:rsidR="00E10DFB">
        <w:rPr>
          <w:rFonts w:asciiTheme="minorHAnsi" w:hAnsiTheme="minorHAnsi"/>
        </w:rPr>
        <w:t xml:space="preserve">and unknown </w:t>
      </w:r>
      <w:r w:rsidR="002647AD">
        <w:rPr>
          <w:rFonts w:asciiTheme="minorHAnsi" w:hAnsiTheme="minorHAnsi"/>
        </w:rPr>
        <w:t xml:space="preserve">limitations of the FPAA 101D system suggest </w:t>
      </w:r>
      <w:r w:rsidR="00E10DFB">
        <w:rPr>
          <w:rFonts w:asciiTheme="minorHAnsi" w:hAnsiTheme="minorHAnsi"/>
        </w:rPr>
        <w:t>higher uptake would be</w:t>
      </w:r>
      <w:r w:rsidR="002647AD">
        <w:rPr>
          <w:rFonts w:asciiTheme="minorHAnsi" w:hAnsiTheme="minorHAnsi"/>
        </w:rPr>
        <w:t xml:space="preserve"> unlikely should Option 1 be implemented.</w:t>
      </w:r>
    </w:p>
    <w:p w:rsidR="00FA4292" w:rsidRDefault="00CE5EA4" w:rsidP="00FA4292">
      <w:pPr>
        <w:ind w:left="-284"/>
        <w:rPr>
          <w:rFonts w:ascii="Calibri" w:hAnsi="Calibri"/>
        </w:rPr>
      </w:pPr>
      <w:r w:rsidRPr="009D5141">
        <w:rPr>
          <w:rFonts w:ascii="Calibri" w:hAnsi="Calibri"/>
        </w:rPr>
        <w:t xml:space="preserve">Conversely, Option 2 assumes industry will </w:t>
      </w:r>
      <w:r>
        <w:rPr>
          <w:rFonts w:ascii="Calibri" w:hAnsi="Calibri"/>
        </w:rPr>
        <w:t xml:space="preserve">only </w:t>
      </w:r>
      <w:r w:rsidRPr="009D5141">
        <w:rPr>
          <w:rFonts w:ascii="Calibri" w:hAnsi="Calibri"/>
        </w:rPr>
        <w:t xml:space="preserve">opt for FPAA 101D at the same rate as Option 1 and in </w:t>
      </w:r>
      <w:r w:rsidR="00A1564F">
        <w:rPr>
          <w:rFonts w:ascii="Calibri" w:hAnsi="Calibri"/>
        </w:rPr>
        <w:t>scenarios where it is unable to be used</w:t>
      </w:r>
      <w:r w:rsidRPr="009D5141">
        <w:rPr>
          <w:rFonts w:ascii="Calibri" w:hAnsi="Calibri"/>
        </w:rPr>
        <w:t xml:space="preserve">, revert to the current DtS </w:t>
      </w:r>
      <w:r w:rsidR="00E10DFB">
        <w:rPr>
          <w:rFonts w:ascii="Calibri" w:hAnsi="Calibri"/>
        </w:rPr>
        <w:t>Provisions</w:t>
      </w:r>
      <w:r w:rsidRPr="009D5141">
        <w:rPr>
          <w:rFonts w:ascii="Calibri" w:hAnsi="Calibri"/>
        </w:rPr>
        <w:t>.</w:t>
      </w:r>
      <w:r w:rsidR="00E10DFB">
        <w:rPr>
          <w:rFonts w:ascii="Calibri" w:hAnsi="Calibri"/>
        </w:rPr>
        <w:t xml:space="preserve"> </w:t>
      </w:r>
      <w:r w:rsidR="0029712E" w:rsidRPr="003612CA">
        <w:rPr>
          <w:rFonts w:ascii="Calibri" w:hAnsi="Calibri"/>
        </w:rPr>
        <w:t>For Option 2</w:t>
      </w:r>
      <w:r w:rsidR="00A1564F">
        <w:rPr>
          <w:rFonts w:ascii="Calibri" w:hAnsi="Calibri"/>
        </w:rPr>
        <w:t>,</w:t>
      </w:r>
      <w:r w:rsidR="00190B2C" w:rsidRPr="003612CA">
        <w:rPr>
          <w:rFonts w:ascii="Calibri" w:hAnsi="Calibri"/>
        </w:rPr>
        <w:t xml:space="preserve"> </w:t>
      </w:r>
      <w:r w:rsidR="005B1D70" w:rsidRPr="003612CA">
        <w:rPr>
          <w:rFonts w:ascii="Calibri" w:hAnsi="Calibri"/>
        </w:rPr>
        <w:t xml:space="preserve">even under </w:t>
      </w:r>
      <w:r w:rsidR="00A1564F">
        <w:rPr>
          <w:rFonts w:ascii="Calibri" w:hAnsi="Calibri"/>
        </w:rPr>
        <w:t xml:space="preserve">a </w:t>
      </w:r>
      <w:r w:rsidR="005B1D70" w:rsidRPr="003612CA">
        <w:rPr>
          <w:rFonts w:ascii="Calibri" w:hAnsi="Calibri"/>
        </w:rPr>
        <w:t>low</w:t>
      </w:r>
      <w:r w:rsidR="00A1564F">
        <w:rPr>
          <w:rFonts w:ascii="Calibri" w:hAnsi="Calibri"/>
        </w:rPr>
        <w:t>er than expected uptake,</w:t>
      </w:r>
      <w:r w:rsidR="005B1D70" w:rsidRPr="003612CA">
        <w:rPr>
          <w:rFonts w:ascii="Calibri" w:hAnsi="Calibri"/>
        </w:rPr>
        <w:t xml:space="preserve"> </w:t>
      </w:r>
      <w:r w:rsidR="00FA4292">
        <w:rPr>
          <w:rFonts w:ascii="Calibri" w:hAnsi="Calibri"/>
        </w:rPr>
        <w:t>all scenarios demonstrate a net benefit</w:t>
      </w:r>
      <w:r w:rsidR="005B1D70" w:rsidRPr="003612CA">
        <w:rPr>
          <w:rFonts w:ascii="Calibri" w:hAnsi="Calibri"/>
        </w:rPr>
        <w:t>.</w:t>
      </w:r>
      <w:r w:rsidR="00E10DFB">
        <w:rPr>
          <w:rFonts w:ascii="Calibri" w:hAnsi="Calibri"/>
        </w:rPr>
        <w:t xml:space="preserve"> </w:t>
      </w:r>
      <w:r w:rsidR="00A1564F">
        <w:rPr>
          <w:rFonts w:ascii="Calibri" w:hAnsi="Calibri"/>
        </w:rPr>
        <w:t xml:space="preserve">As </w:t>
      </w:r>
      <w:r w:rsidR="00DC5EDF">
        <w:rPr>
          <w:rFonts w:ascii="Calibri" w:hAnsi="Calibri"/>
        </w:rPr>
        <w:t>Option 2 generates the highest net benefit of $</w:t>
      </w:r>
      <w:r w:rsidR="003612CA">
        <w:rPr>
          <w:rFonts w:ascii="Calibri" w:hAnsi="Calibri"/>
        </w:rPr>
        <w:t>70,956,558</w:t>
      </w:r>
      <w:r w:rsidR="0029712E">
        <w:rPr>
          <w:rFonts w:ascii="Calibri" w:hAnsi="Calibri"/>
        </w:rPr>
        <w:t xml:space="preserve"> </w:t>
      </w:r>
      <w:r w:rsidR="00DC5EDF">
        <w:rPr>
          <w:rFonts w:ascii="Calibri" w:hAnsi="Calibri"/>
        </w:rPr>
        <w:t>in Net Present Value terms</w:t>
      </w:r>
      <w:r w:rsidR="00A1564F">
        <w:rPr>
          <w:rFonts w:ascii="Calibri" w:hAnsi="Calibri"/>
          <w:color w:val="000000"/>
        </w:rPr>
        <w:t>,</w:t>
      </w:r>
      <w:r w:rsidR="00780CC8" w:rsidRPr="00EC61B3">
        <w:rPr>
          <w:rFonts w:ascii="Calibri" w:hAnsi="Calibri"/>
          <w:color w:val="000000"/>
        </w:rPr>
        <w:t xml:space="preserve"> </w:t>
      </w:r>
      <w:r w:rsidR="00A1564F">
        <w:rPr>
          <w:rFonts w:ascii="Calibri" w:hAnsi="Calibri"/>
          <w:color w:val="000000"/>
        </w:rPr>
        <w:t>t</w:t>
      </w:r>
      <w:r w:rsidR="0029712E">
        <w:rPr>
          <w:rFonts w:ascii="Calibri" w:hAnsi="Calibri"/>
          <w:color w:val="000000"/>
        </w:rPr>
        <w:t xml:space="preserve">his RIS recommends </w:t>
      </w:r>
      <w:r w:rsidR="00780CC8" w:rsidRPr="00EC61B3">
        <w:rPr>
          <w:rFonts w:ascii="Calibri" w:hAnsi="Calibri"/>
          <w:color w:val="000000"/>
        </w:rPr>
        <w:t xml:space="preserve">Option 2 </w:t>
      </w:r>
      <w:r w:rsidR="00E10DFB">
        <w:rPr>
          <w:rFonts w:ascii="Calibri" w:hAnsi="Calibri"/>
          <w:color w:val="000000"/>
        </w:rPr>
        <w:t xml:space="preserve">sprinkler protection as an alternative option under the DtS </w:t>
      </w:r>
      <w:r w:rsidR="00F25ED3">
        <w:rPr>
          <w:rFonts w:ascii="Calibri" w:hAnsi="Calibri"/>
        </w:rPr>
        <w:t>for implementation in NCC 2019</w:t>
      </w:r>
      <w:r w:rsidR="00827532" w:rsidRPr="00EC61B3">
        <w:rPr>
          <w:rFonts w:ascii="Calibri" w:hAnsi="Calibri"/>
        </w:rPr>
        <w:t>.</w:t>
      </w:r>
      <w:r w:rsidR="000A3725" w:rsidRPr="00EC61B3">
        <w:rPr>
          <w:rFonts w:ascii="Calibri" w:hAnsi="Calibri"/>
        </w:rPr>
        <w:t xml:space="preserve"> </w:t>
      </w:r>
      <w:bookmarkStart w:id="54" w:name="_Toc527709110"/>
    </w:p>
    <w:p w:rsidR="00FA4292" w:rsidRPr="00FA4292" w:rsidRDefault="001D5EE6" w:rsidP="00FA4292">
      <w:pPr>
        <w:ind w:left="-284"/>
        <w:rPr>
          <w:rFonts w:asciiTheme="majorHAnsi" w:eastAsiaTheme="majorEastAsia" w:hAnsiTheme="majorHAnsi" w:cstheme="majorBidi"/>
          <w:b/>
          <w:bCs/>
          <w:color w:val="002060"/>
          <w:sz w:val="40"/>
          <w:szCs w:val="28"/>
        </w:rPr>
      </w:pPr>
      <w:r w:rsidRPr="00FA4292">
        <w:rPr>
          <w:rFonts w:asciiTheme="majorHAnsi" w:eastAsiaTheme="majorEastAsia" w:hAnsiTheme="majorHAnsi" w:cstheme="majorBidi"/>
          <w:b/>
          <w:bCs/>
          <w:color w:val="002060"/>
          <w:sz w:val="40"/>
          <w:szCs w:val="28"/>
        </w:rPr>
        <w:t>Implementation and Review</w:t>
      </w:r>
      <w:bookmarkEnd w:id="54"/>
    </w:p>
    <w:p w:rsidR="00FA4292" w:rsidRDefault="00475453" w:rsidP="00FA4292">
      <w:pPr>
        <w:ind w:left="-284"/>
        <w:rPr>
          <w:rFonts w:ascii="Calibri" w:hAnsi="Calibri"/>
        </w:rPr>
      </w:pPr>
      <w:r w:rsidRPr="00475453">
        <w:rPr>
          <w:rFonts w:ascii="Calibri" w:hAnsi="Calibri"/>
        </w:rPr>
        <w:t xml:space="preserve">If approved, the measures are proposed for reference in the NCC </w:t>
      </w:r>
      <w:r w:rsidR="0029712E">
        <w:rPr>
          <w:rFonts w:ascii="Calibri" w:hAnsi="Calibri"/>
        </w:rPr>
        <w:t>and</w:t>
      </w:r>
      <w:r w:rsidR="00AD190E">
        <w:rPr>
          <w:rFonts w:ascii="Calibri" w:hAnsi="Calibri"/>
        </w:rPr>
        <w:t xml:space="preserve"> </w:t>
      </w:r>
      <w:r>
        <w:rPr>
          <w:rFonts w:ascii="Calibri" w:hAnsi="Calibri"/>
        </w:rPr>
        <w:t xml:space="preserve">would apply alongside the </w:t>
      </w:r>
      <w:r w:rsidRPr="00475453">
        <w:rPr>
          <w:rFonts w:ascii="Calibri" w:hAnsi="Calibri"/>
        </w:rPr>
        <w:t xml:space="preserve">current </w:t>
      </w:r>
      <w:r>
        <w:rPr>
          <w:rFonts w:ascii="Calibri" w:hAnsi="Calibri"/>
        </w:rPr>
        <w:t xml:space="preserve">NCC DtS </w:t>
      </w:r>
      <w:r w:rsidR="00C762FC">
        <w:rPr>
          <w:rFonts w:ascii="Calibri" w:hAnsi="Calibri"/>
        </w:rPr>
        <w:t>P</w:t>
      </w:r>
      <w:r>
        <w:rPr>
          <w:rFonts w:ascii="Calibri" w:hAnsi="Calibri"/>
        </w:rPr>
        <w:t>rovisions</w:t>
      </w:r>
      <w:r w:rsidR="00046308">
        <w:rPr>
          <w:rFonts w:ascii="Calibri" w:hAnsi="Calibri"/>
        </w:rPr>
        <w:t xml:space="preserve"> in NCC 2019</w:t>
      </w:r>
      <w:r w:rsidRPr="00475453">
        <w:rPr>
          <w:rFonts w:ascii="Calibri" w:hAnsi="Calibri"/>
        </w:rPr>
        <w:t>.</w:t>
      </w:r>
      <w:r w:rsidR="00046308">
        <w:rPr>
          <w:rFonts w:ascii="Calibri" w:hAnsi="Calibri"/>
        </w:rPr>
        <w:t xml:space="preserve"> </w:t>
      </w:r>
    </w:p>
    <w:p w:rsidR="00FA4292" w:rsidRDefault="00475453" w:rsidP="00FA4292">
      <w:pPr>
        <w:ind w:left="-284"/>
        <w:rPr>
          <w:rFonts w:ascii="Calibri" w:hAnsi="Calibri"/>
        </w:rPr>
      </w:pPr>
      <w:r w:rsidRPr="00475453">
        <w:rPr>
          <w:rFonts w:ascii="Calibri" w:hAnsi="Calibri"/>
        </w:rPr>
        <w:t>As a matter of policy, proposed changes to the NCC are released in advance of</w:t>
      </w:r>
      <w:r>
        <w:rPr>
          <w:rFonts w:ascii="Calibri" w:hAnsi="Calibri"/>
        </w:rPr>
        <w:t xml:space="preserve"> </w:t>
      </w:r>
      <w:r w:rsidRPr="00475453">
        <w:rPr>
          <w:rFonts w:ascii="Calibri" w:hAnsi="Calibri"/>
        </w:rPr>
        <w:t>implementation to allow time for familiarisation and education and for industry to</w:t>
      </w:r>
      <w:r>
        <w:rPr>
          <w:rFonts w:ascii="Calibri" w:hAnsi="Calibri"/>
        </w:rPr>
        <w:t xml:space="preserve"> </w:t>
      </w:r>
      <w:r w:rsidRPr="00475453">
        <w:rPr>
          <w:rFonts w:ascii="Calibri" w:hAnsi="Calibri"/>
        </w:rPr>
        <w:t>modify its practices to accommodate the changes.</w:t>
      </w:r>
      <w:r>
        <w:rPr>
          <w:rFonts w:ascii="Calibri" w:hAnsi="Calibri"/>
        </w:rPr>
        <w:t xml:space="preserve"> </w:t>
      </w:r>
      <w:r w:rsidRPr="00475453">
        <w:rPr>
          <w:rFonts w:ascii="Calibri" w:hAnsi="Calibri"/>
        </w:rPr>
        <w:t xml:space="preserve">It is </w:t>
      </w:r>
      <w:r>
        <w:rPr>
          <w:rFonts w:ascii="Calibri" w:hAnsi="Calibri"/>
        </w:rPr>
        <w:t>anticipate</w:t>
      </w:r>
      <w:r w:rsidRPr="00475453">
        <w:rPr>
          <w:rFonts w:ascii="Calibri" w:hAnsi="Calibri"/>
        </w:rPr>
        <w:t xml:space="preserve">d that State </w:t>
      </w:r>
      <w:r>
        <w:rPr>
          <w:rFonts w:ascii="Calibri" w:hAnsi="Calibri"/>
        </w:rPr>
        <w:t>and Territory building A</w:t>
      </w:r>
      <w:r w:rsidR="00AD190E">
        <w:rPr>
          <w:rFonts w:ascii="Calibri" w:hAnsi="Calibri"/>
        </w:rPr>
        <w:t xml:space="preserve">dministrations and </w:t>
      </w:r>
      <w:r w:rsidRPr="00475453">
        <w:rPr>
          <w:rFonts w:ascii="Calibri" w:hAnsi="Calibri"/>
        </w:rPr>
        <w:t xml:space="preserve">industry organisations, in </w:t>
      </w:r>
      <w:r w:rsidRPr="00475453">
        <w:rPr>
          <w:rFonts w:ascii="Calibri" w:hAnsi="Calibri"/>
        </w:rPr>
        <w:lastRenderedPageBreak/>
        <w:t>association with the ABCB, will conduct information</w:t>
      </w:r>
      <w:r>
        <w:rPr>
          <w:rFonts w:ascii="Calibri" w:hAnsi="Calibri"/>
        </w:rPr>
        <w:t xml:space="preserve"> </w:t>
      </w:r>
      <w:r w:rsidR="00F95967">
        <w:rPr>
          <w:rFonts w:ascii="Calibri" w:hAnsi="Calibri"/>
        </w:rPr>
        <w:t>and awareness raising practices</w:t>
      </w:r>
      <w:r w:rsidR="00AD190E">
        <w:rPr>
          <w:rFonts w:ascii="Calibri" w:hAnsi="Calibri"/>
        </w:rPr>
        <w:t xml:space="preserve">. Further </w:t>
      </w:r>
      <w:r w:rsidR="00F95967">
        <w:rPr>
          <w:rFonts w:ascii="Calibri" w:hAnsi="Calibri"/>
        </w:rPr>
        <w:t xml:space="preserve">FPAA have indicated that training </w:t>
      </w:r>
      <w:r w:rsidRPr="00475453">
        <w:rPr>
          <w:rFonts w:ascii="Calibri" w:hAnsi="Calibri"/>
        </w:rPr>
        <w:t>on the new measures</w:t>
      </w:r>
      <w:r w:rsidR="00F95967">
        <w:rPr>
          <w:rFonts w:ascii="Calibri" w:hAnsi="Calibri"/>
        </w:rPr>
        <w:t xml:space="preserve"> will be available ahead of implementation.</w:t>
      </w:r>
      <w:r>
        <w:rPr>
          <w:rFonts w:ascii="Calibri" w:hAnsi="Calibri"/>
        </w:rPr>
        <w:t xml:space="preserve"> </w:t>
      </w:r>
    </w:p>
    <w:p w:rsidR="001D5EE6" w:rsidRPr="00FA4292" w:rsidRDefault="000150B0" w:rsidP="00FA4292">
      <w:pPr>
        <w:ind w:left="-284"/>
        <w:rPr>
          <w:rFonts w:ascii="Calibri" w:hAnsi="Calibri"/>
        </w:rPr>
      </w:pPr>
      <w:r>
        <w:rPr>
          <w:rFonts w:ascii="Calibri" w:hAnsi="Calibri"/>
        </w:rPr>
        <w:t>A specific review of the</w:t>
      </w:r>
      <w:r w:rsidR="00CE5EA4">
        <w:rPr>
          <w:rFonts w:ascii="Calibri" w:hAnsi="Calibri"/>
        </w:rPr>
        <w:t xml:space="preserve"> preferred option</w:t>
      </w:r>
      <w:r>
        <w:rPr>
          <w:rFonts w:ascii="Calibri" w:hAnsi="Calibri"/>
        </w:rPr>
        <w:t xml:space="preserve"> is not planned</w:t>
      </w:r>
      <w:r w:rsidR="00CE5EA4">
        <w:rPr>
          <w:rFonts w:ascii="Calibri" w:hAnsi="Calibri"/>
        </w:rPr>
        <w:t xml:space="preserve"> following its implementation</w:t>
      </w:r>
      <w:r w:rsidR="00FA713B">
        <w:rPr>
          <w:rFonts w:ascii="Calibri" w:hAnsi="Calibri"/>
        </w:rPr>
        <w:t xml:space="preserve">. </w:t>
      </w:r>
      <w:r w:rsidR="00306A19">
        <w:rPr>
          <w:rFonts w:ascii="Calibri" w:hAnsi="Calibri"/>
        </w:rPr>
        <w:t>The NCC is amended on a three yearly cycle and t</w:t>
      </w:r>
      <w:r w:rsidR="00475453" w:rsidRPr="00475453">
        <w:rPr>
          <w:rFonts w:ascii="Calibri" w:hAnsi="Calibri"/>
        </w:rPr>
        <w:t>he</w:t>
      </w:r>
      <w:r w:rsidR="00475453">
        <w:rPr>
          <w:rFonts w:ascii="Calibri" w:hAnsi="Calibri"/>
        </w:rPr>
        <w:t xml:space="preserve"> </w:t>
      </w:r>
      <w:r w:rsidR="00475453" w:rsidRPr="00475453">
        <w:rPr>
          <w:rFonts w:ascii="Calibri" w:hAnsi="Calibri"/>
        </w:rPr>
        <w:t>ABCB maintains regular and extensive consultative relationships with a wide</w:t>
      </w:r>
      <w:r w:rsidR="00475453">
        <w:rPr>
          <w:rFonts w:ascii="Calibri" w:hAnsi="Calibri"/>
        </w:rPr>
        <w:t xml:space="preserve"> </w:t>
      </w:r>
      <w:r w:rsidR="00475453" w:rsidRPr="00475453">
        <w:rPr>
          <w:rFonts w:ascii="Calibri" w:hAnsi="Calibri"/>
        </w:rPr>
        <w:t>range of stakeholders. It relies on this process to identify emerging concerns</w:t>
      </w:r>
      <w:r w:rsidR="00AD190E">
        <w:rPr>
          <w:rFonts w:ascii="Calibri" w:hAnsi="Calibri"/>
        </w:rPr>
        <w:t xml:space="preserve">, </w:t>
      </w:r>
      <w:r>
        <w:rPr>
          <w:rFonts w:ascii="Calibri" w:hAnsi="Calibri"/>
        </w:rPr>
        <w:t xml:space="preserve">and </w:t>
      </w:r>
      <w:r w:rsidR="00AD190E">
        <w:rPr>
          <w:rFonts w:ascii="Calibri" w:hAnsi="Calibri"/>
        </w:rPr>
        <w:t xml:space="preserve">through these relationships can </w:t>
      </w:r>
      <w:r w:rsidR="00306A19">
        <w:rPr>
          <w:rFonts w:ascii="Calibri" w:hAnsi="Calibri"/>
        </w:rPr>
        <w:t>evaluate</w:t>
      </w:r>
      <w:r w:rsidR="00AD190E">
        <w:rPr>
          <w:rFonts w:ascii="Calibri" w:hAnsi="Calibri"/>
        </w:rPr>
        <w:t xml:space="preserve"> the uptake of the </w:t>
      </w:r>
      <w:r w:rsidR="005E6D6A">
        <w:rPr>
          <w:rFonts w:ascii="Calibri" w:hAnsi="Calibri"/>
        </w:rPr>
        <w:t xml:space="preserve">alternative </w:t>
      </w:r>
      <w:r w:rsidR="00AD190E">
        <w:rPr>
          <w:rFonts w:ascii="Calibri" w:hAnsi="Calibri"/>
        </w:rPr>
        <w:t>specifications</w:t>
      </w:r>
      <w:r w:rsidR="005E6D6A">
        <w:rPr>
          <w:rFonts w:ascii="Calibri" w:hAnsi="Calibri"/>
        </w:rPr>
        <w:t xml:space="preserve"> proposed</w:t>
      </w:r>
      <w:r w:rsidR="00306A19">
        <w:rPr>
          <w:rFonts w:ascii="Calibri" w:hAnsi="Calibri"/>
        </w:rPr>
        <w:t xml:space="preserve">, which </w:t>
      </w:r>
      <w:r w:rsidR="00AD190E">
        <w:rPr>
          <w:rFonts w:ascii="Calibri" w:hAnsi="Calibri"/>
        </w:rPr>
        <w:t xml:space="preserve">would serve as an indicator of </w:t>
      </w:r>
      <w:r w:rsidR="00254DBE">
        <w:rPr>
          <w:rFonts w:ascii="Calibri" w:hAnsi="Calibri"/>
        </w:rPr>
        <w:t xml:space="preserve">acceptance and cost </w:t>
      </w:r>
      <w:r w:rsidR="00AD190E">
        <w:rPr>
          <w:rFonts w:ascii="Calibri" w:hAnsi="Calibri"/>
        </w:rPr>
        <w:t>effectiveness.</w:t>
      </w:r>
    </w:p>
    <w:p w:rsidR="00EC61B3" w:rsidRDefault="00EC61B3" w:rsidP="00EC61B3">
      <w:pPr>
        <w:pStyle w:val="Heading1"/>
        <w:rPr>
          <w:rFonts w:ascii="Calibri" w:hAnsi="Calibri"/>
        </w:rPr>
      </w:pPr>
      <w:r>
        <w:rPr>
          <w:rFonts w:ascii="Calibri" w:hAnsi="Calibri"/>
        </w:rPr>
        <w:br w:type="page"/>
      </w:r>
    </w:p>
    <w:p w:rsidR="00EC61B3" w:rsidRDefault="00EC61B3" w:rsidP="00743EB9">
      <w:pPr>
        <w:pStyle w:val="Heading1"/>
        <w:spacing w:before="600"/>
        <w:sectPr w:rsidR="00EC61B3" w:rsidSect="00FE561B">
          <w:footerReference w:type="default" r:id="rId18"/>
          <w:pgSz w:w="11906" w:h="16838"/>
          <w:pgMar w:top="1440" w:right="1274" w:bottom="1440" w:left="1440" w:header="708" w:footer="708" w:gutter="0"/>
          <w:cols w:space="708"/>
          <w:docGrid w:linePitch="360"/>
        </w:sectPr>
      </w:pPr>
      <w:bookmarkStart w:id="55" w:name="_Toc505333531"/>
    </w:p>
    <w:p w:rsidR="00C057CB" w:rsidRDefault="00C057CB" w:rsidP="00811828">
      <w:pPr>
        <w:pStyle w:val="Heading1"/>
        <w:spacing w:before="120"/>
      </w:pPr>
      <w:bookmarkStart w:id="56" w:name="_Toc527709111"/>
      <w:r>
        <w:lastRenderedPageBreak/>
        <w:t>Appendix A</w:t>
      </w:r>
      <w:r w:rsidR="00FA713B">
        <w:t>:</w:t>
      </w:r>
      <w:r>
        <w:t xml:space="preserve"> International Comparison</w:t>
      </w:r>
      <w:bookmarkEnd w:id="55"/>
      <w:bookmarkEnd w:id="56"/>
    </w:p>
    <w:p w:rsidR="002E1A12" w:rsidRPr="0066137C" w:rsidRDefault="002E1A12" w:rsidP="002E1A12">
      <w:pPr>
        <w:rPr>
          <w:rFonts w:asciiTheme="majorHAnsi" w:eastAsiaTheme="majorEastAsia" w:hAnsiTheme="majorHAnsi" w:cstheme="majorBidi"/>
          <w:b/>
          <w:bCs/>
          <w:iCs/>
          <w:color w:val="002060"/>
        </w:rPr>
      </w:pPr>
      <w:r w:rsidRPr="0066137C">
        <w:rPr>
          <w:rFonts w:asciiTheme="majorHAnsi" w:eastAsiaTheme="majorEastAsia" w:hAnsiTheme="majorHAnsi" w:cstheme="majorBidi"/>
          <w:b/>
          <w:bCs/>
          <w:iCs/>
          <w:color w:val="002060"/>
        </w:rPr>
        <w:t xml:space="preserve">Summary of International Approaches </w:t>
      </w:r>
    </w:p>
    <w:p w:rsidR="002E1A12" w:rsidRPr="004C1870" w:rsidRDefault="002E1A12" w:rsidP="002E1A12">
      <w:pPr>
        <w:spacing w:before="120"/>
        <w:rPr>
          <w:rFonts w:asciiTheme="minorHAnsi" w:hAnsiTheme="minorHAnsi"/>
        </w:rPr>
      </w:pPr>
      <w:r w:rsidRPr="004C1870">
        <w:rPr>
          <w:rFonts w:asciiTheme="minorHAnsi" w:hAnsiTheme="minorHAnsi"/>
        </w:rPr>
        <w:t>The ABCB participate</w:t>
      </w:r>
      <w:r>
        <w:rPr>
          <w:rFonts w:asciiTheme="minorHAnsi" w:hAnsiTheme="minorHAnsi"/>
        </w:rPr>
        <w:t>s</w:t>
      </w:r>
      <w:r w:rsidRPr="004C1870">
        <w:rPr>
          <w:rFonts w:asciiTheme="minorHAnsi" w:hAnsiTheme="minorHAnsi"/>
        </w:rPr>
        <w:t xml:space="preserve"> in an international Inter-jurisdictional Regulatory Collaboration Committee (IRCC) that includes 18 me</w:t>
      </w:r>
      <w:r w:rsidR="00FA713B">
        <w:rPr>
          <w:rFonts w:asciiTheme="minorHAnsi" w:hAnsiTheme="minorHAnsi"/>
        </w:rPr>
        <w:t xml:space="preserve">mber countries and affiliates. </w:t>
      </w:r>
      <w:r w:rsidRPr="004C1870">
        <w:rPr>
          <w:rFonts w:asciiTheme="minorHAnsi" w:hAnsiTheme="minorHAnsi"/>
        </w:rPr>
        <w:t>A comparative study of international</w:t>
      </w:r>
      <w:r>
        <w:rPr>
          <w:rFonts w:asciiTheme="minorHAnsi" w:hAnsiTheme="minorHAnsi"/>
        </w:rPr>
        <w:t xml:space="preserve"> building</w:t>
      </w:r>
      <w:r w:rsidRPr="004C1870">
        <w:rPr>
          <w:rFonts w:asciiTheme="minorHAnsi" w:hAnsiTheme="minorHAnsi"/>
        </w:rPr>
        <w:t xml:space="preserve"> regulations has been conducted to determine approaches to fire safety in other jurisdictions based on a survey of IRCC members. </w:t>
      </w:r>
    </w:p>
    <w:p w:rsidR="002E1A12" w:rsidRDefault="002E1A12" w:rsidP="002E1A12">
      <w:pPr>
        <w:rPr>
          <w:rFonts w:ascii="Calibri" w:hAnsi="Calibri"/>
        </w:rPr>
      </w:pPr>
      <w:r w:rsidRPr="0021729D">
        <w:rPr>
          <w:rFonts w:ascii="Calibri" w:hAnsi="Calibri"/>
        </w:rPr>
        <w:t xml:space="preserve">A common rationale for the inclusion of </w:t>
      </w:r>
      <w:r>
        <w:rPr>
          <w:rFonts w:ascii="Calibri" w:hAnsi="Calibri"/>
        </w:rPr>
        <w:t xml:space="preserve">fire </w:t>
      </w:r>
      <w:r w:rsidRPr="0021729D">
        <w:rPr>
          <w:rFonts w:ascii="Calibri" w:hAnsi="Calibri"/>
        </w:rPr>
        <w:t xml:space="preserve">sprinkler systems </w:t>
      </w:r>
      <w:r>
        <w:rPr>
          <w:rFonts w:ascii="Calibri" w:hAnsi="Calibri"/>
        </w:rPr>
        <w:t xml:space="preserve">in buildings </w:t>
      </w:r>
      <w:r w:rsidRPr="0021729D">
        <w:rPr>
          <w:rFonts w:ascii="Calibri" w:hAnsi="Calibri"/>
        </w:rPr>
        <w:t xml:space="preserve">was reported as the practical realities faced by fire authorities when fighting fires above certain heights. Other counties such as Norway reported mandating </w:t>
      </w:r>
      <w:r>
        <w:rPr>
          <w:rFonts w:ascii="Calibri" w:hAnsi="Calibri"/>
        </w:rPr>
        <w:t xml:space="preserve">fire </w:t>
      </w:r>
      <w:r w:rsidRPr="0021729D">
        <w:rPr>
          <w:rFonts w:ascii="Calibri" w:hAnsi="Calibri"/>
        </w:rPr>
        <w:t xml:space="preserve">sprinklers was </w:t>
      </w:r>
      <w:r>
        <w:rPr>
          <w:rFonts w:ascii="Calibri" w:hAnsi="Calibri"/>
        </w:rPr>
        <w:t xml:space="preserve">done </w:t>
      </w:r>
      <w:r w:rsidRPr="0021729D">
        <w:rPr>
          <w:rFonts w:ascii="Calibri" w:hAnsi="Calibri"/>
        </w:rPr>
        <w:t>in recognition of the abilities of v</w:t>
      </w:r>
      <w:r>
        <w:rPr>
          <w:rFonts w:ascii="Calibri" w:hAnsi="Calibri"/>
        </w:rPr>
        <w:t>u</w:t>
      </w:r>
      <w:r w:rsidRPr="0021729D">
        <w:rPr>
          <w:rFonts w:ascii="Calibri" w:hAnsi="Calibri"/>
        </w:rPr>
        <w:t xml:space="preserve">lnerable occupants to identify and use escape paths.  </w:t>
      </w:r>
    </w:p>
    <w:p w:rsidR="002E1A12" w:rsidRDefault="002E1A12" w:rsidP="002E1A12">
      <w:pPr>
        <w:tabs>
          <w:tab w:val="left" w:pos="0"/>
        </w:tabs>
        <w:rPr>
          <w:rFonts w:ascii="Calibri" w:hAnsi="Calibri" w:cs="Arial"/>
        </w:rPr>
      </w:pPr>
      <w:r>
        <w:rPr>
          <w:rFonts w:ascii="Calibri" w:hAnsi="Calibri" w:cs="Arial"/>
        </w:rPr>
        <w:t>Like Australia, Scotland, Sweden, Singapore and Japan include triggers beyond a nominated he</w:t>
      </w:r>
      <w:r w:rsidR="00FA713B">
        <w:rPr>
          <w:rFonts w:ascii="Calibri" w:hAnsi="Calibri" w:cs="Arial"/>
        </w:rPr>
        <w:t xml:space="preserve">ight or fire compartment size. </w:t>
      </w:r>
      <w:r>
        <w:rPr>
          <w:rFonts w:ascii="Calibri" w:hAnsi="Calibri" w:cs="Arial"/>
        </w:rPr>
        <w:t xml:space="preserve">Other jurisdiction’s requirements vary according to the fire safety strategy adopted. </w:t>
      </w:r>
    </w:p>
    <w:p w:rsidR="002E1A12" w:rsidRDefault="002E1A12" w:rsidP="002E1A12">
      <w:pPr>
        <w:tabs>
          <w:tab w:val="left" w:pos="0"/>
        </w:tabs>
        <w:rPr>
          <w:rFonts w:ascii="Calibri" w:hAnsi="Calibri"/>
        </w:rPr>
      </w:pPr>
      <w:r>
        <w:rPr>
          <w:rFonts w:ascii="Calibri" w:hAnsi="Calibri" w:cs="Arial"/>
        </w:rPr>
        <w:t>In Norway’s case, the decision to mandate fire sprinklers is tied to the needs of vulnerable occupants and the directive to adopt mandatory sprinkler protection supports a ‘protect in place’ strategy. I</w:t>
      </w:r>
      <w:r w:rsidRPr="0021729D">
        <w:rPr>
          <w:rFonts w:ascii="Calibri" w:hAnsi="Calibri" w:cs="Arial"/>
        </w:rPr>
        <w:t>n Australia</w:t>
      </w:r>
      <w:r>
        <w:rPr>
          <w:rFonts w:ascii="Calibri" w:hAnsi="Calibri" w:cs="Arial"/>
        </w:rPr>
        <w:t xml:space="preserve">, such strategies are implicit in high care settings, such as hospitals and aged-care buildings. However, strategies for </w:t>
      </w:r>
      <w:r w:rsidRPr="0021729D">
        <w:rPr>
          <w:rFonts w:ascii="Calibri" w:hAnsi="Calibri" w:cs="Arial"/>
        </w:rPr>
        <w:t>building evacuation management</w:t>
      </w:r>
      <w:r w:rsidRPr="0021729D">
        <w:rPr>
          <w:rFonts w:ascii="Calibri" w:hAnsi="Calibri"/>
        </w:rPr>
        <w:t xml:space="preserve"> in residential buildings </w:t>
      </w:r>
      <w:r>
        <w:rPr>
          <w:rFonts w:ascii="Calibri" w:hAnsi="Calibri"/>
        </w:rPr>
        <w:t>will</w:t>
      </w:r>
      <w:r w:rsidRPr="0021729D">
        <w:rPr>
          <w:rFonts w:ascii="Calibri" w:hAnsi="Calibri"/>
        </w:rPr>
        <w:t xml:space="preserve"> </w:t>
      </w:r>
      <w:r>
        <w:rPr>
          <w:rFonts w:ascii="Calibri" w:hAnsi="Calibri"/>
        </w:rPr>
        <w:t xml:space="preserve">be informed by the </w:t>
      </w:r>
      <w:r w:rsidRPr="0021729D">
        <w:rPr>
          <w:rFonts w:ascii="Calibri" w:hAnsi="Calibri"/>
        </w:rPr>
        <w:t xml:space="preserve">building’s fire safety features </w:t>
      </w:r>
      <w:r>
        <w:rPr>
          <w:rFonts w:ascii="Calibri" w:hAnsi="Calibri"/>
        </w:rPr>
        <w:t xml:space="preserve">such as the presence of an </w:t>
      </w:r>
      <w:r w:rsidRPr="0021729D">
        <w:rPr>
          <w:rFonts w:ascii="Calibri" w:hAnsi="Calibri"/>
        </w:rPr>
        <w:t xml:space="preserve">Emergency Warning and Intercommunications System (EWIS). </w:t>
      </w:r>
      <w:r>
        <w:rPr>
          <w:rFonts w:ascii="Calibri" w:hAnsi="Calibri"/>
        </w:rPr>
        <w:t>In buildings less than 25 m in effective height, evacuation is therefore reliant on established building procedures and may include a range of responses including phased evacuation due to initial localised cues to</w:t>
      </w:r>
      <w:r w:rsidRPr="0021729D">
        <w:rPr>
          <w:rFonts w:ascii="Calibri" w:hAnsi="Calibri"/>
        </w:rPr>
        <w:t xml:space="preserve"> evacuate</w:t>
      </w:r>
      <w:r>
        <w:rPr>
          <w:rFonts w:ascii="Calibri" w:hAnsi="Calibri"/>
        </w:rPr>
        <w:t>, p</w:t>
      </w:r>
      <w:r w:rsidRPr="0021729D">
        <w:rPr>
          <w:rFonts w:ascii="Calibri" w:hAnsi="Calibri"/>
        </w:rPr>
        <w:t xml:space="preserve">rotect in place </w:t>
      </w:r>
      <w:r>
        <w:rPr>
          <w:rFonts w:ascii="Calibri" w:hAnsi="Calibri"/>
        </w:rPr>
        <w:t xml:space="preserve">or full evacuation at the direction of </w:t>
      </w:r>
      <w:r w:rsidRPr="0021729D">
        <w:rPr>
          <w:rFonts w:ascii="Calibri" w:hAnsi="Calibri"/>
        </w:rPr>
        <w:t>a</w:t>
      </w:r>
      <w:r>
        <w:rPr>
          <w:rFonts w:ascii="Calibri" w:hAnsi="Calibri"/>
        </w:rPr>
        <w:t>n</w:t>
      </w:r>
      <w:r w:rsidRPr="0021729D">
        <w:rPr>
          <w:rFonts w:ascii="Calibri" w:hAnsi="Calibri"/>
        </w:rPr>
        <w:t xml:space="preserve"> </w:t>
      </w:r>
      <w:r>
        <w:rPr>
          <w:rFonts w:ascii="Calibri" w:hAnsi="Calibri"/>
        </w:rPr>
        <w:t xml:space="preserve">attending fire </w:t>
      </w:r>
      <w:r w:rsidRPr="0021729D">
        <w:rPr>
          <w:rFonts w:ascii="Calibri" w:hAnsi="Calibri"/>
        </w:rPr>
        <w:t>brigade.</w:t>
      </w:r>
      <w:r>
        <w:rPr>
          <w:rFonts w:ascii="Calibri" w:hAnsi="Calibri"/>
        </w:rPr>
        <w:t xml:space="preserve"> </w:t>
      </w:r>
    </w:p>
    <w:p w:rsidR="002E1A12" w:rsidRPr="0021729D" w:rsidRDefault="002E1A12" w:rsidP="002E1A12">
      <w:pPr>
        <w:tabs>
          <w:tab w:val="left" w:pos="0"/>
        </w:tabs>
        <w:rPr>
          <w:rFonts w:ascii="Calibri" w:hAnsi="Calibri"/>
        </w:rPr>
      </w:pPr>
      <w:r>
        <w:rPr>
          <w:rFonts w:ascii="Calibri" w:hAnsi="Calibri"/>
        </w:rPr>
        <w:t>The effect of fire sprinkler protection on evacuation and societal risk has been examined by EFT Consulting by undertaking risk analysis and is discussed in the unintended consequences section of this Final RIS.</w:t>
      </w:r>
    </w:p>
    <w:p w:rsidR="00C057CB" w:rsidRPr="00C057CB" w:rsidRDefault="00C057CB" w:rsidP="00CE3287">
      <w:pPr>
        <w:pStyle w:val="Heading2"/>
      </w:pPr>
      <w:r w:rsidRPr="00C057CB">
        <w:t>Scotland</w:t>
      </w:r>
    </w:p>
    <w:p w:rsidR="00C057CB" w:rsidRDefault="00C057CB" w:rsidP="00FF27C0">
      <w:pPr>
        <w:spacing w:after="120"/>
        <w:rPr>
          <w:rFonts w:ascii="Calibri" w:hAnsi="Calibri"/>
          <w:lang w:val="en-GB"/>
        </w:rPr>
      </w:pPr>
      <w:r w:rsidRPr="0021729D">
        <w:rPr>
          <w:rFonts w:ascii="Calibri" w:hAnsi="Calibri"/>
          <w:lang w:val="en-GB"/>
        </w:rPr>
        <w:t xml:space="preserve">In Scotland new apartment buildings where the top floor is more than 18m above the ground require automatic fire suppression systems to be installed. Under the Technical Handbook 2017 – Non-Domestic, automatic fire suppression such as that which would be used in hotels </w:t>
      </w:r>
      <w:r>
        <w:rPr>
          <w:rFonts w:ascii="Calibri" w:hAnsi="Calibri"/>
          <w:lang w:val="en-GB"/>
        </w:rPr>
        <w:t>is</w:t>
      </w:r>
      <w:r w:rsidRPr="0021729D">
        <w:rPr>
          <w:rFonts w:ascii="Calibri" w:hAnsi="Calibri"/>
          <w:lang w:val="en-GB"/>
        </w:rPr>
        <w:t xml:space="preserve"> an option as part of a fire engineered solution or where the building is designed on the principle of phased evacuation and the top floor is more than 25m above ground. Where a design accommodates simultaneous evacuation of occupants automatic sprinkler protection is not </w:t>
      </w:r>
      <w:r>
        <w:rPr>
          <w:rFonts w:ascii="Calibri" w:hAnsi="Calibri"/>
          <w:lang w:val="en-GB"/>
        </w:rPr>
        <w:t xml:space="preserve">required. </w:t>
      </w:r>
    </w:p>
    <w:p w:rsidR="00C057CB" w:rsidRPr="0021729D" w:rsidRDefault="00C057CB" w:rsidP="00FF27C0">
      <w:pPr>
        <w:spacing w:after="120"/>
        <w:rPr>
          <w:rFonts w:ascii="Calibri" w:hAnsi="Calibri"/>
          <w:lang w:val="en-GB"/>
        </w:rPr>
      </w:pPr>
      <w:r>
        <w:rPr>
          <w:rFonts w:ascii="Calibri" w:hAnsi="Calibri"/>
          <w:lang w:val="en-GB"/>
        </w:rPr>
        <w:t>Re</w:t>
      </w:r>
      <w:r w:rsidRPr="0021729D">
        <w:rPr>
          <w:rFonts w:ascii="Calibri" w:hAnsi="Calibri"/>
          <w:lang w:val="en-GB"/>
        </w:rPr>
        <w:t xml:space="preserve">search from 2015 </w:t>
      </w:r>
      <w:r w:rsidRPr="0021729D">
        <w:rPr>
          <w:rFonts w:ascii="Calibri" w:hAnsi="Calibri"/>
          <w:color w:val="000000"/>
          <w:lang w:val="en-GB"/>
        </w:rPr>
        <w:t xml:space="preserve">provided a marginal case for installing </w:t>
      </w:r>
      <w:r w:rsidR="00B6645B">
        <w:rPr>
          <w:rFonts w:ascii="Calibri" w:hAnsi="Calibri"/>
          <w:color w:val="000000"/>
          <w:lang w:val="en-GB"/>
        </w:rPr>
        <w:t xml:space="preserve">fire </w:t>
      </w:r>
      <w:r w:rsidRPr="0021729D">
        <w:rPr>
          <w:rFonts w:ascii="Calibri" w:hAnsi="Calibri"/>
          <w:color w:val="000000"/>
          <w:lang w:val="en-GB"/>
        </w:rPr>
        <w:t xml:space="preserve">sprinklers in halls of residence </w:t>
      </w:r>
      <w:r>
        <w:rPr>
          <w:rFonts w:ascii="Calibri" w:hAnsi="Calibri"/>
          <w:color w:val="000000"/>
          <w:lang w:val="en-GB"/>
        </w:rPr>
        <w:t xml:space="preserve">(student accommodation) </w:t>
      </w:r>
      <w:r w:rsidRPr="0021729D">
        <w:rPr>
          <w:rFonts w:ascii="Calibri" w:hAnsi="Calibri"/>
          <w:color w:val="000000"/>
          <w:lang w:val="en-GB"/>
        </w:rPr>
        <w:t>based on the benefits associated with property protection.</w:t>
      </w:r>
    </w:p>
    <w:p w:rsidR="00C057CB" w:rsidRPr="00C057CB" w:rsidRDefault="00C057CB" w:rsidP="00CE3287">
      <w:pPr>
        <w:pStyle w:val="Heading2"/>
      </w:pPr>
      <w:r w:rsidRPr="00C057CB">
        <w:t>Norway</w:t>
      </w:r>
    </w:p>
    <w:p w:rsidR="00C057CB" w:rsidRPr="0021729D" w:rsidRDefault="00C057CB" w:rsidP="00FF27C0">
      <w:pPr>
        <w:spacing w:after="120"/>
        <w:rPr>
          <w:rFonts w:ascii="Calibri" w:hAnsi="Calibri"/>
        </w:rPr>
      </w:pPr>
      <w:r w:rsidRPr="0021729D">
        <w:rPr>
          <w:rFonts w:ascii="Calibri" w:hAnsi="Calibri"/>
        </w:rPr>
        <w:t>In 2010 the Norwegian building regulations were amended to require an automatic fire extinguishing system in residential buildings greater than two stor</w:t>
      </w:r>
      <w:r w:rsidR="00FF27C0">
        <w:rPr>
          <w:rFonts w:ascii="Calibri" w:hAnsi="Calibri"/>
        </w:rPr>
        <w:t xml:space="preserve">eys (where a lift is required). </w:t>
      </w:r>
      <w:r w:rsidRPr="0021729D">
        <w:rPr>
          <w:rFonts w:ascii="Calibri" w:hAnsi="Calibri"/>
        </w:rPr>
        <w:t>This change compl</w:t>
      </w:r>
      <w:r w:rsidR="00E906C5">
        <w:rPr>
          <w:rFonts w:ascii="Calibri" w:hAnsi="Calibri"/>
        </w:rPr>
        <w:t>e</w:t>
      </w:r>
      <w:r w:rsidRPr="0021729D">
        <w:rPr>
          <w:rFonts w:ascii="Calibri" w:hAnsi="Calibri"/>
        </w:rPr>
        <w:t xml:space="preserve">mented the recognition of a ‘protect in place’ strategy for occupants with disabilities and </w:t>
      </w:r>
      <w:r w:rsidRPr="0021729D">
        <w:rPr>
          <w:rFonts w:ascii="Calibri" w:hAnsi="Calibri"/>
        </w:rPr>
        <w:lastRenderedPageBreak/>
        <w:t xml:space="preserve">coincided with a requirement for automatic sprinkler protection in hotels, hospitals, health care facilities, care homes or supported accommodation and housing specially designed and intended for persons with disabilities to ensure the fire safety of </w:t>
      </w:r>
      <w:r w:rsidR="00E906C5">
        <w:rPr>
          <w:rFonts w:ascii="Calibri" w:hAnsi="Calibri"/>
        </w:rPr>
        <w:t>vulnerable</w:t>
      </w:r>
      <w:r w:rsidR="00E906C5" w:rsidRPr="0021729D">
        <w:rPr>
          <w:rFonts w:ascii="Calibri" w:hAnsi="Calibri"/>
        </w:rPr>
        <w:t xml:space="preserve"> </w:t>
      </w:r>
      <w:r w:rsidRPr="0021729D">
        <w:rPr>
          <w:rFonts w:ascii="Calibri" w:hAnsi="Calibri"/>
        </w:rPr>
        <w:t>occupants.</w:t>
      </w:r>
    </w:p>
    <w:p w:rsidR="00C057CB" w:rsidRPr="00C057CB" w:rsidRDefault="00C057CB" w:rsidP="00CE3287">
      <w:pPr>
        <w:pStyle w:val="Heading2"/>
      </w:pPr>
      <w:r w:rsidRPr="00C057CB">
        <w:t xml:space="preserve">United States of America </w:t>
      </w:r>
    </w:p>
    <w:p w:rsidR="00C057CB" w:rsidRPr="0021729D" w:rsidRDefault="00C057CB" w:rsidP="00FF27C0">
      <w:pPr>
        <w:spacing w:after="120"/>
        <w:rPr>
          <w:rFonts w:ascii="Calibri" w:hAnsi="Calibri"/>
        </w:rPr>
      </w:pPr>
      <w:r w:rsidRPr="0021729D">
        <w:rPr>
          <w:rFonts w:ascii="Calibri" w:hAnsi="Calibri"/>
        </w:rPr>
        <w:t xml:space="preserve">The International Building Code is a model code published by the International Codes Council for adoption by jurisdictions both within </w:t>
      </w:r>
      <w:r w:rsidR="00FA713B">
        <w:rPr>
          <w:rFonts w:ascii="Calibri" w:hAnsi="Calibri"/>
        </w:rPr>
        <w:t xml:space="preserve">and outside the United States. </w:t>
      </w:r>
      <w:r w:rsidRPr="0021729D">
        <w:rPr>
          <w:rFonts w:ascii="Calibri" w:hAnsi="Calibri"/>
        </w:rPr>
        <w:t>Since 2003, the model code has required all residential occupancies to be sprinkler protected throughout the entire building. This requirement is reported to be universally adopted for buildings other than single houses.</w:t>
      </w:r>
    </w:p>
    <w:p w:rsidR="00C057CB" w:rsidRPr="00C057CB" w:rsidRDefault="00C057CB" w:rsidP="00CE3287">
      <w:pPr>
        <w:pStyle w:val="Heading2"/>
      </w:pPr>
      <w:r w:rsidRPr="00C057CB">
        <w:t>Sweden</w:t>
      </w:r>
    </w:p>
    <w:p w:rsidR="00C057CB" w:rsidRPr="0021729D" w:rsidRDefault="00C057CB" w:rsidP="00FF27C0">
      <w:pPr>
        <w:spacing w:after="120"/>
        <w:rPr>
          <w:rFonts w:ascii="Calibri" w:hAnsi="Calibri"/>
        </w:rPr>
      </w:pPr>
      <w:r w:rsidRPr="0021729D">
        <w:rPr>
          <w:rFonts w:ascii="Calibri" w:hAnsi="Calibri"/>
        </w:rPr>
        <w:t xml:space="preserve">Automatic sprinkler protection is only mandatory in hospitals and in some nursing homes. All buildings greater than 16 storeys (approximately 48 m) are subject to ‘analytic design’ and hotels are suggested to commonly install sprinkler systems to gain concessions to other fire safety requirements. </w:t>
      </w:r>
    </w:p>
    <w:p w:rsidR="00C057CB" w:rsidRPr="00C057CB" w:rsidRDefault="00C057CB" w:rsidP="00CE3287">
      <w:pPr>
        <w:pStyle w:val="Heading2"/>
      </w:pPr>
      <w:r w:rsidRPr="00C057CB">
        <w:t>Singapore</w:t>
      </w:r>
    </w:p>
    <w:p w:rsidR="00C057CB" w:rsidRPr="0021729D" w:rsidRDefault="00C057CB" w:rsidP="00FF27C0">
      <w:pPr>
        <w:spacing w:after="120"/>
        <w:rPr>
          <w:rFonts w:ascii="Calibri" w:hAnsi="Calibri"/>
          <w:color w:val="1F497D"/>
          <w:lang w:val="en-GB"/>
        </w:rPr>
      </w:pPr>
      <w:r w:rsidRPr="0021729D">
        <w:rPr>
          <w:rFonts w:ascii="Calibri" w:hAnsi="Calibri"/>
        </w:rPr>
        <w:t xml:space="preserve">Automatic sprinkler protection is required where the height of a building is greater than 24m or where minimum compartment sizes are exceeded. In a building of mixed use, where a residential component forms the upper storeys, this requirement applies to every storey of the non-residential portion only and any basement not used for residential purposes. </w:t>
      </w:r>
    </w:p>
    <w:p w:rsidR="00C057CB" w:rsidRPr="00C057CB" w:rsidRDefault="00C057CB" w:rsidP="00CE3287">
      <w:pPr>
        <w:pStyle w:val="Heading2"/>
      </w:pPr>
      <w:r w:rsidRPr="00C057CB">
        <w:t>Japan</w:t>
      </w:r>
    </w:p>
    <w:p w:rsidR="003B528F" w:rsidRDefault="00C057CB" w:rsidP="00AF669F">
      <w:pPr>
        <w:rPr>
          <w:rFonts w:ascii="Calibri" w:hAnsi="Calibri"/>
        </w:rPr>
        <w:sectPr w:rsidR="003B528F" w:rsidSect="00FE561B">
          <w:pgSz w:w="11906" w:h="16838"/>
          <w:pgMar w:top="1440" w:right="1274" w:bottom="1440" w:left="1440" w:header="708" w:footer="708" w:gutter="0"/>
          <w:cols w:space="708"/>
          <w:docGrid w:linePitch="360"/>
        </w:sectPr>
      </w:pPr>
      <w:r w:rsidRPr="0021729D">
        <w:rPr>
          <w:rFonts w:ascii="Calibri" w:hAnsi="Calibri"/>
        </w:rPr>
        <w:t xml:space="preserve">Residential buildings greater than 11 storeys (approximately 33 m) require automatic sprinkler protection. For hotels greater than 11 storeys, the trigger applies where the floor area exceeds </w:t>
      </w:r>
      <w:r>
        <w:rPr>
          <w:rFonts w:ascii="Calibri" w:hAnsi="Calibri"/>
        </w:rPr>
        <w:br/>
      </w:r>
      <w:r w:rsidRPr="0021729D">
        <w:rPr>
          <w:rFonts w:ascii="Calibri" w:hAnsi="Calibri"/>
        </w:rPr>
        <w:t>6,000m</w:t>
      </w:r>
      <w:r w:rsidRPr="00670079">
        <w:rPr>
          <w:rFonts w:ascii="Calibri" w:hAnsi="Calibri"/>
          <w:vertAlign w:val="superscript"/>
        </w:rPr>
        <w:t>2</w:t>
      </w:r>
      <w:r w:rsidRPr="0021729D">
        <w:rPr>
          <w:rFonts w:ascii="Calibri" w:hAnsi="Calibri"/>
        </w:rPr>
        <w:t>. For buildings of lesser height, floors from 4th to 10th with a floor area that exceeds 1,500 m</w:t>
      </w:r>
      <w:r w:rsidRPr="00C057CB">
        <w:rPr>
          <w:rFonts w:ascii="Calibri" w:hAnsi="Calibri"/>
          <w:vertAlign w:val="superscript"/>
        </w:rPr>
        <w:t>2</w:t>
      </w:r>
      <w:r w:rsidRPr="0021729D">
        <w:rPr>
          <w:rFonts w:ascii="Calibri" w:hAnsi="Calibri"/>
        </w:rPr>
        <w:t xml:space="preserve"> require sprinkler protection. In other residential type buildings such as hospitals and welfare facilities, a requirement to install </w:t>
      </w:r>
      <w:r w:rsidR="00B6645B">
        <w:rPr>
          <w:rFonts w:ascii="Calibri" w:hAnsi="Calibri"/>
        </w:rPr>
        <w:t xml:space="preserve">fire </w:t>
      </w:r>
      <w:r w:rsidRPr="0021729D">
        <w:rPr>
          <w:rFonts w:ascii="Calibri" w:hAnsi="Calibri"/>
        </w:rPr>
        <w:t xml:space="preserve">sprinklers exists where a floor area trigger of greater than </w:t>
      </w:r>
      <w:r>
        <w:rPr>
          <w:rFonts w:ascii="Calibri" w:hAnsi="Calibri"/>
        </w:rPr>
        <w:t>275 m</w:t>
      </w:r>
      <w:r w:rsidRPr="003B496B">
        <w:rPr>
          <w:rFonts w:ascii="Calibri" w:hAnsi="Calibri"/>
          <w:vertAlign w:val="superscript"/>
        </w:rPr>
        <w:t>2</w:t>
      </w:r>
      <w:r w:rsidR="00227EC1">
        <w:rPr>
          <w:rFonts w:ascii="Calibri" w:hAnsi="Calibri"/>
        </w:rPr>
        <w:t xml:space="preserve"> is exceeded.</w:t>
      </w:r>
    </w:p>
    <w:p w:rsidR="003B528F" w:rsidRPr="00FF27C0" w:rsidRDefault="003B528F" w:rsidP="00943040">
      <w:pPr>
        <w:pStyle w:val="Heading1"/>
        <w:rPr>
          <w:rFonts w:ascii="Calibri" w:hAnsi="Calibri"/>
        </w:rPr>
      </w:pPr>
      <w:bookmarkStart w:id="57" w:name="_Toc498345996"/>
      <w:bookmarkStart w:id="58" w:name="_Toc492020137"/>
      <w:bookmarkStart w:id="59" w:name="_Toc492023883"/>
      <w:bookmarkStart w:id="60" w:name="_Toc491433205"/>
      <w:bookmarkEnd w:id="57"/>
      <w:bookmarkEnd w:id="58"/>
      <w:bookmarkEnd w:id="59"/>
      <w:bookmarkEnd w:id="60"/>
    </w:p>
    <w:sectPr w:rsidR="003B528F" w:rsidRPr="00FF27C0" w:rsidSect="004822D3">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C93" w:rsidRDefault="00171C93" w:rsidP="00AE1F7F">
      <w:pPr>
        <w:spacing w:after="0" w:line="240" w:lineRule="auto"/>
      </w:pPr>
      <w:r>
        <w:separator/>
      </w:r>
    </w:p>
  </w:endnote>
  <w:endnote w:type="continuationSeparator" w:id="0">
    <w:p w:rsidR="00171C93" w:rsidRDefault="00171C93" w:rsidP="00AE1F7F">
      <w:pPr>
        <w:spacing w:after="0" w:line="240" w:lineRule="auto"/>
      </w:pPr>
      <w:r>
        <w:continuationSeparator/>
      </w:r>
    </w:p>
  </w:endnote>
  <w:endnote w:type="continuationNotice" w:id="1">
    <w:p w:rsidR="00171C93" w:rsidRDefault="00171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vidence">
    <w:altName w:val="Calibri"/>
    <w:charset w:val="00"/>
    <w:family w:val="auto"/>
    <w:pitch w:val="variable"/>
    <w:sig w:usb0="00000003" w:usb1="08000040" w:usb2="14000000" w:usb3="00000000" w:csb0="00000001" w:csb1="00000000"/>
  </w:font>
  <w:font w:name="HelveticaNeue-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797517"/>
      <w:docPartObj>
        <w:docPartGallery w:val="Page Numbers (Bottom of Page)"/>
        <w:docPartUnique/>
      </w:docPartObj>
    </w:sdtPr>
    <w:sdtEndPr>
      <w:rPr>
        <w:noProof/>
      </w:rPr>
    </w:sdtEndPr>
    <w:sdtContent>
      <w:p w:rsidR="00F70B53" w:rsidRDefault="00F70B53">
        <w:pPr>
          <w:pStyle w:val="Footer"/>
          <w:jc w:val="right"/>
        </w:pPr>
        <w:r>
          <w:fldChar w:fldCharType="begin"/>
        </w:r>
        <w:r>
          <w:instrText xml:space="preserve"> PAGE   \* MERGEFORMAT </w:instrText>
        </w:r>
        <w:r>
          <w:fldChar w:fldCharType="separate"/>
        </w:r>
        <w:r w:rsidR="00B63817">
          <w:rPr>
            <w:noProof/>
          </w:rPr>
          <w:t>4</w:t>
        </w:r>
        <w:r>
          <w:rPr>
            <w:noProof/>
          </w:rPr>
          <w:fldChar w:fldCharType="end"/>
        </w:r>
      </w:p>
    </w:sdtContent>
  </w:sdt>
  <w:p w:rsidR="00F70B53" w:rsidRDefault="00F70B53" w:rsidP="00492EB4">
    <w:pPr>
      <w:pStyle w:val="Footer"/>
      <w:tabs>
        <w:tab w:val="clear" w:pos="4513"/>
        <w:tab w:val="clear" w:pos="9026"/>
        <w:tab w:val="left" w:pos="5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F70B53">
      <w:tc>
        <w:tcPr>
          <w:tcW w:w="500" w:type="pct"/>
          <w:tcBorders>
            <w:top w:val="single" w:sz="4" w:space="0" w:color="C45911" w:themeColor="accent2" w:themeShade="BF"/>
          </w:tcBorders>
          <w:shd w:val="clear" w:color="auto" w:fill="C45911" w:themeFill="accent2" w:themeFillShade="BF"/>
        </w:tcPr>
        <w:p w:rsidR="00F70B53" w:rsidRDefault="00F70B53">
          <w:pPr>
            <w:pStyle w:val="Footer"/>
            <w:jc w:val="right"/>
            <w:rPr>
              <w:b/>
              <w:bCs/>
              <w:color w:val="FFFFFF" w:themeColor="background1"/>
            </w:rPr>
          </w:pPr>
          <w:r>
            <w:fldChar w:fldCharType="begin"/>
          </w:r>
          <w:r>
            <w:instrText xml:space="preserve"> PAGE   \* MERGEFORMAT </w:instrText>
          </w:r>
          <w:r>
            <w:fldChar w:fldCharType="separate"/>
          </w:r>
          <w:r w:rsidRPr="004822D3">
            <w:rPr>
              <w:noProof/>
              <w:color w:val="FFFFFF" w:themeColor="background1"/>
            </w:rPr>
            <w:t>1</w:t>
          </w:r>
          <w:r>
            <w:rPr>
              <w:noProof/>
              <w:color w:val="FFFFFF" w:themeColor="background1"/>
            </w:rPr>
            <w:fldChar w:fldCharType="end"/>
          </w:r>
        </w:p>
      </w:tc>
      <w:tc>
        <w:tcPr>
          <w:tcW w:w="4500" w:type="pct"/>
          <w:tcBorders>
            <w:top w:val="single" w:sz="4" w:space="0" w:color="auto"/>
          </w:tcBorders>
        </w:tcPr>
        <w:p w:rsidR="00F70B53" w:rsidRDefault="00F70B53">
          <w:pPr>
            <w:pStyle w:val="Footer"/>
          </w:pPr>
          <w:r>
            <w:rPr>
              <w:noProof/>
            </w:rPr>
            <w:fldChar w:fldCharType="begin"/>
          </w:r>
          <w:r>
            <w:rPr>
              <w:noProof/>
            </w:rPr>
            <w:instrText xml:space="preserve"> STYLEREF  "1"  </w:instrText>
          </w:r>
          <w:r>
            <w:rPr>
              <w:noProof/>
            </w:rPr>
            <w:fldChar w:fldCharType="separate"/>
          </w:r>
          <w:r>
            <w:rPr>
              <w:noProof/>
            </w:rPr>
            <w:t>Table of Contents</w:t>
          </w:r>
          <w:r>
            <w:rPr>
              <w:noProof/>
            </w:rPr>
            <w:fldChar w:fldCharType="end"/>
          </w:r>
          <w:r>
            <w:t xml:space="preserve"> | INDUSTRY</w:t>
          </w:r>
        </w:p>
      </w:tc>
    </w:tr>
  </w:tbl>
  <w:p w:rsidR="00F70B53" w:rsidRDefault="00F70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11871"/>
      <w:docPartObj>
        <w:docPartGallery w:val="Page Numbers (Bottom of Page)"/>
        <w:docPartUnique/>
      </w:docPartObj>
    </w:sdtPr>
    <w:sdtEndPr>
      <w:rPr>
        <w:noProof/>
      </w:rPr>
    </w:sdtEndPr>
    <w:sdtContent>
      <w:p w:rsidR="00F70B53" w:rsidRDefault="00F70B53">
        <w:pPr>
          <w:pStyle w:val="Footer"/>
          <w:jc w:val="right"/>
        </w:pPr>
        <w:r>
          <w:fldChar w:fldCharType="begin"/>
        </w:r>
        <w:r>
          <w:instrText xml:space="preserve"> PAGE   \* MERGEFORMAT </w:instrText>
        </w:r>
        <w:r>
          <w:fldChar w:fldCharType="separate"/>
        </w:r>
        <w:r w:rsidR="00B63817">
          <w:rPr>
            <w:noProof/>
          </w:rPr>
          <w:t>26</w:t>
        </w:r>
        <w:r>
          <w:rPr>
            <w:noProof/>
          </w:rPr>
          <w:fldChar w:fldCharType="end"/>
        </w:r>
      </w:p>
    </w:sdtContent>
  </w:sdt>
  <w:p w:rsidR="00F70B53" w:rsidRDefault="00F70B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C93" w:rsidRDefault="00171C93" w:rsidP="00AE1F7F">
      <w:pPr>
        <w:spacing w:after="0" w:line="240" w:lineRule="auto"/>
      </w:pPr>
      <w:r>
        <w:separator/>
      </w:r>
    </w:p>
  </w:footnote>
  <w:footnote w:type="continuationSeparator" w:id="0">
    <w:p w:rsidR="00171C93" w:rsidRDefault="00171C93" w:rsidP="00AE1F7F">
      <w:pPr>
        <w:spacing w:after="0" w:line="240" w:lineRule="auto"/>
      </w:pPr>
      <w:r>
        <w:continuationSeparator/>
      </w:r>
    </w:p>
  </w:footnote>
  <w:footnote w:type="continuationNotice" w:id="1">
    <w:p w:rsidR="00171C93" w:rsidRDefault="00171C93">
      <w:pPr>
        <w:spacing w:after="0" w:line="240" w:lineRule="auto"/>
      </w:pPr>
    </w:p>
  </w:footnote>
  <w:footnote w:id="2">
    <w:p w:rsidR="00F70B53" w:rsidRDefault="00F70B53" w:rsidP="00104179">
      <w:pPr>
        <w:pStyle w:val="FootnoteText"/>
      </w:pPr>
      <w:r w:rsidRPr="00837B6B">
        <w:rPr>
          <w:rStyle w:val="FootnoteReference"/>
        </w:rPr>
        <w:footnoteRef/>
      </w:r>
      <w:r w:rsidRPr="00837B6B">
        <w:t xml:space="preserve"> </w:t>
      </w:r>
      <w:r w:rsidRPr="00C4384D">
        <w:rPr>
          <w:rFonts w:asciiTheme="minorHAnsi" w:hAnsiTheme="minorHAnsi"/>
        </w:rPr>
        <w:t xml:space="preserve">Class 3 </w:t>
      </w:r>
      <w:r>
        <w:rPr>
          <w:rFonts w:asciiTheme="minorHAnsi" w:hAnsiTheme="minorHAnsi"/>
        </w:rPr>
        <w:t>residential care b</w:t>
      </w:r>
      <w:r w:rsidRPr="00737044">
        <w:rPr>
          <w:rFonts w:asciiTheme="minorHAnsi" w:hAnsiTheme="minorHAnsi"/>
        </w:rPr>
        <w:t xml:space="preserve">uildings accommodating the aged, children or people with disability are required to </w:t>
      </w:r>
      <w:r w:rsidRPr="00837B6B">
        <w:rPr>
          <w:rFonts w:asciiTheme="minorHAnsi" w:hAnsiTheme="minorHAnsi"/>
        </w:rPr>
        <w:t>have automatic fire sprinklers as a consequence of amendments to</w:t>
      </w:r>
      <w:r>
        <w:rPr>
          <w:rFonts w:asciiTheme="minorHAnsi" w:hAnsiTheme="minorHAnsi"/>
        </w:rPr>
        <w:t xml:space="preserve"> the DtS Provisions of</w:t>
      </w:r>
      <w:r w:rsidRPr="00837B6B">
        <w:rPr>
          <w:rFonts w:asciiTheme="minorHAnsi" w:hAnsiTheme="minorHAnsi"/>
        </w:rPr>
        <w:t xml:space="preserve"> NCC 2019 and are therefore not within the scope of this analysis.</w:t>
      </w:r>
    </w:p>
  </w:footnote>
  <w:footnote w:id="3">
    <w:p w:rsidR="00F70B53" w:rsidRPr="00F17556" w:rsidRDefault="00F70B53" w:rsidP="00837B6B">
      <w:pPr>
        <w:rPr>
          <w:sz w:val="20"/>
        </w:rPr>
      </w:pPr>
      <w:r>
        <w:rPr>
          <w:rStyle w:val="FootnoteReference"/>
        </w:rPr>
        <w:footnoteRef/>
      </w:r>
      <w:r>
        <w:t xml:space="preserve"> </w:t>
      </w:r>
      <w:r w:rsidRPr="00C4384D">
        <w:rPr>
          <w:rFonts w:asciiTheme="minorHAnsi" w:hAnsiTheme="minorHAnsi"/>
          <w:sz w:val="20"/>
        </w:rPr>
        <w:t xml:space="preserve">Class 3 </w:t>
      </w:r>
      <w:r>
        <w:rPr>
          <w:rFonts w:asciiTheme="minorHAnsi" w:hAnsiTheme="minorHAnsi"/>
          <w:sz w:val="20"/>
        </w:rPr>
        <w:t>residential care b</w:t>
      </w:r>
      <w:r w:rsidRPr="00F17556">
        <w:rPr>
          <w:rFonts w:asciiTheme="minorHAnsi" w:hAnsiTheme="minorHAnsi"/>
          <w:sz w:val="20"/>
        </w:rPr>
        <w:t xml:space="preserve">uildings accommodating the aged, children or people with disability are required to have automatic fire sprinklers as a consequence of amendments to </w:t>
      </w:r>
      <w:r w:rsidRPr="0084789A">
        <w:rPr>
          <w:rFonts w:asciiTheme="minorHAnsi" w:hAnsiTheme="minorHAnsi"/>
          <w:sz w:val="20"/>
        </w:rPr>
        <w:t>the DtS Provisions of</w:t>
      </w:r>
      <w:r w:rsidRPr="00F17556">
        <w:rPr>
          <w:rFonts w:asciiTheme="minorHAnsi" w:hAnsiTheme="minorHAnsi"/>
          <w:sz w:val="20"/>
        </w:rPr>
        <w:t xml:space="preserve"> NCC 2019 and are therefore not within the scope of this analysis.</w:t>
      </w:r>
    </w:p>
    <w:p w:rsidR="00F70B53" w:rsidRDefault="00F70B53">
      <w:pPr>
        <w:pStyle w:val="FootnoteText"/>
      </w:pPr>
    </w:p>
  </w:footnote>
  <w:footnote w:id="4">
    <w:p w:rsidR="00F70B53" w:rsidRDefault="00F70B53" w:rsidP="00F02B1E">
      <w:pPr>
        <w:pStyle w:val="FootnoteText"/>
      </w:pPr>
      <w:r>
        <w:rPr>
          <w:rStyle w:val="FootnoteReference"/>
        </w:rPr>
        <w:footnoteRef/>
      </w:r>
      <w:r>
        <w:t xml:space="preserve"> </w:t>
      </w:r>
      <w:r w:rsidRPr="00FE3334">
        <w:rPr>
          <w:rFonts w:asciiTheme="minorHAnsi" w:hAnsiTheme="minorHAnsi"/>
        </w:rPr>
        <w:t>F</w:t>
      </w:r>
      <w:r>
        <w:rPr>
          <w:rFonts w:asciiTheme="minorHAnsi" w:hAnsiTheme="minorHAnsi"/>
        </w:rPr>
        <w:t xml:space="preserve">ire </w:t>
      </w:r>
      <w:r w:rsidRPr="00FE3334">
        <w:rPr>
          <w:rFonts w:asciiTheme="minorHAnsi" w:hAnsiTheme="minorHAnsi"/>
        </w:rPr>
        <w:t>C</w:t>
      </w:r>
      <w:r>
        <w:rPr>
          <w:rFonts w:asciiTheme="minorHAnsi" w:hAnsiTheme="minorHAnsi"/>
        </w:rPr>
        <w:t xml:space="preserve">entre </w:t>
      </w:r>
      <w:r w:rsidRPr="00FE3334">
        <w:rPr>
          <w:rFonts w:asciiTheme="minorHAnsi" w:hAnsiTheme="minorHAnsi"/>
        </w:rPr>
        <w:t>R</w:t>
      </w:r>
      <w:r>
        <w:rPr>
          <w:rFonts w:asciiTheme="minorHAnsi" w:hAnsiTheme="minorHAnsi"/>
        </w:rPr>
        <w:t xml:space="preserve">eform </w:t>
      </w:r>
      <w:r w:rsidRPr="00FE3334">
        <w:rPr>
          <w:rFonts w:asciiTheme="minorHAnsi" w:hAnsiTheme="minorHAnsi"/>
        </w:rPr>
        <w:t>C</w:t>
      </w:r>
      <w:r>
        <w:rPr>
          <w:rFonts w:asciiTheme="minorHAnsi" w:hAnsiTheme="minorHAnsi"/>
        </w:rPr>
        <w:t>ouncil.</w:t>
      </w:r>
      <w:r w:rsidRPr="00FE3334">
        <w:rPr>
          <w:rFonts w:asciiTheme="minorHAnsi" w:hAnsiTheme="minorHAnsi"/>
        </w:rPr>
        <w:t xml:space="preserve"> Project 1 Restructure BCA Fire Provisions Part 1. Pg.13.</w:t>
      </w:r>
    </w:p>
  </w:footnote>
  <w:footnote w:id="5">
    <w:p w:rsidR="00F70B53" w:rsidRDefault="00F70B53" w:rsidP="00856749">
      <w:pPr>
        <w:pStyle w:val="FootnoteText"/>
      </w:pPr>
      <w:r>
        <w:rPr>
          <w:rStyle w:val="FootnoteReference"/>
        </w:rPr>
        <w:footnoteRef/>
      </w:r>
      <w:r>
        <w:t xml:space="preserve"> </w:t>
      </w:r>
      <w:r w:rsidRPr="00FE3334">
        <w:rPr>
          <w:rFonts w:asciiTheme="minorHAnsi" w:hAnsiTheme="minorHAnsi"/>
        </w:rPr>
        <w:t>N</w:t>
      </w:r>
      <w:r>
        <w:rPr>
          <w:rFonts w:asciiTheme="minorHAnsi" w:hAnsiTheme="minorHAnsi"/>
        </w:rPr>
        <w:t xml:space="preserve">ational </w:t>
      </w:r>
      <w:r w:rsidRPr="00FE3334">
        <w:rPr>
          <w:rFonts w:asciiTheme="minorHAnsi" w:hAnsiTheme="minorHAnsi"/>
        </w:rPr>
        <w:t>C</w:t>
      </w:r>
      <w:r>
        <w:rPr>
          <w:rFonts w:asciiTheme="minorHAnsi" w:hAnsiTheme="minorHAnsi"/>
        </w:rPr>
        <w:t xml:space="preserve">onstruction </w:t>
      </w:r>
      <w:r w:rsidRPr="00FE3334">
        <w:rPr>
          <w:rFonts w:asciiTheme="minorHAnsi" w:hAnsiTheme="minorHAnsi"/>
        </w:rPr>
        <w:t>C</w:t>
      </w:r>
      <w:r>
        <w:rPr>
          <w:rFonts w:asciiTheme="minorHAnsi" w:hAnsiTheme="minorHAnsi"/>
        </w:rPr>
        <w:t xml:space="preserve">ode Volume One (2016) Part </w:t>
      </w:r>
      <w:r w:rsidRPr="00FE3334">
        <w:rPr>
          <w:rFonts w:asciiTheme="minorHAnsi" w:hAnsiTheme="minorHAnsi"/>
        </w:rPr>
        <w:t>C1.1. p.109.</w:t>
      </w:r>
    </w:p>
  </w:footnote>
  <w:footnote w:id="6">
    <w:p w:rsidR="00F70B53" w:rsidRPr="005A6118" w:rsidRDefault="00F70B53" w:rsidP="003F149D">
      <w:pPr>
        <w:pStyle w:val="FootnoteText"/>
        <w:rPr>
          <w:rFonts w:asciiTheme="minorHAnsi" w:hAnsiTheme="minorHAnsi"/>
        </w:rPr>
      </w:pPr>
      <w:r>
        <w:rPr>
          <w:rStyle w:val="FootnoteReference"/>
        </w:rPr>
        <w:footnoteRef/>
      </w:r>
      <w:r w:rsidRPr="005A6118">
        <w:rPr>
          <w:rFonts w:asciiTheme="minorHAnsi" w:hAnsiTheme="minorHAnsi"/>
        </w:rPr>
        <w:t xml:space="preserve"> </w:t>
      </w:r>
      <w:r w:rsidRPr="008A56B3">
        <w:rPr>
          <w:rFonts w:asciiTheme="minorHAnsi" w:hAnsiTheme="minorHAnsi"/>
        </w:rPr>
        <w:t xml:space="preserve">Guide to </w:t>
      </w:r>
      <w:r>
        <w:rPr>
          <w:rFonts w:asciiTheme="minorHAnsi" w:hAnsiTheme="minorHAnsi"/>
        </w:rPr>
        <w:t xml:space="preserve">the </w:t>
      </w:r>
      <w:r w:rsidRPr="008A56B3">
        <w:rPr>
          <w:rFonts w:asciiTheme="minorHAnsi" w:hAnsiTheme="minorHAnsi"/>
        </w:rPr>
        <w:t>N</w:t>
      </w:r>
      <w:r>
        <w:rPr>
          <w:rFonts w:asciiTheme="minorHAnsi" w:hAnsiTheme="minorHAnsi"/>
        </w:rPr>
        <w:t xml:space="preserve">ational </w:t>
      </w:r>
      <w:r w:rsidRPr="008A56B3">
        <w:rPr>
          <w:rFonts w:asciiTheme="minorHAnsi" w:hAnsiTheme="minorHAnsi"/>
        </w:rPr>
        <w:t>C</w:t>
      </w:r>
      <w:r>
        <w:rPr>
          <w:rFonts w:asciiTheme="minorHAnsi" w:hAnsiTheme="minorHAnsi"/>
        </w:rPr>
        <w:t xml:space="preserve">onstruction </w:t>
      </w:r>
      <w:r w:rsidRPr="008A56B3">
        <w:rPr>
          <w:rFonts w:asciiTheme="minorHAnsi" w:hAnsiTheme="minorHAnsi"/>
        </w:rPr>
        <w:t>C</w:t>
      </w:r>
      <w:r>
        <w:rPr>
          <w:rFonts w:asciiTheme="minorHAnsi" w:hAnsiTheme="minorHAnsi"/>
        </w:rPr>
        <w:t>ode</w:t>
      </w:r>
      <w:r w:rsidRPr="008A56B3">
        <w:rPr>
          <w:rFonts w:asciiTheme="minorHAnsi" w:hAnsiTheme="minorHAnsi"/>
        </w:rPr>
        <w:t xml:space="preserve"> Volume One</w:t>
      </w:r>
      <w:r>
        <w:rPr>
          <w:rFonts w:asciiTheme="minorHAnsi" w:hAnsiTheme="minorHAnsi"/>
        </w:rPr>
        <w:t xml:space="preserve"> (2016)</w:t>
      </w:r>
      <w:r w:rsidRPr="008A56B3">
        <w:rPr>
          <w:rFonts w:asciiTheme="minorHAnsi" w:hAnsiTheme="minorHAnsi"/>
        </w:rPr>
        <w:t xml:space="preserve"> p. 17.</w:t>
      </w:r>
    </w:p>
  </w:footnote>
  <w:footnote w:id="7">
    <w:p w:rsidR="00F70B53" w:rsidRDefault="00F70B53" w:rsidP="005A6118">
      <w:pPr>
        <w:spacing w:after="0" w:line="240" w:lineRule="auto"/>
      </w:pPr>
      <w:r w:rsidRPr="005A6118">
        <w:rPr>
          <w:rStyle w:val="FootnoteReference"/>
          <w:rFonts w:asciiTheme="minorHAnsi" w:hAnsiTheme="minorHAnsi"/>
          <w:sz w:val="20"/>
          <w:szCs w:val="20"/>
        </w:rPr>
        <w:footnoteRef/>
      </w:r>
      <w:r w:rsidRPr="005A6118">
        <w:rPr>
          <w:rFonts w:asciiTheme="minorHAnsi" w:hAnsiTheme="minorHAnsi"/>
          <w:sz w:val="20"/>
          <w:szCs w:val="20"/>
        </w:rPr>
        <w:t xml:space="preserve"> The 25</w:t>
      </w:r>
      <w:r>
        <w:rPr>
          <w:rFonts w:asciiTheme="minorHAnsi" w:hAnsiTheme="minorHAnsi"/>
          <w:sz w:val="20"/>
          <w:szCs w:val="20"/>
        </w:rPr>
        <w:t xml:space="preserve"> </w:t>
      </w:r>
      <w:r w:rsidRPr="005A6118">
        <w:rPr>
          <w:rFonts w:asciiTheme="minorHAnsi" w:hAnsiTheme="minorHAnsi"/>
          <w:sz w:val="20"/>
          <w:szCs w:val="20"/>
        </w:rPr>
        <w:t>m</w:t>
      </w:r>
      <w:r>
        <w:rPr>
          <w:rFonts w:asciiTheme="minorHAnsi" w:hAnsiTheme="minorHAnsi"/>
          <w:sz w:val="20"/>
          <w:szCs w:val="20"/>
        </w:rPr>
        <w:t>etre</w:t>
      </w:r>
      <w:r w:rsidRPr="005A6118">
        <w:rPr>
          <w:rFonts w:asciiTheme="minorHAnsi" w:hAnsiTheme="minorHAnsi"/>
          <w:sz w:val="20"/>
          <w:szCs w:val="20"/>
        </w:rPr>
        <w:t xml:space="preserve"> trigger was chosen primarily due to </w:t>
      </w:r>
      <w:r>
        <w:rPr>
          <w:rFonts w:asciiTheme="minorHAnsi" w:hAnsiTheme="minorHAnsi"/>
          <w:sz w:val="20"/>
          <w:szCs w:val="20"/>
        </w:rPr>
        <w:t>cost effectiveness considerations</w:t>
      </w:r>
      <w:r w:rsidRPr="005A6118">
        <w:rPr>
          <w:rFonts w:asciiTheme="minorHAnsi" w:hAnsiTheme="minorHAnsi"/>
          <w:sz w:val="20"/>
          <w:szCs w:val="20"/>
        </w:rPr>
        <w:t xml:space="preserve"> and the known satisfactory performance of </w:t>
      </w:r>
      <w:r>
        <w:rPr>
          <w:rFonts w:asciiTheme="minorHAnsi" w:hAnsiTheme="minorHAnsi"/>
          <w:sz w:val="20"/>
          <w:szCs w:val="20"/>
        </w:rPr>
        <w:t xml:space="preserve">fire </w:t>
      </w:r>
      <w:r w:rsidRPr="005A6118">
        <w:rPr>
          <w:rFonts w:asciiTheme="minorHAnsi" w:hAnsiTheme="minorHAnsi"/>
          <w:sz w:val="20"/>
          <w:szCs w:val="20"/>
        </w:rPr>
        <w:t>sprinklers, rather than in response to an unacceptable level of risk.</w:t>
      </w:r>
    </w:p>
  </w:footnote>
  <w:footnote w:id="8">
    <w:p w:rsidR="00F70B53" w:rsidRDefault="00F70B53">
      <w:pPr>
        <w:pStyle w:val="FootnoteText"/>
      </w:pPr>
      <w:r>
        <w:rPr>
          <w:rStyle w:val="FootnoteReference"/>
        </w:rPr>
        <w:footnoteRef/>
      </w:r>
      <w:r w:rsidRPr="00441073">
        <w:rPr>
          <w:rFonts w:asciiTheme="minorHAnsi" w:hAnsiTheme="minorHAnsi"/>
        </w:rPr>
        <w:t xml:space="preserve"> See EFT Consulting 2575-1, (2017) </w:t>
      </w:r>
      <w:r>
        <w:rPr>
          <w:rFonts w:asciiTheme="minorHAnsi" w:hAnsiTheme="minorHAnsi"/>
        </w:rPr>
        <w:t>p</w:t>
      </w:r>
      <w:r w:rsidRPr="00441073">
        <w:rPr>
          <w:rFonts w:asciiTheme="minorHAnsi" w:hAnsiTheme="minorHAnsi"/>
        </w:rPr>
        <w:t>.18</w:t>
      </w:r>
      <w:r>
        <w:rPr>
          <w:rFonts w:asciiTheme="minorHAnsi" w:hAnsiTheme="minorHAnsi"/>
        </w:rPr>
        <w:t>.</w:t>
      </w:r>
    </w:p>
  </w:footnote>
  <w:footnote w:id="9">
    <w:p w:rsidR="00F70B53" w:rsidRDefault="00F70B53" w:rsidP="00B46210">
      <w:pPr>
        <w:pStyle w:val="FootnoteText"/>
      </w:pPr>
      <w:r>
        <w:rPr>
          <w:rStyle w:val="FootnoteReference"/>
        </w:rPr>
        <w:footnoteRef/>
      </w:r>
      <w:r>
        <w:t xml:space="preserve"> </w:t>
      </w:r>
      <w:r w:rsidRPr="00943ADA">
        <w:rPr>
          <w:rFonts w:asciiTheme="minorHAnsi" w:hAnsiTheme="minorHAnsi"/>
        </w:rPr>
        <w:t xml:space="preserve">Report on Government Services </w:t>
      </w:r>
      <w:r>
        <w:rPr>
          <w:rFonts w:asciiTheme="minorHAnsi" w:hAnsiTheme="minorHAnsi"/>
        </w:rPr>
        <w:t>(</w:t>
      </w:r>
      <w:r w:rsidRPr="00943ADA">
        <w:rPr>
          <w:rFonts w:asciiTheme="minorHAnsi" w:hAnsiTheme="minorHAnsi"/>
        </w:rPr>
        <w:t>2017</w:t>
      </w:r>
      <w:r>
        <w:rPr>
          <w:rFonts w:asciiTheme="minorHAnsi" w:hAnsiTheme="minorHAnsi"/>
        </w:rPr>
        <w:t xml:space="preserve">) </w:t>
      </w:r>
      <w:r w:rsidRPr="001D5C93">
        <w:rPr>
          <w:rFonts w:asciiTheme="minorHAnsi" w:hAnsiTheme="minorHAnsi"/>
        </w:rPr>
        <w:t>shows the 5 year average 2011-12 to 2016-17 89.9 fires per 100,000 households, Table 9A.15</w:t>
      </w:r>
      <w:r>
        <w:rPr>
          <w:rFonts w:asciiTheme="minorHAnsi" w:hAnsiTheme="minorHAnsi"/>
        </w:rPr>
        <w:t>.</w:t>
      </w:r>
      <w:r w:rsidRPr="001D5C93">
        <w:rPr>
          <w:rFonts w:asciiTheme="minorHAnsi" w:hAnsiTheme="minorHAnsi"/>
        </w:rPr>
        <w:t xml:space="preserve">  </w:t>
      </w:r>
      <w:r w:rsidRPr="00943ADA">
        <w:rPr>
          <w:rFonts w:asciiTheme="minorHAnsi" w:hAnsiTheme="minorHAnsi"/>
        </w:rPr>
        <w:t xml:space="preserve"> </w:t>
      </w:r>
      <w:hyperlink r:id="rId1" w:history="1">
        <w:r w:rsidRPr="00943ADA">
          <w:rPr>
            <w:rFonts w:asciiTheme="minorHAnsi" w:hAnsiTheme="minorHAnsi"/>
          </w:rPr>
          <w:t>http://www.pc.gov.au/research/ongoing/report-on-government-services/2017/emergency-management/fire-services</w:t>
        </w:r>
      </w:hyperlink>
      <w:r>
        <w:rPr>
          <w:rFonts w:asciiTheme="minorHAnsi" w:hAnsiTheme="minorHAnsi"/>
        </w:rPr>
        <w:t>.</w:t>
      </w:r>
      <w:r w:rsidRPr="00943ADA">
        <w:rPr>
          <w:rFonts w:asciiTheme="minorHAnsi" w:hAnsiTheme="minorHAnsi"/>
        </w:rPr>
        <w:t xml:space="preserve">  </w:t>
      </w:r>
    </w:p>
  </w:footnote>
  <w:footnote w:id="10">
    <w:p w:rsidR="00F70B53" w:rsidRPr="001D5C93" w:rsidRDefault="00F70B53">
      <w:pPr>
        <w:pStyle w:val="FootnoteText"/>
        <w:rPr>
          <w:rFonts w:asciiTheme="minorHAnsi" w:hAnsiTheme="minorHAnsi"/>
        </w:rPr>
      </w:pPr>
      <w:r>
        <w:rPr>
          <w:rStyle w:val="FootnoteReference"/>
        </w:rPr>
        <w:footnoteRef/>
      </w:r>
      <w:r>
        <w:t xml:space="preserve"> </w:t>
      </w:r>
      <w:r w:rsidRPr="001D5C93">
        <w:rPr>
          <w:rFonts w:asciiTheme="minorHAnsi" w:hAnsiTheme="minorHAnsi"/>
        </w:rPr>
        <w:t xml:space="preserve">Australian Bureau of Statistics (2004) </w:t>
      </w:r>
      <w:r w:rsidRPr="00943ADA">
        <w:rPr>
          <w:rFonts w:asciiTheme="minorHAnsi" w:hAnsiTheme="minorHAnsi"/>
        </w:rPr>
        <w:t>Housing Choices Report</w:t>
      </w:r>
      <w:r>
        <w:rPr>
          <w:rFonts w:asciiTheme="minorHAnsi" w:hAnsiTheme="minorHAnsi"/>
        </w:rPr>
        <w:t xml:space="preserve"> </w:t>
      </w:r>
      <w:r w:rsidRPr="00943ADA">
        <w:rPr>
          <w:rFonts w:asciiTheme="minorHAnsi" w:hAnsiTheme="minorHAnsi"/>
        </w:rPr>
        <w:t>No 3240.1</w:t>
      </w:r>
      <w:r>
        <w:rPr>
          <w:rFonts w:asciiTheme="minorHAnsi" w:hAnsiTheme="minorHAnsi"/>
        </w:rPr>
        <w:t>.</w:t>
      </w:r>
    </w:p>
  </w:footnote>
  <w:footnote w:id="11">
    <w:p w:rsidR="00F70B53" w:rsidRPr="005A6118" w:rsidRDefault="00F70B53" w:rsidP="003F149D">
      <w:pPr>
        <w:pStyle w:val="FootnoteText"/>
        <w:rPr>
          <w:rFonts w:asciiTheme="minorHAnsi" w:hAnsiTheme="minorHAnsi"/>
        </w:rPr>
      </w:pPr>
      <w:r w:rsidRPr="005A6118">
        <w:rPr>
          <w:rStyle w:val="FootnoteReference"/>
          <w:rFonts w:asciiTheme="minorHAnsi" w:hAnsiTheme="minorHAnsi"/>
        </w:rPr>
        <w:footnoteRef/>
      </w:r>
      <w:r w:rsidRPr="005A6118">
        <w:rPr>
          <w:rFonts w:asciiTheme="minorHAnsi" w:hAnsiTheme="minorHAnsi"/>
        </w:rPr>
        <w:t xml:space="preserve"> </w:t>
      </w:r>
      <w:r w:rsidRPr="003F149D">
        <w:rPr>
          <w:rFonts w:asciiTheme="minorHAnsi" w:hAnsiTheme="minorHAnsi"/>
        </w:rPr>
        <w:t>Drawn from a detailed analysis of US fire statistics between 1983 and 1995 undertaken for the Fire Code Reform Centre</w:t>
      </w:r>
      <w:r>
        <w:rPr>
          <w:rFonts w:asciiTheme="minorHAnsi" w:hAnsiTheme="minorHAnsi"/>
        </w:rPr>
        <w:t>,</w:t>
      </w:r>
      <w:r w:rsidRPr="003F149D">
        <w:rPr>
          <w:rFonts w:asciiTheme="minorHAnsi" w:hAnsiTheme="minorHAnsi"/>
        </w:rPr>
        <w:t xml:space="preserve"> Project 4.</w:t>
      </w:r>
    </w:p>
  </w:footnote>
  <w:footnote w:id="12">
    <w:p w:rsidR="00F70B53" w:rsidRPr="005A6118" w:rsidRDefault="00F70B53" w:rsidP="003F149D">
      <w:pPr>
        <w:pStyle w:val="FootnoteText"/>
        <w:rPr>
          <w:rFonts w:asciiTheme="minorHAnsi" w:hAnsiTheme="minorHAnsi"/>
        </w:rPr>
      </w:pPr>
      <w:r w:rsidRPr="005A6118">
        <w:rPr>
          <w:rStyle w:val="FootnoteReference"/>
          <w:rFonts w:asciiTheme="minorHAnsi" w:hAnsiTheme="minorHAnsi"/>
        </w:rPr>
        <w:footnoteRef/>
      </w:r>
      <w:r w:rsidRPr="005A6118">
        <w:rPr>
          <w:rFonts w:asciiTheme="minorHAnsi" w:hAnsiTheme="minorHAnsi"/>
        </w:rPr>
        <w:t xml:space="preserve"> </w:t>
      </w:r>
      <w:r w:rsidRPr="003F149D">
        <w:rPr>
          <w:rFonts w:asciiTheme="minorHAnsi" w:hAnsiTheme="minorHAnsi"/>
        </w:rPr>
        <w:t xml:space="preserve">The four </w:t>
      </w:r>
      <w:r>
        <w:rPr>
          <w:rFonts w:asciiTheme="minorHAnsi" w:hAnsiTheme="minorHAnsi"/>
        </w:rPr>
        <w:t>to</w:t>
      </w:r>
      <w:r w:rsidRPr="003F149D">
        <w:rPr>
          <w:rFonts w:asciiTheme="minorHAnsi" w:hAnsiTheme="minorHAnsi"/>
        </w:rPr>
        <w:t xml:space="preserve"> eight storey cohort is 7.6</w:t>
      </w:r>
      <w:r>
        <w:rPr>
          <w:rFonts w:asciiTheme="minorHAnsi" w:hAnsiTheme="minorHAnsi"/>
        </w:rPr>
        <w:t>%</w:t>
      </w:r>
      <w:r w:rsidRPr="003F149D">
        <w:rPr>
          <w:rFonts w:asciiTheme="minorHAnsi" w:hAnsiTheme="minorHAnsi"/>
        </w:rPr>
        <w:t xml:space="preserve"> of all fatalities and the remainder from the ‘unknown’ category are proportionately distributed.</w:t>
      </w:r>
    </w:p>
  </w:footnote>
  <w:footnote w:id="13">
    <w:p w:rsidR="00F70B53" w:rsidRDefault="00F70B53" w:rsidP="003F149D">
      <w:pPr>
        <w:pStyle w:val="FootnoteText"/>
      </w:pPr>
      <w:r w:rsidRPr="005A6118">
        <w:rPr>
          <w:rStyle w:val="FootnoteReference"/>
          <w:rFonts w:asciiTheme="minorHAnsi" w:hAnsiTheme="minorHAnsi"/>
        </w:rPr>
        <w:footnoteRef/>
      </w:r>
      <w:r w:rsidRPr="005A6118">
        <w:rPr>
          <w:rFonts w:asciiTheme="minorHAnsi" w:hAnsiTheme="minorHAnsi"/>
        </w:rPr>
        <w:t xml:space="preserve"> </w:t>
      </w:r>
      <w:r w:rsidRPr="003F149D">
        <w:rPr>
          <w:rFonts w:asciiTheme="minorHAnsi" w:hAnsiTheme="minorHAnsi"/>
        </w:rPr>
        <w:t>Hall J.R.</w:t>
      </w:r>
      <w:r>
        <w:rPr>
          <w:rFonts w:asciiTheme="minorHAnsi" w:hAnsiTheme="minorHAnsi"/>
        </w:rPr>
        <w:t xml:space="preserve"> (2013)</w:t>
      </w:r>
      <w:r w:rsidRPr="003F149D">
        <w:rPr>
          <w:rFonts w:asciiTheme="minorHAnsi" w:hAnsiTheme="minorHAnsi"/>
        </w:rPr>
        <w:t xml:space="preserve"> US Experience with Sprinklers National Fire Protection Association.</w:t>
      </w:r>
    </w:p>
  </w:footnote>
  <w:footnote w:id="14">
    <w:p w:rsidR="00F70B53" w:rsidRPr="007575C4" w:rsidRDefault="00F70B53" w:rsidP="00F43233">
      <w:pPr>
        <w:pStyle w:val="FootnoteText"/>
        <w:rPr>
          <w:rFonts w:asciiTheme="minorHAnsi" w:hAnsiTheme="minorHAnsi"/>
        </w:rPr>
      </w:pPr>
      <w:r w:rsidRPr="007575C4">
        <w:rPr>
          <w:rStyle w:val="FootnoteReference"/>
          <w:rFonts w:asciiTheme="minorHAnsi" w:hAnsiTheme="minorHAnsi"/>
        </w:rPr>
        <w:footnoteRef/>
      </w:r>
      <w:r w:rsidRPr="007575C4">
        <w:rPr>
          <w:rFonts w:asciiTheme="minorHAnsi" w:hAnsiTheme="minorHAnsi"/>
        </w:rPr>
        <w:t xml:space="preserve"> This estimate is based on the proportion of new Class 2 and Class 3 buildings constructed </w:t>
      </w:r>
      <w:r>
        <w:rPr>
          <w:rFonts w:asciiTheme="minorHAnsi" w:hAnsiTheme="minorHAnsi"/>
        </w:rPr>
        <w:t>in</w:t>
      </w:r>
      <w:r w:rsidRPr="007575C4">
        <w:rPr>
          <w:rFonts w:asciiTheme="minorHAnsi" w:hAnsiTheme="minorHAnsi"/>
        </w:rPr>
        <w:t xml:space="preserve"> the </w:t>
      </w:r>
      <w:r>
        <w:rPr>
          <w:rFonts w:asciiTheme="minorHAnsi" w:hAnsiTheme="minorHAnsi"/>
        </w:rPr>
        <w:t>four</w:t>
      </w:r>
      <w:r w:rsidRPr="007575C4">
        <w:rPr>
          <w:rFonts w:asciiTheme="minorHAnsi" w:hAnsiTheme="minorHAnsi"/>
        </w:rPr>
        <w:t xml:space="preserve"> and </w:t>
      </w:r>
      <w:r>
        <w:rPr>
          <w:rFonts w:asciiTheme="minorHAnsi" w:hAnsiTheme="minorHAnsi"/>
        </w:rPr>
        <w:t>eight</w:t>
      </w:r>
      <w:r w:rsidRPr="007575C4">
        <w:rPr>
          <w:rFonts w:asciiTheme="minorHAnsi" w:hAnsiTheme="minorHAnsi"/>
        </w:rPr>
        <w:t xml:space="preserve"> storey height range. </w:t>
      </w:r>
    </w:p>
  </w:footnote>
  <w:footnote w:id="15">
    <w:p w:rsidR="00F70B53" w:rsidRDefault="00F70B53" w:rsidP="00614940">
      <w:pPr>
        <w:pStyle w:val="FootnoteText"/>
      </w:pPr>
      <w:r w:rsidRPr="007575C4">
        <w:rPr>
          <w:rStyle w:val="FootnoteReference"/>
          <w:rFonts w:asciiTheme="minorHAnsi" w:hAnsiTheme="minorHAnsi"/>
        </w:rPr>
        <w:footnoteRef/>
      </w:r>
      <w:r w:rsidRPr="007575C4">
        <w:rPr>
          <w:rFonts w:asciiTheme="minorHAnsi" w:hAnsiTheme="minorHAnsi"/>
        </w:rPr>
        <w:t xml:space="preserve"> Australian Institute of Health and Welfare (2016) “Hospitalised burn injuries Australia” Flinders University. </w:t>
      </w:r>
    </w:p>
  </w:footnote>
  <w:footnote w:id="16">
    <w:p w:rsidR="00F70B53" w:rsidRPr="00A92842" w:rsidRDefault="00F70B53" w:rsidP="00F43233">
      <w:pPr>
        <w:pStyle w:val="Default"/>
        <w:spacing w:before="140" w:after="240"/>
        <w:rPr>
          <w:rFonts w:asciiTheme="minorHAnsi" w:hAnsiTheme="minorHAnsi"/>
        </w:rPr>
      </w:pPr>
      <w:r w:rsidRPr="00A743A3">
        <w:rPr>
          <w:rFonts w:asciiTheme="minorHAnsi" w:hAnsiTheme="minorHAnsi"/>
          <w:sz w:val="20"/>
          <w:szCs w:val="20"/>
          <w:vertAlign w:val="superscript"/>
        </w:rPr>
        <w:footnoteRef/>
      </w:r>
      <w:r w:rsidRPr="005A6118">
        <w:rPr>
          <w:rFonts w:asciiTheme="minorHAnsi" w:hAnsiTheme="minorHAnsi"/>
          <w:sz w:val="20"/>
          <w:szCs w:val="20"/>
        </w:rPr>
        <w:t xml:space="preserve"> </w:t>
      </w:r>
      <w:r w:rsidRPr="00A92842">
        <w:rPr>
          <w:rFonts w:asciiTheme="minorHAnsi" w:hAnsiTheme="minorHAnsi" w:cstheme="minorBidi"/>
          <w:color w:val="auto"/>
          <w:sz w:val="20"/>
          <w:szCs w:val="20"/>
        </w:rPr>
        <w:t>The ABCB’s Inter-governmental agreement (IGA) requires that in determining the area and level of the requirements there is a rigorously tested rationale, the regulations are effective and proportional and there is no regulatory or non-regulatory option that would generate a higher net benefit.</w:t>
      </w:r>
      <w:hyperlink r:id="rId2" w:history="1">
        <w:r w:rsidRPr="00A743A3">
          <w:rPr>
            <w:rFonts w:asciiTheme="minorHAnsi" w:hAnsiTheme="minorHAnsi" w:cstheme="minorBidi"/>
            <w:color w:val="auto"/>
            <w:sz w:val="20"/>
            <w:szCs w:val="20"/>
          </w:rPr>
          <w:t>https://abcb.gov.au/Resources/Publications/Corporate/Inter-Governmental-Agreement</w:t>
        </w:r>
      </w:hyperlink>
      <w:r>
        <w:rPr>
          <w:rFonts w:asciiTheme="minorHAnsi" w:hAnsiTheme="minorHAnsi" w:cstheme="minorBidi"/>
          <w:color w:val="auto"/>
          <w:sz w:val="20"/>
          <w:szCs w:val="20"/>
        </w:rPr>
        <w:t>.</w:t>
      </w:r>
      <w:r w:rsidRPr="005A6118">
        <w:rPr>
          <w:rFonts w:asciiTheme="minorHAnsi" w:hAnsiTheme="minorHAnsi"/>
          <w:sz w:val="20"/>
        </w:rPr>
        <w:t xml:space="preserve"> </w:t>
      </w:r>
    </w:p>
  </w:footnote>
  <w:footnote w:id="17">
    <w:p w:rsidR="00F70B53" w:rsidRPr="00532D43" w:rsidRDefault="00F70B53" w:rsidP="00F43233">
      <w:pPr>
        <w:pStyle w:val="FootnoteText"/>
        <w:rPr>
          <w:rFonts w:asciiTheme="minorHAnsi" w:hAnsiTheme="minorHAnsi"/>
        </w:rPr>
      </w:pPr>
      <w:r w:rsidRPr="00A743A3">
        <w:rPr>
          <w:rFonts w:asciiTheme="minorHAnsi" w:hAnsiTheme="minorHAnsi"/>
          <w:vertAlign w:val="superscript"/>
        </w:rPr>
        <w:footnoteRef/>
      </w:r>
      <w:r w:rsidRPr="00A92842">
        <w:rPr>
          <w:rFonts w:asciiTheme="minorHAnsi" w:hAnsiTheme="minorHAnsi"/>
        </w:rPr>
        <w:t xml:space="preserve"> Relevant Performance Requirements N</w:t>
      </w:r>
      <w:r>
        <w:rPr>
          <w:rFonts w:asciiTheme="minorHAnsi" w:hAnsiTheme="minorHAnsi"/>
        </w:rPr>
        <w:t xml:space="preserve">ational </w:t>
      </w:r>
      <w:r w:rsidRPr="00A92842">
        <w:rPr>
          <w:rFonts w:asciiTheme="minorHAnsi" w:hAnsiTheme="minorHAnsi"/>
        </w:rPr>
        <w:t>C</w:t>
      </w:r>
      <w:r>
        <w:rPr>
          <w:rFonts w:asciiTheme="minorHAnsi" w:hAnsiTheme="minorHAnsi"/>
        </w:rPr>
        <w:t xml:space="preserve">onstruction </w:t>
      </w:r>
      <w:r w:rsidRPr="00A92842">
        <w:rPr>
          <w:rFonts w:asciiTheme="minorHAnsi" w:hAnsiTheme="minorHAnsi"/>
        </w:rPr>
        <w:t>C</w:t>
      </w:r>
      <w:r>
        <w:rPr>
          <w:rFonts w:asciiTheme="minorHAnsi" w:hAnsiTheme="minorHAnsi"/>
        </w:rPr>
        <w:t>ode (2016)</w:t>
      </w:r>
      <w:r w:rsidRPr="00A92842">
        <w:rPr>
          <w:rFonts w:asciiTheme="minorHAnsi" w:hAnsiTheme="minorHAnsi"/>
        </w:rPr>
        <w:t xml:space="preserve"> Volume One Section C, D and E.</w:t>
      </w:r>
    </w:p>
  </w:footnote>
  <w:footnote w:id="18">
    <w:p w:rsidR="00F70B53" w:rsidRPr="00532D43" w:rsidRDefault="00F70B53" w:rsidP="003A4D17">
      <w:pPr>
        <w:pStyle w:val="FootnoteText"/>
        <w:rPr>
          <w:rFonts w:asciiTheme="minorHAnsi" w:hAnsiTheme="minorHAnsi"/>
        </w:rPr>
      </w:pPr>
      <w:r w:rsidRPr="009C42A3">
        <w:rPr>
          <w:rFonts w:asciiTheme="minorHAnsi" w:hAnsiTheme="minorHAnsi"/>
          <w:vertAlign w:val="superscript"/>
        </w:rPr>
        <w:footnoteRef/>
      </w:r>
      <w:r w:rsidRPr="00532D43">
        <w:rPr>
          <w:rFonts w:asciiTheme="minorHAnsi" w:hAnsiTheme="minorHAnsi"/>
        </w:rPr>
        <w:t xml:space="preserve"> </w:t>
      </w:r>
      <w:r>
        <w:rPr>
          <w:rFonts w:asciiTheme="minorHAnsi" w:hAnsiTheme="minorHAnsi"/>
        </w:rPr>
        <w:t>A</w:t>
      </w:r>
      <w:r w:rsidRPr="0084486E">
        <w:rPr>
          <w:rFonts w:asciiTheme="minorHAnsi" w:hAnsiTheme="minorHAnsi"/>
        </w:rPr>
        <w:t xml:space="preserve">nalysis recognises the potential for other uses, </w:t>
      </w:r>
      <w:r>
        <w:rPr>
          <w:rFonts w:asciiTheme="minorHAnsi" w:hAnsiTheme="minorHAnsi"/>
        </w:rPr>
        <w:t>such as</w:t>
      </w:r>
      <w:r w:rsidRPr="0084486E">
        <w:rPr>
          <w:rFonts w:asciiTheme="minorHAnsi" w:hAnsiTheme="minorHAnsi"/>
        </w:rPr>
        <w:t xml:space="preserve"> car parking, </w:t>
      </w:r>
      <w:r>
        <w:rPr>
          <w:rFonts w:asciiTheme="minorHAnsi" w:hAnsiTheme="minorHAnsi"/>
        </w:rPr>
        <w:t xml:space="preserve">office space or </w:t>
      </w:r>
      <w:r w:rsidRPr="0084486E">
        <w:rPr>
          <w:rFonts w:asciiTheme="minorHAnsi" w:hAnsiTheme="minorHAnsi"/>
        </w:rPr>
        <w:t xml:space="preserve">retail (Class 7, Class 5 or Class 6 buildings) in an otherwise Class 2 or 3 building. It concludes that due to the heavy reliance on </w:t>
      </w:r>
      <w:r>
        <w:rPr>
          <w:rFonts w:asciiTheme="minorHAnsi" w:hAnsiTheme="minorHAnsi"/>
        </w:rPr>
        <w:t xml:space="preserve">fire </w:t>
      </w:r>
      <w:r w:rsidRPr="0084486E">
        <w:rPr>
          <w:rFonts w:asciiTheme="minorHAnsi" w:hAnsiTheme="minorHAnsi"/>
        </w:rPr>
        <w:t xml:space="preserve">sprinklers to maintain </w:t>
      </w:r>
      <w:r w:rsidRPr="009601D3">
        <w:rPr>
          <w:rFonts w:asciiTheme="minorHAnsi" w:hAnsiTheme="minorHAnsi"/>
        </w:rPr>
        <w:t xml:space="preserve">exit pathways that pass through or pass by these uses, it is critical these areas </w:t>
      </w:r>
      <w:r w:rsidRPr="004E2F40">
        <w:rPr>
          <w:rFonts w:asciiTheme="minorHAnsi" w:hAnsiTheme="minorHAnsi"/>
        </w:rPr>
        <w:t>are a</w:t>
      </w:r>
      <w:r>
        <w:rPr>
          <w:rFonts w:asciiTheme="minorHAnsi" w:hAnsiTheme="minorHAnsi"/>
        </w:rPr>
        <w:t>ls</w:t>
      </w:r>
      <w:r w:rsidRPr="009601D3">
        <w:rPr>
          <w:rFonts w:asciiTheme="minorHAnsi" w:hAnsiTheme="minorHAnsi"/>
        </w:rPr>
        <w:t>o sprinkler protected</w:t>
      </w:r>
      <w:r w:rsidRPr="009B33D4">
        <w:rPr>
          <w:rFonts w:asciiTheme="minorHAnsi" w:hAnsiTheme="minorHAnsi"/>
        </w:rPr>
        <w:t>. EFT</w:t>
      </w:r>
      <w:r>
        <w:rPr>
          <w:rFonts w:asciiTheme="minorHAnsi" w:hAnsiTheme="minorHAnsi"/>
        </w:rPr>
        <w:t xml:space="preserve"> Consulting</w:t>
      </w:r>
      <w:r w:rsidRPr="009B33D4">
        <w:rPr>
          <w:rFonts w:asciiTheme="minorHAnsi" w:hAnsiTheme="minorHAnsi"/>
        </w:rPr>
        <w:t xml:space="preserve"> </w:t>
      </w:r>
      <w:r>
        <w:rPr>
          <w:rFonts w:asciiTheme="minorHAnsi" w:hAnsiTheme="minorHAnsi"/>
        </w:rPr>
        <w:t>(2017) 2575-1 p</w:t>
      </w:r>
      <w:r w:rsidRPr="009B33D4">
        <w:rPr>
          <w:rFonts w:asciiTheme="minorHAnsi" w:hAnsiTheme="minorHAnsi"/>
        </w:rPr>
        <w:t>. 25</w:t>
      </w:r>
      <w:r>
        <w:rPr>
          <w:rFonts w:asciiTheme="minorHAnsi" w:hAnsiTheme="minorHAnsi"/>
        </w:rPr>
        <w:t>.</w:t>
      </w:r>
    </w:p>
  </w:footnote>
  <w:footnote w:id="19">
    <w:p w:rsidR="00F70B53" w:rsidRDefault="00F70B53" w:rsidP="00C71D25">
      <w:pPr>
        <w:pStyle w:val="FootnoteText"/>
      </w:pPr>
      <w:r w:rsidRPr="009C42A3">
        <w:rPr>
          <w:rFonts w:asciiTheme="minorHAnsi" w:hAnsiTheme="minorHAnsi"/>
          <w:vertAlign w:val="superscript"/>
        </w:rPr>
        <w:footnoteRef/>
      </w:r>
      <w:r w:rsidRPr="00532D43">
        <w:rPr>
          <w:rFonts w:asciiTheme="minorHAnsi" w:hAnsiTheme="minorHAnsi"/>
        </w:rPr>
        <w:t xml:space="preserve"> </w:t>
      </w:r>
      <w:r w:rsidRPr="009601D3">
        <w:rPr>
          <w:rFonts w:asciiTheme="minorHAnsi" w:hAnsiTheme="minorHAnsi"/>
        </w:rPr>
        <w:t xml:space="preserve">For uses that occupy more than </w:t>
      </w:r>
      <w:r>
        <w:rPr>
          <w:rFonts w:asciiTheme="minorHAnsi" w:hAnsiTheme="minorHAnsi"/>
        </w:rPr>
        <w:t xml:space="preserve">25% of the building’s total floor area on </w:t>
      </w:r>
      <w:r w:rsidRPr="0084486E">
        <w:rPr>
          <w:rFonts w:asciiTheme="minorHAnsi" w:hAnsiTheme="minorHAnsi"/>
        </w:rPr>
        <w:t xml:space="preserve">other levels </w:t>
      </w:r>
      <w:r>
        <w:rPr>
          <w:rFonts w:asciiTheme="minorHAnsi" w:hAnsiTheme="minorHAnsi"/>
        </w:rPr>
        <w:t xml:space="preserve">(below) </w:t>
      </w:r>
      <w:r w:rsidRPr="0084486E">
        <w:rPr>
          <w:rFonts w:asciiTheme="minorHAnsi" w:hAnsiTheme="minorHAnsi"/>
        </w:rPr>
        <w:t>Class 2 or 3 building</w:t>
      </w:r>
      <w:r>
        <w:rPr>
          <w:rFonts w:asciiTheme="minorHAnsi" w:hAnsiTheme="minorHAnsi"/>
        </w:rPr>
        <w:t xml:space="preserve">s, or when located above the fourth storey, an FPAA 101D system must not be used. </w:t>
      </w:r>
    </w:p>
  </w:footnote>
  <w:footnote w:id="20">
    <w:p w:rsidR="00F70B53" w:rsidRPr="00502634" w:rsidRDefault="00F70B53" w:rsidP="00EB19C9">
      <w:pPr>
        <w:pStyle w:val="FootnoteText"/>
        <w:rPr>
          <w:lang w:val="en-US"/>
        </w:rPr>
      </w:pPr>
      <w:r>
        <w:rPr>
          <w:rStyle w:val="FootnoteReference"/>
        </w:rPr>
        <w:footnoteRef/>
      </w:r>
      <w:r>
        <w:t xml:space="preserve"> </w:t>
      </w:r>
      <w:r w:rsidRPr="00502634">
        <w:rPr>
          <w:rFonts w:asciiTheme="minorHAnsi" w:hAnsiTheme="minorHAnsi"/>
        </w:rPr>
        <w:t>Based on Victorian data which shows the average number of Class 2 buildings constructed between four to eight storey</w:t>
      </w:r>
      <w:r>
        <w:rPr>
          <w:rFonts w:asciiTheme="minorHAnsi" w:hAnsiTheme="minorHAnsi"/>
        </w:rPr>
        <w:t>s to be 224 (2012-2016).</w:t>
      </w:r>
    </w:p>
  </w:footnote>
  <w:footnote w:id="21">
    <w:p w:rsidR="00F70B53" w:rsidRDefault="00F70B53" w:rsidP="00EB19C9">
      <w:pPr>
        <w:pStyle w:val="FootnoteText"/>
      </w:pPr>
      <w:r>
        <w:rPr>
          <w:rStyle w:val="FootnoteReference"/>
        </w:rPr>
        <w:footnoteRef/>
      </w:r>
      <w:r>
        <w:t xml:space="preserve"> </w:t>
      </w:r>
      <w:r w:rsidRPr="00E71A5B">
        <w:rPr>
          <w:rFonts w:asciiTheme="minorHAnsi" w:hAnsiTheme="minorHAnsi"/>
        </w:rPr>
        <w:t xml:space="preserve">Preliminary analysis by the ABCB suggests the majority of new Class 3 buildings are being constructed outside of the </w:t>
      </w:r>
      <w:r>
        <w:rPr>
          <w:rFonts w:asciiTheme="minorHAnsi" w:hAnsiTheme="minorHAnsi"/>
        </w:rPr>
        <w:t>four</w:t>
      </w:r>
      <w:r w:rsidRPr="00E71A5B">
        <w:rPr>
          <w:rFonts w:asciiTheme="minorHAnsi" w:hAnsiTheme="minorHAnsi"/>
        </w:rPr>
        <w:t xml:space="preserve"> and </w:t>
      </w:r>
      <w:r>
        <w:rPr>
          <w:rFonts w:asciiTheme="minorHAnsi" w:hAnsiTheme="minorHAnsi"/>
        </w:rPr>
        <w:t>eight</w:t>
      </w:r>
      <w:r w:rsidRPr="00E71A5B">
        <w:rPr>
          <w:rFonts w:asciiTheme="minorHAnsi" w:hAnsiTheme="minorHAnsi"/>
        </w:rPr>
        <w:t xml:space="preserve"> storey height range.</w:t>
      </w:r>
    </w:p>
  </w:footnote>
  <w:footnote w:id="22">
    <w:p w:rsidR="00F70B53" w:rsidRPr="00E72F46" w:rsidRDefault="00F70B53" w:rsidP="00694D66">
      <w:pPr>
        <w:pStyle w:val="FootnoteText"/>
        <w:rPr>
          <w:lang w:val="en-US"/>
        </w:rPr>
      </w:pPr>
      <w:r>
        <w:rPr>
          <w:rStyle w:val="FootnoteReference"/>
        </w:rPr>
        <w:footnoteRef/>
      </w:r>
      <w:r>
        <w:t xml:space="preserve"> </w:t>
      </w:r>
      <w:r>
        <w:rPr>
          <w:rFonts w:asciiTheme="minorHAnsi" w:hAnsiTheme="minorHAnsi"/>
        </w:rPr>
        <w:t xml:space="preserve">A proposed concession under the NCC </w:t>
      </w:r>
      <w:r w:rsidRPr="00E72F46">
        <w:rPr>
          <w:rFonts w:asciiTheme="minorHAnsi" w:hAnsiTheme="minorHAnsi"/>
        </w:rPr>
        <w:t>allow for a dry hydrant riser to be provid</w:t>
      </w:r>
      <w:r>
        <w:rPr>
          <w:rFonts w:asciiTheme="minorHAnsi" w:hAnsiTheme="minorHAnsi"/>
        </w:rPr>
        <w:t xml:space="preserve">ed in lieu of a ‘charged’ riser for the </w:t>
      </w:r>
      <w:r w:rsidRPr="00E72F46">
        <w:rPr>
          <w:rFonts w:asciiTheme="minorHAnsi" w:hAnsiTheme="minorHAnsi"/>
        </w:rPr>
        <w:t xml:space="preserve">FPAA 101D </w:t>
      </w:r>
      <w:r>
        <w:rPr>
          <w:rFonts w:asciiTheme="minorHAnsi" w:hAnsiTheme="minorHAnsi"/>
        </w:rPr>
        <w:t>and AS 2118.1 specifications. DCWC excluded these costs in consultation costings on the basis that only a small number of buildings would benefit from their removal.</w:t>
      </w:r>
    </w:p>
  </w:footnote>
  <w:footnote w:id="23">
    <w:p w:rsidR="00F70B53" w:rsidRDefault="00F70B53" w:rsidP="00617F30">
      <w:pPr>
        <w:pStyle w:val="FootnoteText"/>
      </w:pPr>
      <w:r>
        <w:rPr>
          <w:rStyle w:val="FootnoteReference"/>
        </w:rPr>
        <w:footnoteRef/>
      </w:r>
      <w:r>
        <w:t xml:space="preserve"> </w:t>
      </w:r>
      <w:r w:rsidRPr="00617F30">
        <w:rPr>
          <w:rFonts w:asciiTheme="minorHAnsi" w:hAnsiTheme="minorHAnsi"/>
        </w:rPr>
        <w:t>Phi</w:t>
      </w:r>
      <w:r>
        <w:rPr>
          <w:rFonts w:asciiTheme="minorHAnsi" w:hAnsiTheme="minorHAnsi"/>
        </w:rPr>
        <w:t>l</w:t>
      </w:r>
      <w:r w:rsidRPr="00617F30">
        <w:rPr>
          <w:rFonts w:asciiTheme="minorHAnsi" w:hAnsiTheme="minorHAnsi"/>
        </w:rPr>
        <w:t xml:space="preserve">lip </w:t>
      </w:r>
      <w:r>
        <w:rPr>
          <w:rFonts w:asciiTheme="minorHAnsi" w:hAnsiTheme="minorHAnsi"/>
        </w:rPr>
        <w:t>Chun’s analysis suggests a proportion of these buildings would not qualify for removal under the proposal.</w:t>
      </w:r>
    </w:p>
  </w:footnote>
  <w:footnote w:id="24">
    <w:p w:rsidR="00F70B53" w:rsidRDefault="00F70B53" w:rsidP="00EB19C9">
      <w:pPr>
        <w:pStyle w:val="FootnoteText"/>
      </w:pPr>
      <w:r>
        <w:rPr>
          <w:rStyle w:val="FootnoteReference"/>
        </w:rPr>
        <w:footnoteRef/>
      </w:r>
      <w:r>
        <w:t xml:space="preserve"> </w:t>
      </w:r>
      <w:r>
        <w:rPr>
          <w:rFonts w:asciiTheme="minorHAnsi" w:hAnsiTheme="minorHAnsi"/>
        </w:rPr>
        <w:t>The four and eight</w:t>
      </w:r>
      <w:r w:rsidRPr="00FA5182">
        <w:rPr>
          <w:rFonts w:asciiTheme="minorHAnsi" w:hAnsiTheme="minorHAnsi"/>
        </w:rPr>
        <w:t xml:space="preserve"> storey cohort is 7.6</w:t>
      </w:r>
      <w:r>
        <w:rPr>
          <w:rFonts w:asciiTheme="minorHAnsi" w:hAnsiTheme="minorHAnsi"/>
        </w:rPr>
        <w:t>%</w:t>
      </w:r>
      <w:r w:rsidRPr="00FA5182">
        <w:rPr>
          <w:rFonts w:asciiTheme="minorHAnsi" w:hAnsiTheme="minorHAnsi"/>
        </w:rPr>
        <w:t xml:space="preserve"> of all fatalities</w:t>
      </w:r>
      <w:r>
        <w:rPr>
          <w:rFonts w:asciiTheme="minorHAnsi" w:hAnsiTheme="minorHAnsi"/>
        </w:rPr>
        <w:t xml:space="preserve"> and</w:t>
      </w:r>
      <w:r w:rsidRPr="009D23A3">
        <w:rPr>
          <w:rFonts w:asciiTheme="minorHAnsi" w:hAnsiTheme="minorHAnsi"/>
        </w:rPr>
        <w:t xml:space="preserve"> </w:t>
      </w:r>
      <w:r>
        <w:rPr>
          <w:rFonts w:asciiTheme="minorHAnsi" w:hAnsiTheme="minorHAnsi"/>
        </w:rPr>
        <w:t>the remainder from the ‘unknown’ category are proportionately distributed.</w:t>
      </w:r>
    </w:p>
  </w:footnote>
  <w:footnote w:id="25">
    <w:p w:rsidR="00F70B53" w:rsidRPr="003B5B4B" w:rsidRDefault="00F70B53" w:rsidP="00EB19C9">
      <w:pPr>
        <w:pStyle w:val="FootnoteText"/>
        <w:rPr>
          <w:lang w:val="en-US"/>
        </w:rPr>
      </w:pPr>
      <w:r>
        <w:rPr>
          <w:rStyle w:val="FootnoteReference"/>
        </w:rPr>
        <w:footnoteRef/>
      </w:r>
      <w:r>
        <w:t xml:space="preserve"> </w:t>
      </w:r>
      <w:r w:rsidRPr="00D9364F">
        <w:rPr>
          <w:rFonts w:asciiTheme="minorHAnsi" w:hAnsiTheme="minorHAnsi"/>
        </w:rPr>
        <w:t>OBPR (2014)</w:t>
      </w:r>
      <w:r>
        <w:t xml:space="preserve"> </w:t>
      </w:r>
      <w:r w:rsidRPr="00D9364F">
        <w:rPr>
          <w:rFonts w:asciiTheme="minorHAnsi" w:hAnsiTheme="minorHAnsi"/>
        </w:rPr>
        <w:t>Best Practice Regulation Guidance Note – Value of statistical life</w:t>
      </w:r>
      <w:r>
        <w:rPr>
          <w:rFonts w:asciiTheme="minorHAnsi" w:hAnsiTheme="minorHAnsi"/>
        </w:rPr>
        <w:t xml:space="preserve">. Department of Prime Minister and Cabinet. </w:t>
      </w:r>
    </w:p>
  </w:footnote>
  <w:footnote w:id="26">
    <w:p w:rsidR="00F70B53" w:rsidRPr="001D5EE6" w:rsidRDefault="00F70B53" w:rsidP="00EB19C9">
      <w:pPr>
        <w:pStyle w:val="FootnoteText"/>
      </w:pPr>
      <w:r w:rsidRPr="007D469F">
        <w:rPr>
          <w:rStyle w:val="FootnoteReference"/>
          <w:rFonts w:asciiTheme="minorHAnsi" w:hAnsiTheme="minorHAnsi" w:cstheme="minorHAnsi"/>
        </w:rPr>
        <w:footnoteRef/>
      </w:r>
      <w:r>
        <w:t xml:space="preserve"> </w:t>
      </w:r>
      <w:r w:rsidRPr="00322182">
        <w:rPr>
          <w:rFonts w:asciiTheme="minorHAnsi" w:hAnsiTheme="minorHAnsi"/>
        </w:rPr>
        <w:t>AIHW: Pointer S &amp; Tovell A</w:t>
      </w:r>
      <w:r>
        <w:rPr>
          <w:rFonts w:asciiTheme="minorHAnsi" w:hAnsiTheme="minorHAnsi"/>
        </w:rPr>
        <w:t>.</w:t>
      </w:r>
      <w:r w:rsidRPr="00322182">
        <w:rPr>
          <w:rFonts w:asciiTheme="minorHAnsi" w:hAnsiTheme="minorHAnsi"/>
        </w:rPr>
        <w:t xml:space="preserve"> </w:t>
      </w:r>
      <w:r>
        <w:rPr>
          <w:rFonts w:asciiTheme="minorHAnsi" w:hAnsiTheme="minorHAnsi"/>
        </w:rPr>
        <w:t xml:space="preserve">(2016) </w:t>
      </w:r>
      <w:r w:rsidRPr="00322182">
        <w:rPr>
          <w:rFonts w:asciiTheme="minorHAnsi" w:hAnsiTheme="minorHAnsi"/>
          <w:i/>
        </w:rPr>
        <w:t xml:space="preserve">“Hospitalised burn injuries, Australia 2013 – 2014” </w:t>
      </w:r>
      <w:r>
        <w:rPr>
          <w:rFonts w:asciiTheme="minorHAnsi" w:hAnsiTheme="minorHAnsi"/>
        </w:rPr>
        <w:t xml:space="preserve">Pg. 20-22. </w:t>
      </w:r>
    </w:p>
  </w:footnote>
  <w:footnote w:id="27">
    <w:p w:rsidR="00F70B53" w:rsidRPr="00317AEC" w:rsidRDefault="00F70B53" w:rsidP="00AB1B82">
      <w:pPr>
        <w:pStyle w:val="FootnoteText"/>
        <w:rPr>
          <w:rFonts w:asciiTheme="minorHAnsi" w:hAnsiTheme="minorHAnsi"/>
        </w:rPr>
      </w:pPr>
      <w:r w:rsidRPr="007D469F">
        <w:rPr>
          <w:rFonts w:asciiTheme="minorHAnsi" w:hAnsiTheme="minorHAnsi"/>
          <w:vertAlign w:val="superscript"/>
        </w:rPr>
        <w:footnoteRef/>
      </w:r>
      <w:r w:rsidRPr="00317AEC">
        <w:rPr>
          <w:rFonts w:asciiTheme="minorHAnsi" w:hAnsiTheme="minorHAnsi"/>
        </w:rPr>
        <w:t xml:space="preserve"> Health status after recovery from burn injury, Kimmo, Tanttula et al.,Burns , Volume 24 , Issue 4 , 293 - 298</w:t>
      </w:r>
    </w:p>
  </w:footnote>
  <w:footnote w:id="28">
    <w:p w:rsidR="00F70B53" w:rsidRPr="00AC60E4" w:rsidRDefault="00F70B53" w:rsidP="00AB1B82">
      <w:pPr>
        <w:pStyle w:val="FootnoteText"/>
        <w:rPr>
          <w:lang w:val="en-US"/>
        </w:rPr>
      </w:pPr>
      <w:r w:rsidRPr="007D469F">
        <w:rPr>
          <w:rFonts w:asciiTheme="minorHAnsi" w:hAnsiTheme="minorHAnsi"/>
          <w:vertAlign w:val="superscript"/>
        </w:rPr>
        <w:footnoteRef/>
      </w:r>
      <w:r w:rsidRPr="00317AEC">
        <w:rPr>
          <w:rFonts w:asciiTheme="minorHAnsi" w:hAnsiTheme="minorHAnsi"/>
        </w:rPr>
        <w:t xml:space="preserve"> Finlay, Vidya et al. Burns , Volume 35, Issue 8, 1086 - 1091</w:t>
      </w:r>
    </w:p>
  </w:footnote>
  <w:footnote w:id="29">
    <w:p w:rsidR="00F70B53" w:rsidRDefault="00F70B53" w:rsidP="00EB19C9">
      <w:pPr>
        <w:pStyle w:val="FootnoteText"/>
      </w:pPr>
      <w:r w:rsidRPr="007D469F">
        <w:rPr>
          <w:rStyle w:val="FootnoteReference"/>
          <w:rFonts w:asciiTheme="minorHAnsi" w:hAnsiTheme="minorHAnsi" w:cstheme="minorHAnsi"/>
        </w:rPr>
        <w:footnoteRef/>
      </w:r>
      <w:r>
        <w:t xml:space="preserve"> </w:t>
      </w:r>
      <w:r w:rsidRPr="007D469F">
        <w:rPr>
          <w:rFonts w:asciiTheme="minorHAnsi" w:hAnsiTheme="minorHAnsi"/>
        </w:rPr>
        <w:t>The Present Value saving of avoiding injuries has been calculated using a 7% discount rate over 40 years.</w:t>
      </w:r>
      <w:r w:rsidRPr="00C73D31">
        <w:rPr>
          <w:rFonts w:asciiTheme="minorHAnsi" w:hAnsiTheme="minorHAnsi"/>
          <w:sz w:val="22"/>
          <w:szCs w:val="22"/>
        </w:rPr>
        <w:t xml:space="preserve"> </w:t>
      </w:r>
    </w:p>
  </w:footnote>
  <w:footnote w:id="30">
    <w:p w:rsidR="00F70B53" w:rsidRPr="00B63E28" w:rsidRDefault="00F70B53" w:rsidP="00EB19C9">
      <w:pPr>
        <w:pStyle w:val="FootnoteText"/>
        <w:rPr>
          <w:rFonts w:asciiTheme="minorHAnsi" w:hAnsiTheme="minorHAnsi"/>
        </w:rPr>
      </w:pPr>
      <w:r>
        <w:rPr>
          <w:rStyle w:val="FootnoteReference"/>
        </w:rPr>
        <w:footnoteRef/>
      </w:r>
      <w:r w:rsidRPr="00C9760B">
        <w:rPr>
          <w:rStyle w:val="FootnoteReference"/>
        </w:rPr>
        <w:t xml:space="preserve"> </w:t>
      </w:r>
      <w:r w:rsidRPr="00B63E28">
        <w:rPr>
          <w:rFonts w:asciiTheme="minorHAnsi" w:hAnsiTheme="minorHAnsi"/>
        </w:rPr>
        <w:t>M. Ahrens, U.S Experience with Sprinklers, July 2017. NFPA, p.11.</w:t>
      </w:r>
    </w:p>
  </w:footnote>
  <w:footnote w:id="31">
    <w:p w:rsidR="00F70B53" w:rsidRDefault="00F70B53" w:rsidP="00EB19C9">
      <w:pPr>
        <w:pStyle w:val="FootnoteText"/>
      </w:pPr>
      <w:r w:rsidRPr="00B63E28">
        <w:rPr>
          <w:rStyle w:val="FootnoteReference"/>
        </w:rPr>
        <w:footnoteRef/>
      </w:r>
      <w:r w:rsidRPr="00B63E28">
        <w:rPr>
          <w:rStyle w:val="FootnoteReference"/>
        </w:rPr>
        <w:t xml:space="preserve"> </w:t>
      </w:r>
      <w:r w:rsidRPr="00B63E28">
        <w:rPr>
          <w:rFonts w:asciiTheme="minorHAnsi" w:hAnsiTheme="minorHAnsi"/>
        </w:rPr>
        <w:t>FCRC Project 4, Fire safety System Design Solutions, Part 1, Centre for Environmental Safety and Risk Engineering, June 2001, Appendix F.</w:t>
      </w:r>
    </w:p>
  </w:footnote>
  <w:footnote w:id="32">
    <w:p w:rsidR="00F70B53" w:rsidRPr="003B5B4B" w:rsidRDefault="00F70B53" w:rsidP="00515D2C">
      <w:pPr>
        <w:pStyle w:val="FootnoteText"/>
        <w:rPr>
          <w:lang w:val="en-US"/>
        </w:rPr>
      </w:pPr>
      <w:r>
        <w:rPr>
          <w:rStyle w:val="FootnoteReference"/>
        </w:rPr>
        <w:footnoteRef/>
      </w:r>
      <w:r>
        <w:t xml:space="preserve"> </w:t>
      </w:r>
      <w:r w:rsidRPr="00317AEC">
        <w:rPr>
          <w:rFonts w:asciiTheme="minorHAnsi" w:hAnsiTheme="minorHAnsi"/>
        </w:rPr>
        <w:t>Report on Government Services, Part D, Chapter 5 “Emergency Services for fir and other events” Productivity Commission.</w:t>
      </w:r>
      <w:r>
        <w:rPr>
          <w:lang w:val="en-US"/>
        </w:rPr>
        <w:t xml:space="preserve"> </w:t>
      </w:r>
    </w:p>
  </w:footnote>
  <w:footnote w:id="33">
    <w:p w:rsidR="00F70B53" w:rsidRPr="00AA7C0A" w:rsidRDefault="00F70B53" w:rsidP="000A43CD">
      <w:pPr>
        <w:pStyle w:val="FootnoteText"/>
        <w:rPr>
          <w:rFonts w:asciiTheme="minorHAnsi" w:hAnsiTheme="minorHAnsi"/>
        </w:rPr>
      </w:pPr>
      <w:r w:rsidRPr="005A6118">
        <w:rPr>
          <w:rStyle w:val="FootnoteReference"/>
          <w:rFonts w:asciiTheme="minorHAnsi" w:hAnsiTheme="minorHAnsi"/>
        </w:rPr>
        <w:footnoteRef/>
      </w:r>
      <w:r w:rsidRPr="005A6118">
        <w:rPr>
          <w:rFonts w:asciiTheme="minorHAnsi" w:hAnsiTheme="minorHAnsi"/>
        </w:rPr>
        <w:t xml:space="preserve"> Discussed in </w:t>
      </w:r>
      <w:r w:rsidRPr="00AA7C0A">
        <w:rPr>
          <w:rFonts w:asciiTheme="minorHAnsi" w:hAnsiTheme="minorHAnsi"/>
        </w:rPr>
        <w:t>EFT Consulting 2575 -1 pg.25 and 52.</w:t>
      </w:r>
    </w:p>
  </w:footnote>
  <w:footnote w:id="34">
    <w:p w:rsidR="00F70B53" w:rsidRDefault="00F70B53">
      <w:pPr>
        <w:pStyle w:val="FootnoteText"/>
      </w:pPr>
      <w:r>
        <w:rPr>
          <w:rStyle w:val="FootnoteReference"/>
        </w:rPr>
        <w:footnoteRef/>
      </w:r>
      <w:r>
        <w:t xml:space="preserve"> </w:t>
      </w:r>
      <w:r>
        <w:rPr>
          <w:rFonts w:asciiTheme="minorHAnsi" w:hAnsiTheme="minorHAnsi"/>
        </w:rPr>
        <w:t>Understood to be a requirement of local government sustainability requirements in some metropolitan areas.</w:t>
      </w:r>
    </w:p>
  </w:footnote>
  <w:footnote w:id="35">
    <w:p w:rsidR="00F70B53" w:rsidRDefault="00F70B53" w:rsidP="00E10DFB">
      <w:pPr>
        <w:autoSpaceDE w:val="0"/>
        <w:autoSpaceDN w:val="0"/>
        <w:adjustRightInd w:val="0"/>
        <w:spacing w:after="0" w:line="240" w:lineRule="auto"/>
      </w:pPr>
      <w:r>
        <w:rPr>
          <w:rStyle w:val="FootnoteReference"/>
        </w:rPr>
        <w:footnoteRef/>
      </w:r>
      <w:r>
        <w:t xml:space="preserve"> </w:t>
      </w:r>
      <w:r w:rsidRPr="00A45EE3">
        <w:rPr>
          <w:rFonts w:asciiTheme="minorHAnsi" w:hAnsiTheme="minorHAnsi"/>
          <w:sz w:val="20"/>
          <w:szCs w:val="20"/>
        </w:rPr>
        <w:t>According to Chun’s analysis, t</w:t>
      </w:r>
      <w:r w:rsidRPr="00212321">
        <w:rPr>
          <w:rFonts w:asciiTheme="minorHAnsi" w:hAnsiTheme="minorHAnsi"/>
          <w:sz w:val="20"/>
          <w:szCs w:val="20"/>
        </w:rPr>
        <w:t>he number of projects currently designed/constructed with two or more stairs for which a single stair would be feasible was 7 (9% of the total projects within the target range).</w:t>
      </w:r>
    </w:p>
  </w:footnote>
  <w:footnote w:id="36">
    <w:p w:rsidR="00F70B53" w:rsidRDefault="00F70B53" w:rsidP="000A43CD">
      <w:pPr>
        <w:pStyle w:val="FootnoteText"/>
      </w:pPr>
      <w:r w:rsidRPr="00532ED3">
        <w:rPr>
          <w:rStyle w:val="FootnoteReference"/>
          <w:sz w:val="22"/>
          <w:szCs w:val="22"/>
        </w:rPr>
        <w:footnoteRef/>
      </w:r>
      <w:r w:rsidRPr="00532ED3">
        <w:rPr>
          <w:rStyle w:val="FootnoteReference"/>
          <w:sz w:val="22"/>
          <w:szCs w:val="22"/>
        </w:rPr>
        <w:t xml:space="preserve"> </w:t>
      </w:r>
      <w:r w:rsidRPr="00532ED3">
        <w:rPr>
          <w:rFonts w:asciiTheme="minorHAnsi" w:hAnsiTheme="minorHAnsi"/>
        </w:rPr>
        <w:t>AFAC</w:t>
      </w:r>
      <w:r>
        <w:rPr>
          <w:rFonts w:asciiTheme="minorHAnsi" w:hAnsiTheme="minorHAnsi"/>
        </w:rPr>
        <w:t xml:space="preserve">/FPAA proposal </w:t>
      </w:r>
      <w:r w:rsidRPr="00C427D7">
        <w:rPr>
          <w:rFonts w:asciiTheme="minorHAnsi" w:hAnsiTheme="minorHAnsi"/>
        </w:rPr>
        <w:t xml:space="preserve">notes that mandating the installation of sprinklers would lead to higher demand on experienced trades than </w:t>
      </w:r>
      <w:r>
        <w:rPr>
          <w:rFonts w:asciiTheme="minorHAnsi" w:hAnsiTheme="minorHAnsi"/>
        </w:rPr>
        <w:t>could</w:t>
      </w:r>
      <w:r w:rsidRPr="00C427D7">
        <w:rPr>
          <w:rFonts w:asciiTheme="minorHAnsi" w:hAnsiTheme="minorHAnsi"/>
        </w:rPr>
        <w:t xml:space="preserve"> likely be</w:t>
      </w:r>
      <w:r>
        <w:rPr>
          <w:rFonts w:asciiTheme="minorHAnsi" w:hAnsiTheme="minorHAnsi"/>
        </w:rPr>
        <w:t xml:space="preserve"> met, particularly in regional areas.</w:t>
      </w:r>
      <w:r w:rsidRPr="00C427D7">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53" w:rsidRPr="005A6118" w:rsidRDefault="00F70B53" w:rsidP="007F4302">
    <w:pPr>
      <w:pStyle w:val="Header"/>
      <w:rPr>
        <w:rFonts w:asciiTheme="minorHAnsi" w:hAnsiTheme="minorHAnsi"/>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14CDD9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8C66C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B0AE7C5C"/>
    <w:lvl w:ilvl="0">
      <w:start w:val="1"/>
      <w:numFmt w:val="decimal"/>
      <w:lvlText w:val="%1."/>
      <w:lvlJc w:val="left"/>
      <w:pPr>
        <w:ind w:left="424" w:hanging="284"/>
      </w:pPr>
      <w:rPr>
        <w:rFonts w:asciiTheme="minorHAnsi" w:eastAsiaTheme="minorHAnsi" w:hAnsiTheme="minorHAnsi" w:cstheme="minorBidi"/>
        <w:b w:val="0"/>
        <w:bCs w:val="0"/>
        <w:w w:val="100"/>
        <w:sz w:val="18"/>
        <w:szCs w:val="22"/>
      </w:rPr>
    </w:lvl>
    <w:lvl w:ilvl="1">
      <w:start w:val="1"/>
      <w:numFmt w:val="lowerLetter"/>
      <w:lvlText w:val="%2."/>
      <w:lvlJc w:val="left"/>
      <w:pPr>
        <w:ind w:left="1072" w:hanging="284"/>
      </w:pPr>
    </w:lvl>
    <w:lvl w:ilvl="2">
      <w:numFmt w:val="bullet"/>
      <w:lvlText w:val="•"/>
      <w:lvlJc w:val="left"/>
      <w:pPr>
        <w:ind w:left="1724" w:hanging="284"/>
      </w:pPr>
    </w:lvl>
    <w:lvl w:ilvl="3">
      <w:numFmt w:val="bullet"/>
      <w:lvlText w:val="•"/>
      <w:lvlJc w:val="left"/>
      <w:pPr>
        <w:ind w:left="2376" w:hanging="284"/>
      </w:pPr>
    </w:lvl>
    <w:lvl w:ilvl="4">
      <w:numFmt w:val="bullet"/>
      <w:lvlText w:val="•"/>
      <w:lvlJc w:val="left"/>
      <w:pPr>
        <w:ind w:left="3028" w:hanging="284"/>
      </w:pPr>
    </w:lvl>
    <w:lvl w:ilvl="5">
      <w:numFmt w:val="bullet"/>
      <w:lvlText w:val="•"/>
      <w:lvlJc w:val="left"/>
      <w:pPr>
        <w:ind w:left="3680" w:hanging="284"/>
      </w:pPr>
    </w:lvl>
    <w:lvl w:ilvl="6">
      <w:numFmt w:val="bullet"/>
      <w:lvlText w:val="•"/>
      <w:lvlJc w:val="left"/>
      <w:pPr>
        <w:ind w:left="4332" w:hanging="284"/>
      </w:pPr>
    </w:lvl>
    <w:lvl w:ilvl="7">
      <w:numFmt w:val="bullet"/>
      <w:lvlText w:val="•"/>
      <w:lvlJc w:val="left"/>
      <w:pPr>
        <w:ind w:left="4984" w:hanging="284"/>
      </w:pPr>
    </w:lvl>
    <w:lvl w:ilvl="8">
      <w:numFmt w:val="bullet"/>
      <w:lvlText w:val="•"/>
      <w:lvlJc w:val="left"/>
      <w:pPr>
        <w:ind w:left="5636" w:hanging="284"/>
      </w:pPr>
    </w:lvl>
  </w:abstractNum>
  <w:abstractNum w:abstractNumId="3" w15:restartNumberingAfterBreak="0">
    <w:nsid w:val="002959DE"/>
    <w:multiLevelType w:val="hybridMultilevel"/>
    <w:tmpl w:val="A9222DDA"/>
    <w:lvl w:ilvl="0" w:tplc="0BFAB3F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8B151E"/>
    <w:multiLevelType w:val="hybridMultilevel"/>
    <w:tmpl w:val="C4B03946"/>
    <w:lvl w:ilvl="0" w:tplc="AD484A06">
      <w:start w:val="1"/>
      <w:numFmt w:val="lowerLetter"/>
      <w:pStyle w:val="Bodyindent1bulletabc"/>
      <w:lvlText w:val="(%1)"/>
      <w:lvlJc w:val="left"/>
      <w:pPr>
        <w:ind w:left="1797" w:hanging="36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5" w15:restartNumberingAfterBreak="0">
    <w:nsid w:val="04B66326"/>
    <w:multiLevelType w:val="hybridMultilevel"/>
    <w:tmpl w:val="E468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CD2A00"/>
    <w:multiLevelType w:val="hybridMultilevel"/>
    <w:tmpl w:val="5E02CA76"/>
    <w:lvl w:ilvl="0" w:tplc="C65C2F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6505777"/>
    <w:multiLevelType w:val="hybridMultilevel"/>
    <w:tmpl w:val="77649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E23E02"/>
    <w:multiLevelType w:val="hybridMultilevel"/>
    <w:tmpl w:val="39FA7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874AB1"/>
    <w:multiLevelType w:val="hybridMultilevel"/>
    <w:tmpl w:val="C6728EFC"/>
    <w:lvl w:ilvl="0" w:tplc="BC3CE728">
      <w:start w:val="1"/>
      <w:numFmt w:val="decimal"/>
      <w:lvlText w:val="%1."/>
      <w:lvlJc w:val="left"/>
      <w:pPr>
        <w:ind w:left="405" w:hanging="360"/>
      </w:pPr>
      <w:rPr>
        <w:rFonts w:asciiTheme="minorHAnsi" w:eastAsiaTheme="minorHAnsi" w:hAnsiTheme="minorHAnsi" w:cstheme="minorBidi"/>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0" w15:restartNumberingAfterBreak="0">
    <w:nsid w:val="08FF51E4"/>
    <w:multiLevelType w:val="hybridMultilevel"/>
    <w:tmpl w:val="4BECEE84"/>
    <w:lvl w:ilvl="0" w:tplc="2A1E4F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9455715"/>
    <w:multiLevelType w:val="hybridMultilevel"/>
    <w:tmpl w:val="373A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8962BE"/>
    <w:multiLevelType w:val="hybridMultilevel"/>
    <w:tmpl w:val="20BE8CB2"/>
    <w:lvl w:ilvl="0" w:tplc="0C09000F">
      <w:start w:val="1"/>
      <w:numFmt w:val="decimal"/>
      <w:pStyle w:val="Bodyindent1bullettick"/>
      <w:lvlText w:val="%1."/>
      <w:lvlJc w:val="left"/>
      <w:pPr>
        <w:ind w:left="1797" w:hanging="360"/>
      </w:pPr>
      <w:rPr>
        <w:rFonts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3" w15:restartNumberingAfterBreak="0">
    <w:nsid w:val="0A8D6C64"/>
    <w:multiLevelType w:val="multilevel"/>
    <w:tmpl w:val="3CBED7A8"/>
    <w:styleLink w:val="Liststyle1"/>
    <w:lvl w:ilvl="0">
      <w:start w:val="1"/>
      <w:numFmt w:val="decimal"/>
      <w:lvlText w:val="%1.0"/>
      <w:lvlJc w:val="left"/>
      <w:pPr>
        <w:ind w:left="720" w:hanging="720"/>
      </w:pPr>
      <w:rPr>
        <w:rFonts w:hint="default"/>
      </w:rPr>
    </w:lvl>
    <w:lvl w:ilvl="1">
      <w:start w:val="1"/>
      <w:numFmt w:val="decimal"/>
      <w:lvlText w:val="%1.%2"/>
      <w:lvlJc w:val="left"/>
      <w:pPr>
        <w:ind w:left="1435" w:hanging="715"/>
      </w:pPr>
      <w:rPr>
        <w:rFonts w:hint="default"/>
      </w:rPr>
    </w:lvl>
    <w:lvl w:ilvl="2">
      <w:start w:val="1"/>
      <w:numFmt w:val="decimal"/>
      <w:lvlText w:val="%1.%2.%3"/>
      <w:lvlJc w:val="left"/>
      <w:pPr>
        <w:tabs>
          <w:tab w:val="num" w:pos="1435"/>
        </w:tabs>
        <w:ind w:left="2506" w:hanging="107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6C6D6B"/>
    <w:multiLevelType w:val="hybridMultilevel"/>
    <w:tmpl w:val="BC5CC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A76C55"/>
    <w:multiLevelType w:val="hybridMultilevel"/>
    <w:tmpl w:val="5E02CA76"/>
    <w:lvl w:ilvl="0" w:tplc="C65C2F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0DED72E1"/>
    <w:multiLevelType w:val="multilevel"/>
    <w:tmpl w:val="72DAAECE"/>
    <w:lvl w:ilvl="0">
      <w:start w:val="1"/>
      <w:numFmt w:val="bullet"/>
      <w:pStyle w:val="Bodyindent2bullet"/>
      <w:lvlText w:val=""/>
      <w:lvlJc w:val="left"/>
      <w:pPr>
        <w:ind w:left="2880" w:hanging="365"/>
      </w:pPr>
      <w:rPr>
        <w:rFonts w:ascii="Symbol" w:hAnsi="Symbol" w:hint="default"/>
      </w:rPr>
    </w:lvl>
    <w:lvl w:ilvl="1">
      <w:start w:val="1"/>
      <w:numFmt w:val="bullet"/>
      <w:pStyle w:val="Bodyindent2bullet2"/>
      <w:lvlText w:val="o"/>
      <w:lvlJc w:val="left"/>
      <w:pPr>
        <w:ind w:left="3600" w:hanging="365"/>
      </w:pPr>
      <w:rPr>
        <w:rFonts w:ascii="Courier New" w:hAnsi="Courier New" w:hint="default"/>
      </w:rPr>
    </w:lvl>
    <w:lvl w:ilvl="2">
      <w:start w:val="1"/>
      <w:numFmt w:val="bullet"/>
      <w:pStyle w:val="Bodyindent2bullet3"/>
      <w:lvlText w:val=""/>
      <w:lvlJc w:val="left"/>
      <w:pPr>
        <w:ind w:left="4321" w:hanging="366"/>
      </w:pPr>
      <w:rPr>
        <w:rFonts w:ascii="Wingdings" w:hAnsi="Wingdings" w:hint="default"/>
      </w:rPr>
    </w:lvl>
    <w:lvl w:ilvl="3">
      <w:start w:val="1"/>
      <w:numFmt w:val="bullet"/>
      <w:lvlText w:val=""/>
      <w:lvlJc w:val="left"/>
      <w:pPr>
        <w:ind w:left="5035" w:hanging="360"/>
      </w:pPr>
      <w:rPr>
        <w:rFonts w:ascii="Symbol" w:hAnsi="Symbol" w:hint="default"/>
      </w:rPr>
    </w:lvl>
    <w:lvl w:ilvl="4">
      <w:start w:val="1"/>
      <w:numFmt w:val="bullet"/>
      <w:lvlText w:val="o"/>
      <w:lvlJc w:val="left"/>
      <w:pPr>
        <w:ind w:left="5755" w:hanging="360"/>
      </w:pPr>
      <w:rPr>
        <w:rFonts w:ascii="Courier New" w:hAnsi="Courier New" w:cs="Courier New" w:hint="default"/>
      </w:rPr>
    </w:lvl>
    <w:lvl w:ilvl="5">
      <w:start w:val="1"/>
      <w:numFmt w:val="bullet"/>
      <w:lvlText w:val=""/>
      <w:lvlJc w:val="left"/>
      <w:pPr>
        <w:ind w:left="6475" w:hanging="360"/>
      </w:pPr>
      <w:rPr>
        <w:rFonts w:ascii="Wingdings" w:hAnsi="Wingdings" w:hint="default"/>
      </w:rPr>
    </w:lvl>
    <w:lvl w:ilvl="6">
      <w:start w:val="1"/>
      <w:numFmt w:val="bullet"/>
      <w:lvlText w:val=""/>
      <w:lvlJc w:val="left"/>
      <w:pPr>
        <w:ind w:left="7195" w:hanging="360"/>
      </w:pPr>
      <w:rPr>
        <w:rFonts w:ascii="Symbol" w:hAnsi="Symbol" w:hint="default"/>
      </w:rPr>
    </w:lvl>
    <w:lvl w:ilvl="7">
      <w:start w:val="1"/>
      <w:numFmt w:val="bullet"/>
      <w:lvlText w:val="o"/>
      <w:lvlJc w:val="left"/>
      <w:pPr>
        <w:ind w:left="7915" w:hanging="360"/>
      </w:pPr>
      <w:rPr>
        <w:rFonts w:ascii="Courier New" w:hAnsi="Courier New" w:cs="Courier New" w:hint="default"/>
      </w:rPr>
    </w:lvl>
    <w:lvl w:ilvl="8">
      <w:start w:val="1"/>
      <w:numFmt w:val="bullet"/>
      <w:lvlText w:val=""/>
      <w:lvlJc w:val="left"/>
      <w:pPr>
        <w:ind w:left="8635" w:hanging="360"/>
      </w:pPr>
      <w:rPr>
        <w:rFonts w:ascii="Wingdings" w:hAnsi="Wingdings" w:hint="default"/>
      </w:rPr>
    </w:lvl>
  </w:abstractNum>
  <w:abstractNum w:abstractNumId="17" w15:restartNumberingAfterBreak="0">
    <w:nsid w:val="0E464333"/>
    <w:multiLevelType w:val="hybridMultilevel"/>
    <w:tmpl w:val="79EA9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00D01E2"/>
    <w:multiLevelType w:val="multilevel"/>
    <w:tmpl w:val="AF4444D4"/>
    <w:lvl w:ilvl="0">
      <w:start w:val="1"/>
      <w:numFmt w:val="bullet"/>
      <w:lvlText w:val=""/>
      <w:lvlJc w:val="left"/>
      <w:pPr>
        <w:ind w:left="424" w:hanging="284"/>
      </w:pPr>
      <w:rPr>
        <w:rFonts w:ascii="Symbol" w:hAnsi="Symbol" w:hint="default"/>
        <w:b w:val="0"/>
        <w:bCs w:val="0"/>
        <w:w w:val="100"/>
        <w:sz w:val="22"/>
        <w:szCs w:val="22"/>
      </w:rPr>
    </w:lvl>
    <w:lvl w:ilvl="1">
      <w:start w:val="1"/>
      <w:numFmt w:val="lowerRoman"/>
      <w:lvlText w:val="(%2)"/>
      <w:lvlJc w:val="left"/>
      <w:pPr>
        <w:ind w:left="1072" w:hanging="284"/>
      </w:pPr>
      <w:rPr>
        <w:rFonts w:hint="default"/>
      </w:rPr>
    </w:lvl>
    <w:lvl w:ilvl="2">
      <w:numFmt w:val="bullet"/>
      <w:lvlText w:val="•"/>
      <w:lvlJc w:val="left"/>
      <w:pPr>
        <w:ind w:left="1724" w:hanging="284"/>
      </w:pPr>
    </w:lvl>
    <w:lvl w:ilvl="3">
      <w:numFmt w:val="bullet"/>
      <w:lvlText w:val="•"/>
      <w:lvlJc w:val="left"/>
      <w:pPr>
        <w:ind w:left="2376" w:hanging="284"/>
      </w:pPr>
    </w:lvl>
    <w:lvl w:ilvl="4">
      <w:numFmt w:val="bullet"/>
      <w:lvlText w:val="•"/>
      <w:lvlJc w:val="left"/>
      <w:pPr>
        <w:ind w:left="3028" w:hanging="284"/>
      </w:pPr>
    </w:lvl>
    <w:lvl w:ilvl="5">
      <w:numFmt w:val="bullet"/>
      <w:lvlText w:val="•"/>
      <w:lvlJc w:val="left"/>
      <w:pPr>
        <w:ind w:left="3680" w:hanging="284"/>
      </w:pPr>
    </w:lvl>
    <w:lvl w:ilvl="6">
      <w:numFmt w:val="bullet"/>
      <w:lvlText w:val="•"/>
      <w:lvlJc w:val="left"/>
      <w:pPr>
        <w:ind w:left="4332" w:hanging="284"/>
      </w:pPr>
    </w:lvl>
    <w:lvl w:ilvl="7">
      <w:numFmt w:val="bullet"/>
      <w:lvlText w:val="•"/>
      <w:lvlJc w:val="left"/>
      <w:pPr>
        <w:ind w:left="4984" w:hanging="284"/>
      </w:pPr>
    </w:lvl>
    <w:lvl w:ilvl="8">
      <w:numFmt w:val="bullet"/>
      <w:lvlText w:val="•"/>
      <w:lvlJc w:val="left"/>
      <w:pPr>
        <w:ind w:left="5636" w:hanging="284"/>
      </w:pPr>
    </w:lvl>
  </w:abstractNum>
  <w:abstractNum w:abstractNumId="19" w15:restartNumberingAfterBreak="0">
    <w:nsid w:val="10471844"/>
    <w:multiLevelType w:val="multilevel"/>
    <w:tmpl w:val="88EC6D40"/>
    <w:lvl w:ilvl="0">
      <w:start w:val="1"/>
      <w:numFmt w:val="lowerLetter"/>
      <w:lvlText w:val="%1."/>
      <w:lvlJc w:val="left"/>
      <w:pPr>
        <w:ind w:left="424" w:hanging="284"/>
      </w:pPr>
      <w:rPr>
        <w:b w:val="0"/>
        <w:bCs w:val="0"/>
        <w:w w:val="100"/>
        <w:sz w:val="22"/>
        <w:szCs w:val="22"/>
      </w:rPr>
    </w:lvl>
    <w:lvl w:ilvl="1">
      <w:start w:val="1"/>
      <w:numFmt w:val="lowerRoman"/>
      <w:lvlText w:val="(%2)"/>
      <w:lvlJc w:val="left"/>
      <w:pPr>
        <w:ind w:left="1072" w:hanging="284"/>
      </w:pPr>
      <w:rPr>
        <w:rFonts w:hint="default"/>
      </w:rPr>
    </w:lvl>
    <w:lvl w:ilvl="2">
      <w:start w:val="1"/>
      <w:numFmt w:val="upperLetter"/>
      <w:lvlText w:val="%3."/>
      <w:lvlJc w:val="left"/>
      <w:pPr>
        <w:ind w:left="1724" w:hanging="284"/>
      </w:pPr>
    </w:lvl>
    <w:lvl w:ilvl="3">
      <w:numFmt w:val="bullet"/>
      <w:lvlText w:val="•"/>
      <w:lvlJc w:val="left"/>
      <w:pPr>
        <w:ind w:left="2376" w:hanging="284"/>
      </w:pPr>
    </w:lvl>
    <w:lvl w:ilvl="4">
      <w:numFmt w:val="bullet"/>
      <w:lvlText w:val="•"/>
      <w:lvlJc w:val="left"/>
      <w:pPr>
        <w:ind w:left="3028" w:hanging="284"/>
      </w:pPr>
    </w:lvl>
    <w:lvl w:ilvl="5">
      <w:numFmt w:val="bullet"/>
      <w:lvlText w:val="•"/>
      <w:lvlJc w:val="left"/>
      <w:pPr>
        <w:ind w:left="3680" w:hanging="284"/>
      </w:pPr>
    </w:lvl>
    <w:lvl w:ilvl="6">
      <w:numFmt w:val="bullet"/>
      <w:lvlText w:val="•"/>
      <w:lvlJc w:val="left"/>
      <w:pPr>
        <w:ind w:left="4332" w:hanging="284"/>
      </w:pPr>
    </w:lvl>
    <w:lvl w:ilvl="7">
      <w:numFmt w:val="bullet"/>
      <w:lvlText w:val="•"/>
      <w:lvlJc w:val="left"/>
      <w:pPr>
        <w:ind w:left="4984" w:hanging="284"/>
      </w:pPr>
    </w:lvl>
    <w:lvl w:ilvl="8">
      <w:numFmt w:val="bullet"/>
      <w:lvlText w:val="•"/>
      <w:lvlJc w:val="left"/>
      <w:pPr>
        <w:ind w:left="5636" w:hanging="284"/>
      </w:pPr>
    </w:lvl>
  </w:abstractNum>
  <w:abstractNum w:abstractNumId="20" w15:restartNumberingAfterBreak="0">
    <w:nsid w:val="10D4450F"/>
    <w:multiLevelType w:val="hybridMultilevel"/>
    <w:tmpl w:val="2892B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0D56438"/>
    <w:multiLevelType w:val="hybridMultilevel"/>
    <w:tmpl w:val="1908B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F43B44"/>
    <w:multiLevelType w:val="hybridMultilevel"/>
    <w:tmpl w:val="55EE0342"/>
    <w:lvl w:ilvl="0" w:tplc="7A569716">
      <w:start w:val="1"/>
      <w:numFmt w:val="decimal"/>
      <w:pStyle w:val="BodyCopyindented1bulletednumbered"/>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3" w15:restartNumberingAfterBreak="0">
    <w:nsid w:val="1B1534BA"/>
    <w:multiLevelType w:val="hybridMultilevel"/>
    <w:tmpl w:val="638A28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C3844F9"/>
    <w:multiLevelType w:val="multilevel"/>
    <w:tmpl w:val="DE4C9D68"/>
    <w:lvl w:ilvl="0">
      <w:start w:val="1"/>
      <w:numFmt w:val="lowerLetter"/>
      <w:pStyle w:val="Bodyindent2bulletabc"/>
      <w:lvlText w:val="(%1)"/>
      <w:lvlJc w:val="left"/>
      <w:pPr>
        <w:ind w:left="2880" w:hanging="365"/>
      </w:pPr>
      <w:rPr>
        <w:rFonts w:hint="default"/>
      </w:rPr>
    </w:lvl>
    <w:lvl w:ilvl="1">
      <w:start w:val="1"/>
      <w:numFmt w:val="lowerLetter"/>
      <w:lvlText w:val="%2."/>
      <w:lvlJc w:val="left"/>
      <w:pPr>
        <w:ind w:left="3595" w:hanging="360"/>
      </w:pPr>
      <w:rPr>
        <w:rFonts w:hint="default"/>
      </w:rPr>
    </w:lvl>
    <w:lvl w:ilvl="2">
      <w:start w:val="1"/>
      <w:numFmt w:val="lowerRoman"/>
      <w:lvlText w:val="%3."/>
      <w:lvlJc w:val="right"/>
      <w:pPr>
        <w:ind w:left="4315" w:hanging="180"/>
      </w:pPr>
      <w:rPr>
        <w:rFonts w:hint="default"/>
      </w:rPr>
    </w:lvl>
    <w:lvl w:ilvl="3">
      <w:start w:val="1"/>
      <w:numFmt w:val="decimal"/>
      <w:lvlText w:val="%4."/>
      <w:lvlJc w:val="left"/>
      <w:pPr>
        <w:ind w:left="5035" w:hanging="360"/>
      </w:pPr>
      <w:rPr>
        <w:rFonts w:hint="default"/>
      </w:rPr>
    </w:lvl>
    <w:lvl w:ilvl="4">
      <w:start w:val="1"/>
      <w:numFmt w:val="lowerLetter"/>
      <w:lvlText w:val="%5."/>
      <w:lvlJc w:val="left"/>
      <w:pPr>
        <w:ind w:left="5755" w:hanging="360"/>
      </w:pPr>
      <w:rPr>
        <w:rFonts w:hint="default"/>
      </w:rPr>
    </w:lvl>
    <w:lvl w:ilvl="5">
      <w:start w:val="1"/>
      <w:numFmt w:val="lowerRoman"/>
      <w:lvlText w:val="%6."/>
      <w:lvlJc w:val="right"/>
      <w:pPr>
        <w:ind w:left="6475" w:hanging="180"/>
      </w:pPr>
      <w:rPr>
        <w:rFonts w:hint="default"/>
      </w:rPr>
    </w:lvl>
    <w:lvl w:ilvl="6">
      <w:start w:val="1"/>
      <w:numFmt w:val="decimal"/>
      <w:lvlText w:val="%7."/>
      <w:lvlJc w:val="left"/>
      <w:pPr>
        <w:ind w:left="7195" w:hanging="360"/>
      </w:pPr>
      <w:rPr>
        <w:rFonts w:hint="default"/>
      </w:rPr>
    </w:lvl>
    <w:lvl w:ilvl="7">
      <w:start w:val="1"/>
      <w:numFmt w:val="lowerLetter"/>
      <w:lvlText w:val="%8."/>
      <w:lvlJc w:val="left"/>
      <w:pPr>
        <w:ind w:left="7915" w:hanging="360"/>
      </w:pPr>
      <w:rPr>
        <w:rFonts w:hint="default"/>
      </w:rPr>
    </w:lvl>
    <w:lvl w:ilvl="8">
      <w:start w:val="1"/>
      <w:numFmt w:val="lowerRoman"/>
      <w:lvlText w:val="%9."/>
      <w:lvlJc w:val="right"/>
      <w:pPr>
        <w:ind w:left="8635" w:hanging="180"/>
      </w:pPr>
      <w:rPr>
        <w:rFonts w:hint="default"/>
      </w:rPr>
    </w:lvl>
  </w:abstractNum>
  <w:abstractNum w:abstractNumId="25" w15:restartNumberingAfterBreak="0">
    <w:nsid w:val="1CCA1F45"/>
    <w:multiLevelType w:val="hybridMultilevel"/>
    <w:tmpl w:val="0896B7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EDA4F99"/>
    <w:multiLevelType w:val="hybridMultilevel"/>
    <w:tmpl w:val="E5C2C5E0"/>
    <w:lvl w:ilvl="0" w:tplc="0C09000F">
      <w:start w:val="1"/>
      <w:numFmt w:val="decimal"/>
      <w:lvlText w:val="%1."/>
      <w:lvlJc w:val="left"/>
      <w:pPr>
        <w:ind w:left="753" w:hanging="360"/>
      </w:p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27" w15:restartNumberingAfterBreak="0">
    <w:nsid w:val="1FD27BFD"/>
    <w:multiLevelType w:val="hybridMultilevel"/>
    <w:tmpl w:val="1F24113A"/>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1365437"/>
    <w:multiLevelType w:val="hybridMultilevel"/>
    <w:tmpl w:val="0DACF41C"/>
    <w:lvl w:ilvl="0" w:tplc="6D6A1458">
      <w:start w:val="1"/>
      <w:numFmt w:val="lowerLetter"/>
      <w:pStyle w:val="BodyCopybulletedabc"/>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2525D29"/>
    <w:multiLevelType w:val="hybridMultilevel"/>
    <w:tmpl w:val="77ACA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D67AA0"/>
    <w:multiLevelType w:val="hybridMultilevel"/>
    <w:tmpl w:val="02EC7188"/>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4120077"/>
    <w:multiLevelType w:val="hybridMultilevel"/>
    <w:tmpl w:val="A590208E"/>
    <w:lvl w:ilvl="0" w:tplc="7F30CFF6">
      <w:start w:val="1"/>
      <w:numFmt w:val="lowerRoman"/>
      <w:lvlText w:val="(%1)"/>
      <w:lvlJc w:val="left"/>
      <w:pPr>
        <w:ind w:left="2517" w:hanging="360"/>
      </w:pPr>
      <w:rPr>
        <w:rFonts w:hint="default"/>
      </w:rPr>
    </w:lvl>
    <w:lvl w:ilvl="1" w:tplc="0C090019" w:tentative="1">
      <w:start w:val="1"/>
      <w:numFmt w:val="lowerLetter"/>
      <w:lvlText w:val="%2."/>
      <w:lvlJc w:val="left"/>
      <w:pPr>
        <w:ind w:left="3237" w:hanging="360"/>
      </w:pPr>
    </w:lvl>
    <w:lvl w:ilvl="2" w:tplc="0C09001B" w:tentative="1">
      <w:start w:val="1"/>
      <w:numFmt w:val="lowerRoman"/>
      <w:lvlText w:val="%3."/>
      <w:lvlJc w:val="right"/>
      <w:pPr>
        <w:ind w:left="3957" w:hanging="180"/>
      </w:pPr>
    </w:lvl>
    <w:lvl w:ilvl="3" w:tplc="0C09000F" w:tentative="1">
      <w:start w:val="1"/>
      <w:numFmt w:val="decimal"/>
      <w:lvlText w:val="%4."/>
      <w:lvlJc w:val="left"/>
      <w:pPr>
        <w:ind w:left="4677" w:hanging="360"/>
      </w:pPr>
    </w:lvl>
    <w:lvl w:ilvl="4" w:tplc="0C090019" w:tentative="1">
      <w:start w:val="1"/>
      <w:numFmt w:val="lowerLetter"/>
      <w:lvlText w:val="%5."/>
      <w:lvlJc w:val="left"/>
      <w:pPr>
        <w:ind w:left="5397" w:hanging="360"/>
      </w:pPr>
    </w:lvl>
    <w:lvl w:ilvl="5" w:tplc="0C09001B" w:tentative="1">
      <w:start w:val="1"/>
      <w:numFmt w:val="lowerRoman"/>
      <w:lvlText w:val="%6."/>
      <w:lvlJc w:val="right"/>
      <w:pPr>
        <w:ind w:left="6117" w:hanging="180"/>
      </w:pPr>
    </w:lvl>
    <w:lvl w:ilvl="6" w:tplc="0C09000F" w:tentative="1">
      <w:start w:val="1"/>
      <w:numFmt w:val="decimal"/>
      <w:lvlText w:val="%7."/>
      <w:lvlJc w:val="left"/>
      <w:pPr>
        <w:ind w:left="6837" w:hanging="360"/>
      </w:pPr>
    </w:lvl>
    <w:lvl w:ilvl="7" w:tplc="0C090019" w:tentative="1">
      <w:start w:val="1"/>
      <w:numFmt w:val="lowerLetter"/>
      <w:lvlText w:val="%8."/>
      <w:lvlJc w:val="left"/>
      <w:pPr>
        <w:ind w:left="7557" w:hanging="360"/>
      </w:pPr>
    </w:lvl>
    <w:lvl w:ilvl="8" w:tplc="0C09001B" w:tentative="1">
      <w:start w:val="1"/>
      <w:numFmt w:val="lowerRoman"/>
      <w:lvlText w:val="%9."/>
      <w:lvlJc w:val="right"/>
      <w:pPr>
        <w:ind w:left="8277" w:hanging="180"/>
      </w:pPr>
    </w:lvl>
  </w:abstractNum>
  <w:abstractNum w:abstractNumId="32" w15:restartNumberingAfterBreak="0">
    <w:nsid w:val="24E52138"/>
    <w:multiLevelType w:val="hybridMultilevel"/>
    <w:tmpl w:val="51F247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25DB7CC7"/>
    <w:multiLevelType w:val="hybridMultilevel"/>
    <w:tmpl w:val="4E34A0D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25E86D35"/>
    <w:multiLevelType w:val="hybridMultilevel"/>
    <w:tmpl w:val="D1D09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E674E1"/>
    <w:multiLevelType w:val="hybridMultilevel"/>
    <w:tmpl w:val="DA78E5A0"/>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74116C2"/>
    <w:multiLevelType w:val="hybridMultilevel"/>
    <w:tmpl w:val="3392D564"/>
    <w:lvl w:ilvl="0" w:tplc="DF64A1FE">
      <w:start w:val="1"/>
      <w:numFmt w:val="decimal"/>
      <w:pStyle w:val="BodyCopyindented1numbered"/>
      <w:lvlText w:val="%1."/>
      <w:lvlJc w:val="left"/>
      <w:pPr>
        <w:ind w:left="3012" w:hanging="360"/>
      </w:pPr>
    </w:lvl>
    <w:lvl w:ilvl="1" w:tplc="0C090019">
      <w:start w:val="1"/>
      <w:numFmt w:val="lowerLetter"/>
      <w:lvlText w:val="%2."/>
      <w:lvlJc w:val="left"/>
      <w:pPr>
        <w:ind w:left="3732" w:hanging="360"/>
      </w:pPr>
    </w:lvl>
    <w:lvl w:ilvl="2" w:tplc="0C09001B" w:tentative="1">
      <w:start w:val="1"/>
      <w:numFmt w:val="lowerRoman"/>
      <w:lvlText w:val="%3."/>
      <w:lvlJc w:val="right"/>
      <w:pPr>
        <w:ind w:left="4452" w:hanging="180"/>
      </w:pPr>
    </w:lvl>
    <w:lvl w:ilvl="3" w:tplc="0C09000F" w:tentative="1">
      <w:start w:val="1"/>
      <w:numFmt w:val="decimal"/>
      <w:lvlText w:val="%4."/>
      <w:lvlJc w:val="left"/>
      <w:pPr>
        <w:ind w:left="5172" w:hanging="360"/>
      </w:pPr>
    </w:lvl>
    <w:lvl w:ilvl="4" w:tplc="0C090019" w:tentative="1">
      <w:start w:val="1"/>
      <w:numFmt w:val="lowerLetter"/>
      <w:lvlText w:val="%5."/>
      <w:lvlJc w:val="left"/>
      <w:pPr>
        <w:ind w:left="5892" w:hanging="360"/>
      </w:pPr>
    </w:lvl>
    <w:lvl w:ilvl="5" w:tplc="0C09001B" w:tentative="1">
      <w:start w:val="1"/>
      <w:numFmt w:val="lowerRoman"/>
      <w:lvlText w:val="%6."/>
      <w:lvlJc w:val="right"/>
      <w:pPr>
        <w:ind w:left="6612" w:hanging="180"/>
      </w:pPr>
    </w:lvl>
    <w:lvl w:ilvl="6" w:tplc="0C09000F" w:tentative="1">
      <w:start w:val="1"/>
      <w:numFmt w:val="decimal"/>
      <w:lvlText w:val="%7."/>
      <w:lvlJc w:val="left"/>
      <w:pPr>
        <w:ind w:left="7332" w:hanging="360"/>
      </w:pPr>
    </w:lvl>
    <w:lvl w:ilvl="7" w:tplc="0C090019" w:tentative="1">
      <w:start w:val="1"/>
      <w:numFmt w:val="lowerLetter"/>
      <w:lvlText w:val="%8."/>
      <w:lvlJc w:val="left"/>
      <w:pPr>
        <w:ind w:left="8052" w:hanging="360"/>
      </w:pPr>
    </w:lvl>
    <w:lvl w:ilvl="8" w:tplc="0C09001B" w:tentative="1">
      <w:start w:val="1"/>
      <w:numFmt w:val="lowerRoman"/>
      <w:lvlText w:val="%9."/>
      <w:lvlJc w:val="right"/>
      <w:pPr>
        <w:ind w:left="8772" w:hanging="180"/>
      </w:pPr>
    </w:lvl>
  </w:abstractNum>
  <w:abstractNum w:abstractNumId="37" w15:restartNumberingAfterBreak="0">
    <w:nsid w:val="299877F2"/>
    <w:multiLevelType w:val="hybridMultilevel"/>
    <w:tmpl w:val="8C947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9F13012"/>
    <w:multiLevelType w:val="hybridMultilevel"/>
    <w:tmpl w:val="8ADCB94A"/>
    <w:lvl w:ilvl="0" w:tplc="02DAC3CC">
      <w:start w:val="1"/>
      <w:numFmt w:val="lowerLetter"/>
      <w:pStyle w:val="Bodybulletabc"/>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B1467DC"/>
    <w:multiLevelType w:val="hybridMultilevel"/>
    <w:tmpl w:val="7696E47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2CB01053"/>
    <w:multiLevelType w:val="hybridMultilevel"/>
    <w:tmpl w:val="9356B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DDC0682"/>
    <w:multiLevelType w:val="hybridMultilevel"/>
    <w:tmpl w:val="AF0CEC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0B55C81"/>
    <w:multiLevelType w:val="hybridMultilevel"/>
    <w:tmpl w:val="ADFAD09C"/>
    <w:lvl w:ilvl="0" w:tplc="B2702128">
      <w:start w:val="1"/>
      <w:numFmt w:val="lowerRoman"/>
      <w:pStyle w:val="Bodyindent1bulletromannumerals"/>
      <w:lvlText w:val="(%1)"/>
      <w:lvlJc w:val="right"/>
      <w:pPr>
        <w:ind w:left="1797" w:hanging="360"/>
      </w:pPr>
      <w:rPr>
        <w:rFonts w:hint="default"/>
      </w:rPr>
    </w:lvl>
    <w:lvl w:ilvl="1" w:tplc="9CFC0A68">
      <w:start w:val="1"/>
      <w:numFmt w:val="lowerLetter"/>
      <w:lvlText w:val="(%2)"/>
      <w:lvlJc w:val="left"/>
      <w:pPr>
        <w:ind w:left="2517" w:hanging="360"/>
      </w:pPr>
      <w:rPr>
        <w:rFonts w:hint="default"/>
      </w:r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43" w15:restartNumberingAfterBreak="0">
    <w:nsid w:val="316707BA"/>
    <w:multiLevelType w:val="multilevel"/>
    <w:tmpl w:val="AA32F4FC"/>
    <w:lvl w:ilvl="0">
      <w:start w:val="1"/>
      <w:numFmt w:val="bullet"/>
      <w:pStyle w:val="Bodyindent1bullet"/>
      <w:lvlText w:val=""/>
      <w:lvlJc w:val="left"/>
      <w:pPr>
        <w:ind w:left="1797" w:hanging="357"/>
      </w:pPr>
      <w:rPr>
        <w:rFonts w:ascii="Symbol" w:hAnsi="Symbol" w:hint="default"/>
      </w:rPr>
    </w:lvl>
    <w:lvl w:ilvl="1">
      <w:start w:val="1"/>
      <w:numFmt w:val="bullet"/>
      <w:pStyle w:val="Bodyindent1bullet2"/>
      <w:lvlText w:val="o"/>
      <w:lvlJc w:val="left"/>
      <w:pPr>
        <w:ind w:left="2517" w:hanging="357"/>
      </w:pPr>
      <w:rPr>
        <w:rFonts w:ascii="Courier New" w:hAnsi="Courier New" w:hint="default"/>
      </w:rPr>
    </w:lvl>
    <w:lvl w:ilvl="2">
      <w:start w:val="1"/>
      <w:numFmt w:val="bullet"/>
      <w:pStyle w:val="Bodyindent1bullet3"/>
      <w:lvlText w:val=""/>
      <w:lvlJc w:val="left"/>
      <w:pPr>
        <w:ind w:left="3237" w:hanging="357"/>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44" w15:restartNumberingAfterBreak="0">
    <w:nsid w:val="321044CA"/>
    <w:multiLevelType w:val="hybridMultilevel"/>
    <w:tmpl w:val="5C605E96"/>
    <w:lvl w:ilvl="0" w:tplc="F5A8CD70">
      <w:start w:val="1"/>
      <w:numFmt w:val="decimal"/>
      <w:pStyle w:val="Formtextbulle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2FB10BF"/>
    <w:multiLevelType w:val="multilevel"/>
    <w:tmpl w:val="B9EABDBC"/>
    <w:lvl w:ilvl="0">
      <w:start w:val="1"/>
      <w:numFmt w:val="lowerRoman"/>
      <w:pStyle w:val="Bodyindent2bulletromannumerals"/>
      <w:lvlText w:val="(%1)"/>
      <w:lvlJc w:val="left"/>
      <w:pPr>
        <w:ind w:left="2880" w:hanging="365"/>
      </w:pPr>
      <w:rPr>
        <w:rFonts w:hint="default"/>
      </w:rPr>
    </w:lvl>
    <w:lvl w:ilvl="1">
      <w:start w:val="1"/>
      <w:numFmt w:val="lowerLetter"/>
      <w:lvlText w:val="%2."/>
      <w:lvlJc w:val="left"/>
      <w:pPr>
        <w:ind w:left="3595" w:hanging="360"/>
      </w:pPr>
      <w:rPr>
        <w:rFonts w:hint="default"/>
      </w:rPr>
    </w:lvl>
    <w:lvl w:ilvl="2">
      <w:start w:val="1"/>
      <w:numFmt w:val="lowerRoman"/>
      <w:lvlText w:val="%3."/>
      <w:lvlJc w:val="right"/>
      <w:pPr>
        <w:ind w:left="4315" w:hanging="180"/>
      </w:pPr>
      <w:rPr>
        <w:rFonts w:hint="default"/>
      </w:rPr>
    </w:lvl>
    <w:lvl w:ilvl="3">
      <w:start w:val="1"/>
      <w:numFmt w:val="decimal"/>
      <w:lvlText w:val="%4."/>
      <w:lvlJc w:val="left"/>
      <w:pPr>
        <w:ind w:left="5035" w:hanging="360"/>
      </w:pPr>
      <w:rPr>
        <w:rFonts w:hint="default"/>
      </w:rPr>
    </w:lvl>
    <w:lvl w:ilvl="4">
      <w:start w:val="1"/>
      <w:numFmt w:val="lowerLetter"/>
      <w:lvlText w:val="%5."/>
      <w:lvlJc w:val="left"/>
      <w:pPr>
        <w:ind w:left="5755" w:hanging="360"/>
      </w:pPr>
      <w:rPr>
        <w:rFonts w:hint="default"/>
      </w:rPr>
    </w:lvl>
    <w:lvl w:ilvl="5">
      <w:start w:val="1"/>
      <w:numFmt w:val="lowerRoman"/>
      <w:lvlText w:val="%6."/>
      <w:lvlJc w:val="right"/>
      <w:pPr>
        <w:ind w:left="6475" w:hanging="180"/>
      </w:pPr>
      <w:rPr>
        <w:rFonts w:hint="default"/>
      </w:rPr>
    </w:lvl>
    <w:lvl w:ilvl="6">
      <w:start w:val="1"/>
      <w:numFmt w:val="decimal"/>
      <w:lvlText w:val="%7."/>
      <w:lvlJc w:val="left"/>
      <w:pPr>
        <w:ind w:left="7195" w:hanging="360"/>
      </w:pPr>
      <w:rPr>
        <w:rFonts w:hint="default"/>
      </w:rPr>
    </w:lvl>
    <w:lvl w:ilvl="7">
      <w:start w:val="1"/>
      <w:numFmt w:val="lowerLetter"/>
      <w:lvlText w:val="%8."/>
      <w:lvlJc w:val="left"/>
      <w:pPr>
        <w:ind w:left="7915" w:hanging="360"/>
      </w:pPr>
      <w:rPr>
        <w:rFonts w:hint="default"/>
      </w:rPr>
    </w:lvl>
    <w:lvl w:ilvl="8">
      <w:start w:val="1"/>
      <w:numFmt w:val="lowerRoman"/>
      <w:lvlText w:val="%9."/>
      <w:lvlJc w:val="right"/>
      <w:pPr>
        <w:ind w:left="8635" w:hanging="180"/>
      </w:pPr>
      <w:rPr>
        <w:rFonts w:hint="default"/>
      </w:rPr>
    </w:lvl>
  </w:abstractNum>
  <w:abstractNum w:abstractNumId="46" w15:restartNumberingAfterBreak="0">
    <w:nsid w:val="359F499D"/>
    <w:multiLevelType w:val="multilevel"/>
    <w:tmpl w:val="7256DDAE"/>
    <w:lvl w:ilvl="0">
      <w:start w:val="1"/>
      <w:numFmt w:val="bullet"/>
      <w:pStyle w:val="Multileve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360D5807"/>
    <w:multiLevelType w:val="hybridMultilevel"/>
    <w:tmpl w:val="7BFE467E"/>
    <w:lvl w:ilvl="0" w:tplc="C6C61E2A">
      <w:start w:val="1"/>
      <w:numFmt w:val="lowerRoman"/>
      <w:pStyle w:val="Bodyindent3bulletromannumerals"/>
      <w:lvlText w:val="(%1)"/>
      <w:lvlJc w:val="left"/>
      <w:pPr>
        <w:ind w:left="4122" w:hanging="360"/>
      </w:pPr>
      <w:rPr>
        <w:rFonts w:hint="default"/>
      </w:r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48" w15:restartNumberingAfterBreak="0">
    <w:nsid w:val="36272CD5"/>
    <w:multiLevelType w:val="hybridMultilevel"/>
    <w:tmpl w:val="186AE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DA0AFB"/>
    <w:multiLevelType w:val="hybridMultilevel"/>
    <w:tmpl w:val="C4163032"/>
    <w:lvl w:ilvl="0" w:tplc="8696C008">
      <w:start w:val="1"/>
      <w:numFmt w:val="decimal"/>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7487D92"/>
    <w:multiLevelType w:val="hybridMultilevel"/>
    <w:tmpl w:val="15965A0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1" w15:restartNumberingAfterBreak="0">
    <w:nsid w:val="37712F85"/>
    <w:multiLevelType w:val="hybridMultilevel"/>
    <w:tmpl w:val="73A27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C332B5F"/>
    <w:multiLevelType w:val="hybridMultilevel"/>
    <w:tmpl w:val="D8DE62A0"/>
    <w:lvl w:ilvl="0" w:tplc="03F8B3A2">
      <w:start w:val="1"/>
      <w:numFmt w:val="bullet"/>
      <w:lvlText w:val=""/>
      <w:lvlJc w:val="left"/>
      <w:pPr>
        <w:ind w:left="749" w:hanging="360"/>
      </w:pPr>
      <w:rPr>
        <w:rFonts w:ascii="Symbol" w:hAnsi="Symbol" w:hint="default"/>
        <w:color w:val="auto"/>
        <w:sz w:val="24"/>
        <w:szCs w:val="24"/>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53" w15:restartNumberingAfterBreak="0">
    <w:nsid w:val="3E434BA0"/>
    <w:multiLevelType w:val="multilevel"/>
    <w:tmpl w:val="21D2C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E4D533E"/>
    <w:multiLevelType w:val="hybridMultilevel"/>
    <w:tmpl w:val="5DC83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E9F1B1A"/>
    <w:multiLevelType w:val="hybridMultilevel"/>
    <w:tmpl w:val="2D883E7E"/>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10925C1"/>
    <w:multiLevelType w:val="hybridMultilevel"/>
    <w:tmpl w:val="85C0763A"/>
    <w:lvl w:ilvl="0" w:tplc="ECC848C6">
      <w:start w:val="1"/>
      <w:numFmt w:val="lowerLetter"/>
      <w:pStyle w:val="Bodyindent1bulletcontbulletabc"/>
      <w:lvlText w:val="(%1)"/>
      <w:lvlJc w:val="left"/>
      <w:pPr>
        <w:ind w:left="2520" w:hanging="360"/>
      </w:pPr>
      <w:rPr>
        <w:rFonts w:hint="default"/>
      </w:rPr>
    </w:lvl>
    <w:lvl w:ilvl="1" w:tplc="0C090019">
      <w:start w:val="1"/>
      <w:numFmt w:val="lowerLetter"/>
      <w:lvlText w:val="%2."/>
      <w:lvlJc w:val="left"/>
      <w:pPr>
        <w:ind w:left="1443" w:hanging="360"/>
      </w:pPr>
    </w:lvl>
    <w:lvl w:ilvl="2" w:tplc="0C09001B">
      <w:start w:val="1"/>
      <w:numFmt w:val="lowerRoman"/>
      <w:lvlText w:val="%3."/>
      <w:lvlJc w:val="right"/>
      <w:pPr>
        <w:ind w:left="2163" w:hanging="180"/>
      </w:pPr>
    </w:lvl>
    <w:lvl w:ilvl="3" w:tplc="0C09000F">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57" w15:restartNumberingAfterBreak="0">
    <w:nsid w:val="42101A8A"/>
    <w:multiLevelType w:val="hybridMultilevel"/>
    <w:tmpl w:val="FF6C7E00"/>
    <w:lvl w:ilvl="0" w:tplc="5CC45F22">
      <w:start w:val="1"/>
      <w:numFmt w:val="decimal"/>
      <w:pStyle w:val="Bodybulle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2B257ED"/>
    <w:multiLevelType w:val="hybridMultilevel"/>
    <w:tmpl w:val="5E02CA76"/>
    <w:lvl w:ilvl="0" w:tplc="C65C2F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42EF02AE"/>
    <w:multiLevelType w:val="hybridMultilevel"/>
    <w:tmpl w:val="638A28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3B111F4"/>
    <w:multiLevelType w:val="hybridMultilevel"/>
    <w:tmpl w:val="44BC321C"/>
    <w:lvl w:ilvl="0" w:tplc="AC6E9AEC">
      <w:start w:val="1"/>
      <w:numFmt w:val="decimal"/>
      <w:pStyle w:val="BodyCopybulletnumbered"/>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1" w15:restartNumberingAfterBreak="0">
    <w:nsid w:val="44D54F75"/>
    <w:multiLevelType w:val="hybridMultilevel"/>
    <w:tmpl w:val="20BC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50811DE"/>
    <w:multiLevelType w:val="hybridMultilevel"/>
    <w:tmpl w:val="27F422B8"/>
    <w:lvl w:ilvl="0" w:tplc="0C090001">
      <w:start w:val="1"/>
      <w:numFmt w:val="bullet"/>
      <w:lvlText w:val=""/>
      <w:lvlJc w:val="left"/>
      <w:pPr>
        <w:ind w:left="1792" w:hanging="360"/>
      </w:pPr>
      <w:rPr>
        <w:rFonts w:ascii="Symbol" w:hAnsi="Symbol" w:hint="default"/>
      </w:rPr>
    </w:lvl>
    <w:lvl w:ilvl="1" w:tplc="0C090003" w:tentative="1">
      <w:start w:val="1"/>
      <w:numFmt w:val="bullet"/>
      <w:lvlText w:val="o"/>
      <w:lvlJc w:val="left"/>
      <w:pPr>
        <w:ind w:left="2512" w:hanging="360"/>
      </w:pPr>
      <w:rPr>
        <w:rFonts w:ascii="Courier New" w:hAnsi="Courier New" w:cs="Courier New" w:hint="default"/>
      </w:rPr>
    </w:lvl>
    <w:lvl w:ilvl="2" w:tplc="0C090005" w:tentative="1">
      <w:start w:val="1"/>
      <w:numFmt w:val="bullet"/>
      <w:lvlText w:val=""/>
      <w:lvlJc w:val="left"/>
      <w:pPr>
        <w:ind w:left="3232" w:hanging="360"/>
      </w:pPr>
      <w:rPr>
        <w:rFonts w:ascii="Wingdings" w:hAnsi="Wingdings" w:hint="default"/>
      </w:rPr>
    </w:lvl>
    <w:lvl w:ilvl="3" w:tplc="0C090001" w:tentative="1">
      <w:start w:val="1"/>
      <w:numFmt w:val="bullet"/>
      <w:lvlText w:val=""/>
      <w:lvlJc w:val="left"/>
      <w:pPr>
        <w:ind w:left="3952" w:hanging="360"/>
      </w:pPr>
      <w:rPr>
        <w:rFonts w:ascii="Symbol" w:hAnsi="Symbol" w:hint="default"/>
      </w:rPr>
    </w:lvl>
    <w:lvl w:ilvl="4" w:tplc="0C090003" w:tentative="1">
      <w:start w:val="1"/>
      <w:numFmt w:val="bullet"/>
      <w:lvlText w:val="o"/>
      <w:lvlJc w:val="left"/>
      <w:pPr>
        <w:ind w:left="4672" w:hanging="360"/>
      </w:pPr>
      <w:rPr>
        <w:rFonts w:ascii="Courier New" w:hAnsi="Courier New" w:cs="Courier New" w:hint="default"/>
      </w:rPr>
    </w:lvl>
    <w:lvl w:ilvl="5" w:tplc="0C090005" w:tentative="1">
      <w:start w:val="1"/>
      <w:numFmt w:val="bullet"/>
      <w:lvlText w:val=""/>
      <w:lvlJc w:val="left"/>
      <w:pPr>
        <w:ind w:left="5392" w:hanging="360"/>
      </w:pPr>
      <w:rPr>
        <w:rFonts w:ascii="Wingdings" w:hAnsi="Wingdings" w:hint="default"/>
      </w:rPr>
    </w:lvl>
    <w:lvl w:ilvl="6" w:tplc="0C090001" w:tentative="1">
      <w:start w:val="1"/>
      <w:numFmt w:val="bullet"/>
      <w:lvlText w:val=""/>
      <w:lvlJc w:val="left"/>
      <w:pPr>
        <w:ind w:left="6112" w:hanging="360"/>
      </w:pPr>
      <w:rPr>
        <w:rFonts w:ascii="Symbol" w:hAnsi="Symbol" w:hint="default"/>
      </w:rPr>
    </w:lvl>
    <w:lvl w:ilvl="7" w:tplc="0C090003" w:tentative="1">
      <w:start w:val="1"/>
      <w:numFmt w:val="bullet"/>
      <w:lvlText w:val="o"/>
      <w:lvlJc w:val="left"/>
      <w:pPr>
        <w:ind w:left="6832" w:hanging="360"/>
      </w:pPr>
      <w:rPr>
        <w:rFonts w:ascii="Courier New" w:hAnsi="Courier New" w:cs="Courier New" w:hint="default"/>
      </w:rPr>
    </w:lvl>
    <w:lvl w:ilvl="8" w:tplc="0C090005" w:tentative="1">
      <w:start w:val="1"/>
      <w:numFmt w:val="bullet"/>
      <w:lvlText w:val=""/>
      <w:lvlJc w:val="left"/>
      <w:pPr>
        <w:ind w:left="7552" w:hanging="360"/>
      </w:pPr>
      <w:rPr>
        <w:rFonts w:ascii="Wingdings" w:hAnsi="Wingdings" w:hint="default"/>
      </w:rPr>
    </w:lvl>
  </w:abstractNum>
  <w:abstractNum w:abstractNumId="63" w15:restartNumberingAfterBreak="0">
    <w:nsid w:val="45307F8B"/>
    <w:multiLevelType w:val="hybridMultilevel"/>
    <w:tmpl w:val="BBB45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5C96560"/>
    <w:multiLevelType w:val="hybridMultilevel"/>
    <w:tmpl w:val="7F8A3DA0"/>
    <w:lvl w:ilvl="0" w:tplc="B27A798E">
      <w:start w:val="1"/>
      <w:numFmt w:val="bullet"/>
      <w:pStyle w:val="Bodyindent3bullet"/>
      <w:lvlText w:val=""/>
      <w:lvlJc w:val="left"/>
      <w:pPr>
        <w:ind w:left="4122" w:hanging="360"/>
      </w:pPr>
      <w:rPr>
        <w:rFonts w:ascii="Symbol" w:hAnsi="Symbol" w:hint="default"/>
      </w:rPr>
    </w:lvl>
    <w:lvl w:ilvl="1" w:tplc="40E4E570">
      <w:start w:val="1"/>
      <w:numFmt w:val="bullet"/>
      <w:pStyle w:val="Bodyindent3bullet2"/>
      <w:lvlText w:val="o"/>
      <w:lvlJc w:val="left"/>
      <w:pPr>
        <w:ind w:left="4842" w:hanging="360"/>
      </w:pPr>
      <w:rPr>
        <w:rFonts w:ascii="Courier New" w:hAnsi="Courier New" w:cs="Courier New" w:hint="default"/>
      </w:rPr>
    </w:lvl>
    <w:lvl w:ilvl="2" w:tplc="792E374A">
      <w:start w:val="1"/>
      <w:numFmt w:val="bullet"/>
      <w:pStyle w:val="Bodyindent3bullet3"/>
      <w:lvlText w:val=""/>
      <w:lvlJc w:val="left"/>
      <w:pPr>
        <w:ind w:left="5562" w:hanging="360"/>
      </w:pPr>
      <w:rPr>
        <w:rFonts w:ascii="Wingdings" w:hAnsi="Wingdings" w:hint="default"/>
      </w:rPr>
    </w:lvl>
    <w:lvl w:ilvl="3" w:tplc="0C090001" w:tentative="1">
      <w:start w:val="1"/>
      <w:numFmt w:val="bullet"/>
      <w:lvlText w:val=""/>
      <w:lvlJc w:val="left"/>
      <w:pPr>
        <w:ind w:left="6282" w:hanging="360"/>
      </w:pPr>
      <w:rPr>
        <w:rFonts w:ascii="Symbol" w:hAnsi="Symbol" w:hint="default"/>
      </w:rPr>
    </w:lvl>
    <w:lvl w:ilvl="4" w:tplc="0C090003" w:tentative="1">
      <w:start w:val="1"/>
      <w:numFmt w:val="bullet"/>
      <w:lvlText w:val="o"/>
      <w:lvlJc w:val="left"/>
      <w:pPr>
        <w:ind w:left="7002" w:hanging="360"/>
      </w:pPr>
      <w:rPr>
        <w:rFonts w:ascii="Courier New" w:hAnsi="Courier New" w:cs="Courier New" w:hint="default"/>
      </w:rPr>
    </w:lvl>
    <w:lvl w:ilvl="5" w:tplc="0C090005" w:tentative="1">
      <w:start w:val="1"/>
      <w:numFmt w:val="bullet"/>
      <w:lvlText w:val=""/>
      <w:lvlJc w:val="left"/>
      <w:pPr>
        <w:ind w:left="7722" w:hanging="360"/>
      </w:pPr>
      <w:rPr>
        <w:rFonts w:ascii="Wingdings" w:hAnsi="Wingdings" w:hint="default"/>
      </w:rPr>
    </w:lvl>
    <w:lvl w:ilvl="6" w:tplc="0C090001" w:tentative="1">
      <w:start w:val="1"/>
      <w:numFmt w:val="bullet"/>
      <w:lvlText w:val=""/>
      <w:lvlJc w:val="left"/>
      <w:pPr>
        <w:ind w:left="8442" w:hanging="360"/>
      </w:pPr>
      <w:rPr>
        <w:rFonts w:ascii="Symbol" w:hAnsi="Symbol" w:hint="default"/>
      </w:rPr>
    </w:lvl>
    <w:lvl w:ilvl="7" w:tplc="0C090003" w:tentative="1">
      <w:start w:val="1"/>
      <w:numFmt w:val="bullet"/>
      <w:lvlText w:val="o"/>
      <w:lvlJc w:val="left"/>
      <w:pPr>
        <w:ind w:left="9162" w:hanging="360"/>
      </w:pPr>
      <w:rPr>
        <w:rFonts w:ascii="Courier New" w:hAnsi="Courier New" w:cs="Courier New" w:hint="default"/>
      </w:rPr>
    </w:lvl>
    <w:lvl w:ilvl="8" w:tplc="0C090005" w:tentative="1">
      <w:start w:val="1"/>
      <w:numFmt w:val="bullet"/>
      <w:lvlText w:val=""/>
      <w:lvlJc w:val="left"/>
      <w:pPr>
        <w:ind w:left="9882" w:hanging="360"/>
      </w:pPr>
      <w:rPr>
        <w:rFonts w:ascii="Wingdings" w:hAnsi="Wingdings" w:hint="default"/>
      </w:rPr>
    </w:lvl>
  </w:abstractNum>
  <w:abstractNum w:abstractNumId="65" w15:restartNumberingAfterBreak="0">
    <w:nsid w:val="45E9426D"/>
    <w:multiLevelType w:val="hybridMultilevel"/>
    <w:tmpl w:val="6504B8EE"/>
    <w:lvl w:ilvl="0" w:tplc="522AA8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6DA5006"/>
    <w:multiLevelType w:val="hybridMultilevel"/>
    <w:tmpl w:val="C8B090C8"/>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7" w15:restartNumberingAfterBreak="0">
    <w:nsid w:val="488E2E99"/>
    <w:multiLevelType w:val="hybridMultilevel"/>
    <w:tmpl w:val="A590208E"/>
    <w:lvl w:ilvl="0" w:tplc="7F30CFF6">
      <w:start w:val="1"/>
      <w:numFmt w:val="lowerRoman"/>
      <w:lvlText w:val="(%1)"/>
      <w:lvlJc w:val="left"/>
      <w:pPr>
        <w:ind w:left="2517" w:hanging="360"/>
      </w:pPr>
      <w:rPr>
        <w:rFonts w:hint="default"/>
      </w:rPr>
    </w:lvl>
    <w:lvl w:ilvl="1" w:tplc="0C090019" w:tentative="1">
      <w:start w:val="1"/>
      <w:numFmt w:val="lowerLetter"/>
      <w:lvlText w:val="%2."/>
      <w:lvlJc w:val="left"/>
      <w:pPr>
        <w:ind w:left="3237" w:hanging="360"/>
      </w:pPr>
    </w:lvl>
    <w:lvl w:ilvl="2" w:tplc="0C09001B" w:tentative="1">
      <w:start w:val="1"/>
      <w:numFmt w:val="lowerRoman"/>
      <w:lvlText w:val="%3."/>
      <w:lvlJc w:val="right"/>
      <w:pPr>
        <w:ind w:left="3957" w:hanging="180"/>
      </w:pPr>
    </w:lvl>
    <w:lvl w:ilvl="3" w:tplc="0C09000F" w:tentative="1">
      <w:start w:val="1"/>
      <w:numFmt w:val="decimal"/>
      <w:lvlText w:val="%4."/>
      <w:lvlJc w:val="left"/>
      <w:pPr>
        <w:ind w:left="4677" w:hanging="360"/>
      </w:pPr>
    </w:lvl>
    <w:lvl w:ilvl="4" w:tplc="0C090019" w:tentative="1">
      <w:start w:val="1"/>
      <w:numFmt w:val="lowerLetter"/>
      <w:lvlText w:val="%5."/>
      <w:lvlJc w:val="left"/>
      <w:pPr>
        <w:ind w:left="5397" w:hanging="360"/>
      </w:pPr>
    </w:lvl>
    <w:lvl w:ilvl="5" w:tplc="0C09001B" w:tentative="1">
      <w:start w:val="1"/>
      <w:numFmt w:val="lowerRoman"/>
      <w:lvlText w:val="%6."/>
      <w:lvlJc w:val="right"/>
      <w:pPr>
        <w:ind w:left="6117" w:hanging="180"/>
      </w:pPr>
    </w:lvl>
    <w:lvl w:ilvl="6" w:tplc="0C09000F" w:tentative="1">
      <w:start w:val="1"/>
      <w:numFmt w:val="decimal"/>
      <w:lvlText w:val="%7."/>
      <w:lvlJc w:val="left"/>
      <w:pPr>
        <w:ind w:left="6837" w:hanging="360"/>
      </w:pPr>
    </w:lvl>
    <w:lvl w:ilvl="7" w:tplc="0C090019" w:tentative="1">
      <w:start w:val="1"/>
      <w:numFmt w:val="lowerLetter"/>
      <w:lvlText w:val="%8."/>
      <w:lvlJc w:val="left"/>
      <w:pPr>
        <w:ind w:left="7557" w:hanging="360"/>
      </w:pPr>
    </w:lvl>
    <w:lvl w:ilvl="8" w:tplc="0C09001B" w:tentative="1">
      <w:start w:val="1"/>
      <w:numFmt w:val="lowerRoman"/>
      <w:lvlText w:val="%9."/>
      <w:lvlJc w:val="right"/>
      <w:pPr>
        <w:ind w:left="8277" w:hanging="180"/>
      </w:pPr>
    </w:lvl>
  </w:abstractNum>
  <w:abstractNum w:abstractNumId="68" w15:restartNumberingAfterBreak="0">
    <w:nsid w:val="4A3A5E64"/>
    <w:multiLevelType w:val="hybridMultilevel"/>
    <w:tmpl w:val="D35E5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BCC03A0"/>
    <w:multiLevelType w:val="hybridMultilevel"/>
    <w:tmpl w:val="9C9E045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0" w15:restartNumberingAfterBreak="0">
    <w:nsid w:val="4CF351C8"/>
    <w:multiLevelType w:val="hybridMultilevel"/>
    <w:tmpl w:val="65D86612"/>
    <w:lvl w:ilvl="0" w:tplc="C65C2FCC">
      <w:start w:val="1"/>
      <w:numFmt w:val="decimal"/>
      <w:lvlText w:val="%1."/>
      <w:lvlJc w:val="left"/>
      <w:pPr>
        <w:ind w:left="1068"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4CF47EE8"/>
    <w:multiLevelType w:val="hybridMultilevel"/>
    <w:tmpl w:val="DA081D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E4322BC"/>
    <w:multiLevelType w:val="hybridMultilevel"/>
    <w:tmpl w:val="DDBE5AEE"/>
    <w:lvl w:ilvl="0" w:tplc="F8709FA2">
      <w:start w:val="1"/>
      <w:numFmt w:val="lowerRoman"/>
      <w:pStyle w:val="Bodycopybullet-romannumerals"/>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3" w15:restartNumberingAfterBreak="0">
    <w:nsid w:val="4F3574BD"/>
    <w:multiLevelType w:val="hybridMultilevel"/>
    <w:tmpl w:val="A0EA9B1E"/>
    <w:lvl w:ilvl="0" w:tplc="44ACFA02">
      <w:start w:val="1"/>
      <w:numFmt w:val="bullet"/>
      <w:pStyle w:val="Form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F5367F1"/>
    <w:multiLevelType w:val="hybridMultilevel"/>
    <w:tmpl w:val="2D883E7E"/>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F7B6A54"/>
    <w:multiLevelType w:val="hybridMultilevel"/>
    <w:tmpl w:val="DAEE8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F8264B2"/>
    <w:multiLevelType w:val="hybridMultilevel"/>
    <w:tmpl w:val="C00C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00A58D9"/>
    <w:multiLevelType w:val="hybridMultilevel"/>
    <w:tmpl w:val="13669BAA"/>
    <w:lvl w:ilvl="0" w:tplc="0C09000B">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0103434"/>
    <w:multiLevelType w:val="hybridMultilevel"/>
    <w:tmpl w:val="C22A5AA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9" w15:restartNumberingAfterBreak="0">
    <w:nsid w:val="50C0175B"/>
    <w:multiLevelType w:val="hybridMultilevel"/>
    <w:tmpl w:val="7E98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3453DC2"/>
    <w:multiLevelType w:val="hybridMultilevel"/>
    <w:tmpl w:val="D84219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6293BFC"/>
    <w:multiLevelType w:val="multilevel"/>
    <w:tmpl w:val="D7CC3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56AD7EFE"/>
    <w:multiLevelType w:val="hybridMultilevel"/>
    <w:tmpl w:val="C4163032"/>
    <w:lvl w:ilvl="0" w:tplc="8696C008">
      <w:start w:val="1"/>
      <w:numFmt w:val="decimal"/>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7A76553"/>
    <w:multiLevelType w:val="multilevel"/>
    <w:tmpl w:val="5D78188C"/>
    <w:lvl w:ilvl="0">
      <w:start w:val="1"/>
      <w:numFmt w:val="decimal"/>
      <w:pStyle w:val="Bodyindent2bulletnumbered"/>
      <w:lvlText w:val="%1."/>
      <w:lvlJc w:val="left"/>
      <w:pPr>
        <w:ind w:left="2880" w:hanging="365"/>
      </w:pPr>
      <w:rPr>
        <w:rFonts w:hint="default"/>
      </w:rPr>
    </w:lvl>
    <w:lvl w:ilvl="1">
      <w:start w:val="1"/>
      <w:numFmt w:val="lowerLetter"/>
      <w:lvlText w:val="%2."/>
      <w:lvlJc w:val="left"/>
      <w:pPr>
        <w:ind w:left="3595" w:hanging="360"/>
      </w:pPr>
      <w:rPr>
        <w:rFonts w:hint="default"/>
      </w:rPr>
    </w:lvl>
    <w:lvl w:ilvl="2">
      <w:start w:val="1"/>
      <w:numFmt w:val="lowerRoman"/>
      <w:lvlText w:val="%3."/>
      <w:lvlJc w:val="right"/>
      <w:pPr>
        <w:ind w:left="4315" w:hanging="180"/>
      </w:pPr>
      <w:rPr>
        <w:rFonts w:hint="default"/>
      </w:rPr>
    </w:lvl>
    <w:lvl w:ilvl="3">
      <w:start w:val="1"/>
      <w:numFmt w:val="decimal"/>
      <w:lvlText w:val="%4."/>
      <w:lvlJc w:val="left"/>
      <w:pPr>
        <w:ind w:left="5035" w:hanging="360"/>
      </w:pPr>
      <w:rPr>
        <w:rFonts w:hint="default"/>
      </w:rPr>
    </w:lvl>
    <w:lvl w:ilvl="4">
      <w:start w:val="1"/>
      <w:numFmt w:val="lowerLetter"/>
      <w:lvlText w:val="%5."/>
      <w:lvlJc w:val="left"/>
      <w:pPr>
        <w:ind w:left="5755" w:hanging="360"/>
      </w:pPr>
      <w:rPr>
        <w:rFonts w:hint="default"/>
      </w:rPr>
    </w:lvl>
    <w:lvl w:ilvl="5">
      <w:start w:val="1"/>
      <w:numFmt w:val="lowerRoman"/>
      <w:lvlText w:val="%6."/>
      <w:lvlJc w:val="right"/>
      <w:pPr>
        <w:ind w:left="6475" w:hanging="180"/>
      </w:pPr>
      <w:rPr>
        <w:rFonts w:hint="default"/>
      </w:rPr>
    </w:lvl>
    <w:lvl w:ilvl="6">
      <w:start w:val="1"/>
      <w:numFmt w:val="decimal"/>
      <w:lvlText w:val="%7."/>
      <w:lvlJc w:val="left"/>
      <w:pPr>
        <w:ind w:left="7195" w:hanging="360"/>
      </w:pPr>
      <w:rPr>
        <w:rFonts w:hint="default"/>
      </w:rPr>
    </w:lvl>
    <w:lvl w:ilvl="7">
      <w:start w:val="1"/>
      <w:numFmt w:val="lowerLetter"/>
      <w:lvlText w:val="%8."/>
      <w:lvlJc w:val="left"/>
      <w:pPr>
        <w:ind w:left="7915" w:hanging="360"/>
      </w:pPr>
      <w:rPr>
        <w:rFonts w:hint="default"/>
      </w:rPr>
    </w:lvl>
    <w:lvl w:ilvl="8">
      <w:start w:val="1"/>
      <w:numFmt w:val="lowerRoman"/>
      <w:lvlText w:val="%9."/>
      <w:lvlJc w:val="right"/>
      <w:pPr>
        <w:ind w:left="8635" w:hanging="180"/>
      </w:pPr>
      <w:rPr>
        <w:rFonts w:hint="default"/>
      </w:rPr>
    </w:lvl>
  </w:abstractNum>
  <w:abstractNum w:abstractNumId="84" w15:restartNumberingAfterBreak="0">
    <w:nsid w:val="57B637BD"/>
    <w:multiLevelType w:val="hybridMultilevel"/>
    <w:tmpl w:val="9A1EE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7CE4302"/>
    <w:multiLevelType w:val="hybridMultilevel"/>
    <w:tmpl w:val="666EF2A8"/>
    <w:lvl w:ilvl="0" w:tplc="B69AB082">
      <w:start w:val="1"/>
      <w:numFmt w:val="lowerRoman"/>
      <w:pStyle w:val="Bodybulletromannumeral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98225C7"/>
    <w:multiLevelType w:val="hybridMultilevel"/>
    <w:tmpl w:val="099AB180"/>
    <w:lvl w:ilvl="0" w:tplc="208A9F4E">
      <w:start w:val="1"/>
      <w:numFmt w:val="decimal"/>
      <w:pStyle w:val="Bodyindent3bulletnumbered"/>
      <w:lvlText w:val="%1."/>
      <w:lvlJc w:val="lef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87" w15:restartNumberingAfterBreak="0">
    <w:nsid w:val="598E6A05"/>
    <w:multiLevelType w:val="multilevel"/>
    <w:tmpl w:val="DDE88A0C"/>
    <w:lvl w:ilvl="0">
      <w:start w:val="1"/>
      <w:numFmt w:val="decimal"/>
      <w:pStyle w:val="Bodyindent1bulletnumbered"/>
      <w:lvlText w:val="%1."/>
      <w:lvlJc w:val="left"/>
      <w:pPr>
        <w:ind w:left="1797" w:hanging="357"/>
      </w:pPr>
      <w:rPr>
        <w:rFonts w:hint="default"/>
      </w:rPr>
    </w:lvl>
    <w:lvl w:ilvl="1">
      <w:start w:val="1"/>
      <w:numFmt w:val="lowerLetter"/>
      <w:lvlText w:val="%2."/>
      <w:lvlJc w:val="left"/>
      <w:pPr>
        <w:ind w:left="2517" w:hanging="360"/>
      </w:pPr>
      <w:rPr>
        <w:rFonts w:hint="default"/>
      </w:rPr>
    </w:lvl>
    <w:lvl w:ilvl="2">
      <w:start w:val="1"/>
      <w:numFmt w:val="lowerRoman"/>
      <w:lvlText w:val="%3."/>
      <w:lvlJc w:val="right"/>
      <w:pPr>
        <w:ind w:left="3237" w:hanging="180"/>
      </w:pPr>
      <w:rPr>
        <w:rFonts w:hint="default"/>
      </w:rPr>
    </w:lvl>
    <w:lvl w:ilvl="3">
      <w:start w:val="1"/>
      <w:numFmt w:val="decimal"/>
      <w:lvlText w:val="%4."/>
      <w:lvlJc w:val="left"/>
      <w:pPr>
        <w:ind w:left="3957" w:hanging="360"/>
      </w:pPr>
      <w:rPr>
        <w:rFonts w:hint="default"/>
      </w:rPr>
    </w:lvl>
    <w:lvl w:ilvl="4">
      <w:start w:val="1"/>
      <w:numFmt w:val="lowerLetter"/>
      <w:lvlText w:val="%5."/>
      <w:lvlJc w:val="left"/>
      <w:pPr>
        <w:ind w:left="4677" w:hanging="360"/>
      </w:pPr>
      <w:rPr>
        <w:rFonts w:hint="default"/>
      </w:rPr>
    </w:lvl>
    <w:lvl w:ilvl="5">
      <w:start w:val="1"/>
      <w:numFmt w:val="lowerRoman"/>
      <w:lvlText w:val="%6."/>
      <w:lvlJc w:val="right"/>
      <w:pPr>
        <w:ind w:left="5397" w:hanging="180"/>
      </w:pPr>
      <w:rPr>
        <w:rFonts w:hint="default"/>
      </w:rPr>
    </w:lvl>
    <w:lvl w:ilvl="6">
      <w:start w:val="1"/>
      <w:numFmt w:val="decimal"/>
      <w:lvlText w:val="%7."/>
      <w:lvlJc w:val="left"/>
      <w:pPr>
        <w:ind w:left="6117" w:hanging="360"/>
      </w:pPr>
      <w:rPr>
        <w:rFonts w:hint="default"/>
      </w:rPr>
    </w:lvl>
    <w:lvl w:ilvl="7">
      <w:start w:val="1"/>
      <w:numFmt w:val="lowerLetter"/>
      <w:lvlText w:val="%8."/>
      <w:lvlJc w:val="left"/>
      <w:pPr>
        <w:ind w:left="6837" w:hanging="360"/>
      </w:pPr>
      <w:rPr>
        <w:rFonts w:hint="default"/>
      </w:rPr>
    </w:lvl>
    <w:lvl w:ilvl="8">
      <w:start w:val="1"/>
      <w:numFmt w:val="lowerRoman"/>
      <w:lvlText w:val="%9."/>
      <w:lvlJc w:val="right"/>
      <w:pPr>
        <w:ind w:left="7557" w:hanging="180"/>
      </w:pPr>
      <w:rPr>
        <w:rFonts w:hint="default"/>
      </w:rPr>
    </w:lvl>
  </w:abstractNum>
  <w:abstractNum w:abstractNumId="88" w15:restartNumberingAfterBreak="0">
    <w:nsid w:val="5CB37C98"/>
    <w:multiLevelType w:val="hybridMultilevel"/>
    <w:tmpl w:val="DFCAD3EA"/>
    <w:lvl w:ilvl="0" w:tplc="0C090003">
      <w:start w:val="1"/>
      <w:numFmt w:val="bullet"/>
      <w:lvlText w:val="o"/>
      <w:lvlJc w:val="left"/>
      <w:pPr>
        <w:ind w:left="2517" w:hanging="360"/>
      </w:pPr>
      <w:rPr>
        <w:rFonts w:ascii="Courier New" w:hAnsi="Courier New" w:cs="Courier New" w:hint="default"/>
      </w:rPr>
    </w:lvl>
    <w:lvl w:ilvl="1" w:tplc="0C090003">
      <w:start w:val="1"/>
      <w:numFmt w:val="bullet"/>
      <w:lvlText w:val="o"/>
      <w:lvlJc w:val="left"/>
      <w:pPr>
        <w:ind w:left="3237" w:hanging="360"/>
      </w:pPr>
      <w:rPr>
        <w:rFonts w:ascii="Courier New" w:hAnsi="Courier New" w:cs="Courier New" w:hint="default"/>
      </w:rPr>
    </w:lvl>
    <w:lvl w:ilvl="2" w:tplc="0C090005" w:tentative="1">
      <w:start w:val="1"/>
      <w:numFmt w:val="bullet"/>
      <w:lvlText w:val=""/>
      <w:lvlJc w:val="left"/>
      <w:pPr>
        <w:ind w:left="3957" w:hanging="360"/>
      </w:pPr>
      <w:rPr>
        <w:rFonts w:ascii="Wingdings" w:hAnsi="Wingdings" w:hint="default"/>
      </w:rPr>
    </w:lvl>
    <w:lvl w:ilvl="3" w:tplc="0C090001" w:tentative="1">
      <w:start w:val="1"/>
      <w:numFmt w:val="bullet"/>
      <w:lvlText w:val=""/>
      <w:lvlJc w:val="left"/>
      <w:pPr>
        <w:ind w:left="4677" w:hanging="360"/>
      </w:pPr>
      <w:rPr>
        <w:rFonts w:ascii="Symbol" w:hAnsi="Symbol" w:hint="default"/>
      </w:rPr>
    </w:lvl>
    <w:lvl w:ilvl="4" w:tplc="0C090003" w:tentative="1">
      <w:start w:val="1"/>
      <w:numFmt w:val="bullet"/>
      <w:lvlText w:val="o"/>
      <w:lvlJc w:val="left"/>
      <w:pPr>
        <w:ind w:left="5397" w:hanging="360"/>
      </w:pPr>
      <w:rPr>
        <w:rFonts w:ascii="Courier New" w:hAnsi="Courier New" w:cs="Courier New" w:hint="default"/>
      </w:rPr>
    </w:lvl>
    <w:lvl w:ilvl="5" w:tplc="0C090005" w:tentative="1">
      <w:start w:val="1"/>
      <w:numFmt w:val="bullet"/>
      <w:lvlText w:val=""/>
      <w:lvlJc w:val="left"/>
      <w:pPr>
        <w:ind w:left="6117" w:hanging="360"/>
      </w:pPr>
      <w:rPr>
        <w:rFonts w:ascii="Wingdings" w:hAnsi="Wingdings" w:hint="default"/>
      </w:rPr>
    </w:lvl>
    <w:lvl w:ilvl="6" w:tplc="0C090001" w:tentative="1">
      <w:start w:val="1"/>
      <w:numFmt w:val="bullet"/>
      <w:lvlText w:val=""/>
      <w:lvlJc w:val="left"/>
      <w:pPr>
        <w:ind w:left="6837" w:hanging="360"/>
      </w:pPr>
      <w:rPr>
        <w:rFonts w:ascii="Symbol" w:hAnsi="Symbol" w:hint="default"/>
      </w:rPr>
    </w:lvl>
    <w:lvl w:ilvl="7" w:tplc="0C090003" w:tentative="1">
      <w:start w:val="1"/>
      <w:numFmt w:val="bullet"/>
      <w:lvlText w:val="o"/>
      <w:lvlJc w:val="left"/>
      <w:pPr>
        <w:ind w:left="7557" w:hanging="360"/>
      </w:pPr>
      <w:rPr>
        <w:rFonts w:ascii="Courier New" w:hAnsi="Courier New" w:cs="Courier New" w:hint="default"/>
      </w:rPr>
    </w:lvl>
    <w:lvl w:ilvl="8" w:tplc="0C090005" w:tentative="1">
      <w:start w:val="1"/>
      <w:numFmt w:val="bullet"/>
      <w:lvlText w:val=""/>
      <w:lvlJc w:val="left"/>
      <w:pPr>
        <w:ind w:left="8277" w:hanging="360"/>
      </w:pPr>
      <w:rPr>
        <w:rFonts w:ascii="Wingdings" w:hAnsi="Wingdings" w:hint="default"/>
      </w:rPr>
    </w:lvl>
  </w:abstractNum>
  <w:abstractNum w:abstractNumId="89" w15:restartNumberingAfterBreak="0">
    <w:nsid w:val="5DC344E3"/>
    <w:multiLevelType w:val="hybridMultilevel"/>
    <w:tmpl w:val="9850D29A"/>
    <w:lvl w:ilvl="0" w:tplc="866EC3C2">
      <w:start w:val="1"/>
      <w:numFmt w:val="bullet"/>
      <w:lvlText w:val=""/>
      <w:lvlJc w:val="left"/>
      <w:pPr>
        <w:tabs>
          <w:tab w:val="num" w:pos="1069"/>
        </w:tabs>
        <w:ind w:left="1069" w:hanging="360"/>
      </w:pPr>
      <w:rPr>
        <w:rFonts w:ascii="Symbol" w:hAnsi="Symbol" w:hint="default"/>
        <w:sz w:val="24"/>
        <w:szCs w:val="24"/>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5EB22004"/>
    <w:multiLevelType w:val="multilevel"/>
    <w:tmpl w:val="7556F5EC"/>
    <w:lvl w:ilvl="0">
      <w:start w:val="1"/>
      <w:numFmt w:val="decimal"/>
      <w:pStyle w:val="FPAASpecificationHeading1"/>
      <w:lvlText w:val="%1.0"/>
      <w:lvlJc w:val="left"/>
      <w:pPr>
        <w:ind w:left="1077" w:hanging="1077"/>
      </w:pPr>
      <w:rPr>
        <w:rFonts w:ascii="Providence" w:hAnsi="Providence" w:hint="default"/>
        <w:b/>
        <w:i w:val="0"/>
        <w:color w:val="003359"/>
        <w:sz w:val="32"/>
      </w:rPr>
    </w:lvl>
    <w:lvl w:ilvl="1">
      <w:start w:val="1"/>
      <w:numFmt w:val="decimal"/>
      <w:pStyle w:val="FPAASpecificationHeading2"/>
      <w:lvlText w:val="%1.%2"/>
      <w:lvlJc w:val="left"/>
      <w:pPr>
        <w:ind w:left="1077" w:hanging="1077"/>
      </w:pPr>
      <w:rPr>
        <w:rFonts w:ascii="HelveticaNeue-Light" w:hAnsi="HelveticaNeue-Light" w:hint="default"/>
        <w:b/>
        <w:i w:val="0"/>
        <w:sz w:val="22"/>
      </w:rPr>
    </w:lvl>
    <w:lvl w:ilvl="2">
      <w:start w:val="1"/>
      <w:numFmt w:val="decimal"/>
      <w:pStyle w:val="FPAASpecificationHeading3"/>
      <w:lvlText w:val="%1.%2.%3"/>
      <w:lvlJc w:val="left"/>
      <w:pPr>
        <w:ind w:left="1077" w:hanging="1077"/>
      </w:pPr>
      <w:rPr>
        <w:rFonts w:ascii="HelveticaNeue-Light" w:hAnsi="HelveticaNeue-Light" w:hint="default"/>
        <w:b/>
        <w:i w:val="0"/>
        <w:sz w:val="22"/>
      </w:rPr>
    </w:lvl>
    <w:lvl w:ilvl="3">
      <w:start w:val="1"/>
      <w:numFmt w:val="decimal"/>
      <w:pStyle w:val="FPAASpecificationHeading4"/>
      <w:lvlText w:val="%1.%2.%3.%4"/>
      <w:lvlJc w:val="left"/>
      <w:pPr>
        <w:ind w:left="1077" w:hanging="1077"/>
      </w:pPr>
      <w:rPr>
        <w:rFonts w:ascii="HelveticaNeue-Light" w:hAnsi="HelveticaNeue-Light" w:hint="default"/>
        <w:b w:val="0"/>
        <w:i/>
        <w:sz w:val="22"/>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91" w15:restartNumberingAfterBreak="0">
    <w:nsid w:val="5FCD07F2"/>
    <w:multiLevelType w:val="hybridMultilevel"/>
    <w:tmpl w:val="0ACA4A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61607B70"/>
    <w:multiLevelType w:val="hybridMultilevel"/>
    <w:tmpl w:val="6512F20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3" w15:restartNumberingAfterBreak="0">
    <w:nsid w:val="616E7258"/>
    <w:multiLevelType w:val="hybridMultilevel"/>
    <w:tmpl w:val="CCE285A0"/>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3C84000"/>
    <w:multiLevelType w:val="hybridMultilevel"/>
    <w:tmpl w:val="45AAE84A"/>
    <w:lvl w:ilvl="0" w:tplc="EA36D3D6">
      <w:start w:val="1"/>
      <w:numFmt w:val="lowerRoman"/>
      <w:pStyle w:val="Bodyindent1bulletcont2bulletromannumerals"/>
      <w:lvlText w:val="(%1)"/>
      <w:lvlJc w:val="left"/>
      <w:pPr>
        <w:ind w:left="3240" w:hanging="360"/>
      </w:pPr>
      <w:rPr>
        <w:rFonts w:hint="default"/>
      </w:rPr>
    </w:lvl>
    <w:lvl w:ilvl="1" w:tplc="0C090019">
      <w:start w:val="1"/>
      <w:numFmt w:val="lowerLetter"/>
      <w:lvlText w:val="%2."/>
      <w:lvlJc w:val="left"/>
      <w:pPr>
        <w:ind w:left="-357" w:hanging="360"/>
      </w:pPr>
    </w:lvl>
    <w:lvl w:ilvl="2" w:tplc="0C09001B">
      <w:start w:val="1"/>
      <w:numFmt w:val="lowerRoman"/>
      <w:lvlText w:val="%3."/>
      <w:lvlJc w:val="right"/>
      <w:pPr>
        <w:ind w:left="363" w:hanging="180"/>
      </w:pPr>
    </w:lvl>
    <w:lvl w:ilvl="3" w:tplc="0C09000F">
      <w:start w:val="1"/>
      <w:numFmt w:val="decimal"/>
      <w:lvlText w:val="%4."/>
      <w:lvlJc w:val="left"/>
      <w:pPr>
        <w:ind w:left="1083" w:hanging="360"/>
      </w:pPr>
    </w:lvl>
    <w:lvl w:ilvl="4" w:tplc="0C090019">
      <w:start w:val="1"/>
      <w:numFmt w:val="lowerLetter"/>
      <w:lvlText w:val="%5."/>
      <w:lvlJc w:val="left"/>
      <w:pPr>
        <w:ind w:left="1803" w:hanging="360"/>
      </w:pPr>
    </w:lvl>
    <w:lvl w:ilvl="5" w:tplc="0C09001B" w:tentative="1">
      <w:start w:val="1"/>
      <w:numFmt w:val="lowerRoman"/>
      <w:lvlText w:val="%6."/>
      <w:lvlJc w:val="right"/>
      <w:pPr>
        <w:ind w:left="2523" w:hanging="180"/>
      </w:pPr>
    </w:lvl>
    <w:lvl w:ilvl="6" w:tplc="0C09000F" w:tentative="1">
      <w:start w:val="1"/>
      <w:numFmt w:val="decimal"/>
      <w:lvlText w:val="%7."/>
      <w:lvlJc w:val="left"/>
      <w:pPr>
        <w:ind w:left="3243" w:hanging="360"/>
      </w:pPr>
    </w:lvl>
    <w:lvl w:ilvl="7" w:tplc="0C090019" w:tentative="1">
      <w:start w:val="1"/>
      <w:numFmt w:val="lowerLetter"/>
      <w:lvlText w:val="%8."/>
      <w:lvlJc w:val="left"/>
      <w:pPr>
        <w:ind w:left="3963" w:hanging="360"/>
      </w:pPr>
    </w:lvl>
    <w:lvl w:ilvl="8" w:tplc="0C09001B" w:tentative="1">
      <w:start w:val="1"/>
      <w:numFmt w:val="lowerRoman"/>
      <w:lvlText w:val="%9."/>
      <w:lvlJc w:val="right"/>
      <w:pPr>
        <w:ind w:left="4683" w:hanging="180"/>
      </w:pPr>
    </w:lvl>
  </w:abstractNum>
  <w:abstractNum w:abstractNumId="95" w15:restartNumberingAfterBreak="0">
    <w:nsid w:val="645853F8"/>
    <w:multiLevelType w:val="multilevel"/>
    <w:tmpl w:val="4C7464D0"/>
    <w:lvl w:ilvl="0">
      <w:start w:val="1"/>
      <w:numFmt w:val="bullet"/>
      <w:lvlText w:val=""/>
      <w:lvlJc w:val="left"/>
      <w:pPr>
        <w:ind w:left="424" w:hanging="284"/>
      </w:pPr>
      <w:rPr>
        <w:rFonts w:ascii="Symbol" w:hAnsi="Symbol" w:hint="default"/>
        <w:b w:val="0"/>
        <w:bCs w:val="0"/>
        <w:w w:val="100"/>
        <w:sz w:val="22"/>
        <w:szCs w:val="22"/>
      </w:rPr>
    </w:lvl>
    <w:lvl w:ilvl="1">
      <w:start w:val="1"/>
      <w:numFmt w:val="lowerRoman"/>
      <w:lvlText w:val="%2."/>
      <w:lvlJc w:val="right"/>
      <w:pPr>
        <w:ind w:left="1072" w:hanging="284"/>
      </w:pPr>
      <w:rPr>
        <w:rFonts w:hint="default"/>
      </w:rPr>
    </w:lvl>
    <w:lvl w:ilvl="2">
      <w:numFmt w:val="bullet"/>
      <w:lvlText w:val="•"/>
      <w:lvlJc w:val="left"/>
      <w:pPr>
        <w:ind w:left="1724" w:hanging="284"/>
      </w:pPr>
    </w:lvl>
    <w:lvl w:ilvl="3">
      <w:numFmt w:val="bullet"/>
      <w:lvlText w:val="•"/>
      <w:lvlJc w:val="left"/>
      <w:pPr>
        <w:ind w:left="2376" w:hanging="284"/>
      </w:pPr>
    </w:lvl>
    <w:lvl w:ilvl="4">
      <w:numFmt w:val="bullet"/>
      <w:lvlText w:val="•"/>
      <w:lvlJc w:val="left"/>
      <w:pPr>
        <w:ind w:left="3028" w:hanging="284"/>
      </w:pPr>
    </w:lvl>
    <w:lvl w:ilvl="5">
      <w:numFmt w:val="bullet"/>
      <w:lvlText w:val="•"/>
      <w:lvlJc w:val="left"/>
      <w:pPr>
        <w:ind w:left="3680" w:hanging="284"/>
      </w:pPr>
    </w:lvl>
    <w:lvl w:ilvl="6">
      <w:numFmt w:val="bullet"/>
      <w:lvlText w:val="•"/>
      <w:lvlJc w:val="left"/>
      <w:pPr>
        <w:ind w:left="4332" w:hanging="284"/>
      </w:pPr>
    </w:lvl>
    <w:lvl w:ilvl="7">
      <w:numFmt w:val="bullet"/>
      <w:lvlText w:val="•"/>
      <w:lvlJc w:val="left"/>
      <w:pPr>
        <w:ind w:left="4984" w:hanging="284"/>
      </w:pPr>
    </w:lvl>
    <w:lvl w:ilvl="8">
      <w:numFmt w:val="bullet"/>
      <w:lvlText w:val="•"/>
      <w:lvlJc w:val="left"/>
      <w:pPr>
        <w:ind w:left="5636" w:hanging="284"/>
      </w:pPr>
    </w:lvl>
  </w:abstractNum>
  <w:abstractNum w:abstractNumId="96" w15:restartNumberingAfterBreak="0">
    <w:nsid w:val="64A01579"/>
    <w:multiLevelType w:val="hybridMultilevel"/>
    <w:tmpl w:val="C78E39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5361CC5"/>
    <w:multiLevelType w:val="hybridMultilevel"/>
    <w:tmpl w:val="3BDCF6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5F23C07"/>
    <w:multiLevelType w:val="hybridMultilevel"/>
    <w:tmpl w:val="1C6CC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64A6E1A"/>
    <w:multiLevelType w:val="hybridMultilevel"/>
    <w:tmpl w:val="7AC442BE"/>
    <w:lvl w:ilvl="0" w:tplc="C65C2F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0" w15:restartNumberingAfterBreak="0">
    <w:nsid w:val="66D659FD"/>
    <w:multiLevelType w:val="hybridMultilevel"/>
    <w:tmpl w:val="0DE21D06"/>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101" w15:restartNumberingAfterBreak="0">
    <w:nsid w:val="679B65D9"/>
    <w:multiLevelType w:val="hybridMultilevel"/>
    <w:tmpl w:val="D27C9B38"/>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7C12AE4"/>
    <w:multiLevelType w:val="hybridMultilevel"/>
    <w:tmpl w:val="DA78E5A0"/>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804245D"/>
    <w:multiLevelType w:val="multilevel"/>
    <w:tmpl w:val="4C7464D0"/>
    <w:lvl w:ilvl="0">
      <w:start w:val="1"/>
      <w:numFmt w:val="bullet"/>
      <w:lvlText w:val=""/>
      <w:lvlJc w:val="left"/>
      <w:pPr>
        <w:ind w:left="424" w:hanging="284"/>
      </w:pPr>
      <w:rPr>
        <w:rFonts w:ascii="Symbol" w:hAnsi="Symbol" w:hint="default"/>
        <w:b w:val="0"/>
        <w:bCs w:val="0"/>
        <w:w w:val="100"/>
        <w:sz w:val="22"/>
        <w:szCs w:val="22"/>
      </w:rPr>
    </w:lvl>
    <w:lvl w:ilvl="1">
      <w:start w:val="1"/>
      <w:numFmt w:val="lowerRoman"/>
      <w:lvlText w:val="%2."/>
      <w:lvlJc w:val="right"/>
      <w:pPr>
        <w:ind w:left="1072" w:hanging="284"/>
      </w:pPr>
      <w:rPr>
        <w:rFonts w:hint="default"/>
      </w:rPr>
    </w:lvl>
    <w:lvl w:ilvl="2">
      <w:numFmt w:val="bullet"/>
      <w:lvlText w:val="•"/>
      <w:lvlJc w:val="left"/>
      <w:pPr>
        <w:ind w:left="1724" w:hanging="284"/>
      </w:pPr>
    </w:lvl>
    <w:lvl w:ilvl="3">
      <w:numFmt w:val="bullet"/>
      <w:lvlText w:val="•"/>
      <w:lvlJc w:val="left"/>
      <w:pPr>
        <w:ind w:left="2376" w:hanging="284"/>
      </w:pPr>
    </w:lvl>
    <w:lvl w:ilvl="4">
      <w:numFmt w:val="bullet"/>
      <w:lvlText w:val="•"/>
      <w:lvlJc w:val="left"/>
      <w:pPr>
        <w:ind w:left="3028" w:hanging="284"/>
      </w:pPr>
    </w:lvl>
    <w:lvl w:ilvl="5">
      <w:numFmt w:val="bullet"/>
      <w:lvlText w:val="•"/>
      <w:lvlJc w:val="left"/>
      <w:pPr>
        <w:ind w:left="3680" w:hanging="284"/>
      </w:pPr>
    </w:lvl>
    <w:lvl w:ilvl="6">
      <w:numFmt w:val="bullet"/>
      <w:lvlText w:val="•"/>
      <w:lvlJc w:val="left"/>
      <w:pPr>
        <w:ind w:left="4332" w:hanging="284"/>
      </w:pPr>
    </w:lvl>
    <w:lvl w:ilvl="7">
      <w:numFmt w:val="bullet"/>
      <w:lvlText w:val="•"/>
      <w:lvlJc w:val="left"/>
      <w:pPr>
        <w:ind w:left="4984" w:hanging="284"/>
      </w:pPr>
    </w:lvl>
    <w:lvl w:ilvl="8">
      <w:numFmt w:val="bullet"/>
      <w:lvlText w:val="•"/>
      <w:lvlJc w:val="left"/>
      <w:pPr>
        <w:ind w:left="5636" w:hanging="284"/>
      </w:pPr>
    </w:lvl>
  </w:abstractNum>
  <w:abstractNum w:abstractNumId="104" w15:restartNumberingAfterBreak="0">
    <w:nsid w:val="68973449"/>
    <w:multiLevelType w:val="hybridMultilevel"/>
    <w:tmpl w:val="D3D407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8D03612"/>
    <w:multiLevelType w:val="hybridMultilevel"/>
    <w:tmpl w:val="1F24113A"/>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9C91DA9"/>
    <w:multiLevelType w:val="multilevel"/>
    <w:tmpl w:val="385448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6A7A28FD"/>
    <w:multiLevelType w:val="hybridMultilevel"/>
    <w:tmpl w:val="4B78CB36"/>
    <w:lvl w:ilvl="0" w:tplc="8A125D80">
      <w:start w:val="1"/>
      <w:numFmt w:val="bullet"/>
      <w:pStyle w:val="Bodybullet"/>
      <w:lvlText w:val=""/>
      <w:lvlJc w:val="left"/>
      <w:pPr>
        <w:ind w:left="1437" w:hanging="360"/>
      </w:pPr>
      <w:rPr>
        <w:rFonts w:ascii="Symbol" w:hAnsi="Symbol" w:hint="default"/>
      </w:rPr>
    </w:lvl>
    <w:lvl w:ilvl="1" w:tplc="551EB228">
      <w:start w:val="1"/>
      <w:numFmt w:val="bullet"/>
      <w:pStyle w:val="Bodybullet2"/>
      <w:lvlText w:val="o"/>
      <w:lvlJc w:val="left"/>
      <w:pPr>
        <w:ind w:left="2157" w:hanging="360"/>
      </w:pPr>
      <w:rPr>
        <w:rFonts w:ascii="Courier New" w:hAnsi="Courier New" w:cs="Courier New" w:hint="default"/>
      </w:rPr>
    </w:lvl>
    <w:lvl w:ilvl="2" w:tplc="4AFC2E88">
      <w:start w:val="1"/>
      <w:numFmt w:val="bullet"/>
      <w:pStyle w:val="Bodybullet3"/>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08" w15:restartNumberingAfterBreak="0">
    <w:nsid w:val="6AE35564"/>
    <w:multiLevelType w:val="hybridMultilevel"/>
    <w:tmpl w:val="52B09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6B7E1821"/>
    <w:multiLevelType w:val="hybridMultilevel"/>
    <w:tmpl w:val="AE3CD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D632E15"/>
    <w:multiLevelType w:val="hybridMultilevel"/>
    <w:tmpl w:val="02A4C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FC768D"/>
    <w:multiLevelType w:val="hybridMultilevel"/>
    <w:tmpl w:val="98C09454"/>
    <w:lvl w:ilvl="0" w:tplc="0C09000B">
      <w:start w:val="1"/>
      <w:numFmt w:val="bullet"/>
      <w:lvlText w:val=""/>
      <w:lvlJc w:val="left"/>
      <w:pPr>
        <w:ind w:left="1080" w:hanging="36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2" w15:restartNumberingAfterBreak="0">
    <w:nsid w:val="70CA4EBF"/>
    <w:multiLevelType w:val="hybridMultilevel"/>
    <w:tmpl w:val="59245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2C5423D"/>
    <w:multiLevelType w:val="multilevel"/>
    <w:tmpl w:val="B31A591C"/>
    <w:lvl w:ilvl="0">
      <w:start w:val="1"/>
      <w:numFmt w:val="decimal"/>
      <w:pStyle w:val="Multi-levelNumbered"/>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31E1605"/>
    <w:multiLevelType w:val="multilevel"/>
    <w:tmpl w:val="0C09001D"/>
    <w:styleLink w:val="Multi-levelnumbere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3555937"/>
    <w:multiLevelType w:val="hybridMultilevel"/>
    <w:tmpl w:val="3E68AEDE"/>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39A1CB6"/>
    <w:multiLevelType w:val="hybridMultilevel"/>
    <w:tmpl w:val="CCE285A0"/>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3E576C7"/>
    <w:multiLevelType w:val="hybridMultilevel"/>
    <w:tmpl w:val="15CC8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5E6429F"/>
    <w:multiLevelType w:val="hybridMultilevel"/>
    <w:tmpl w:val="2B54B5C6"/>
    <w:lvl w:ilvl="0" w:tplc="1276A55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72F1C7B"/>
    <w:multiLevelType w:val="hybridMultilevel"/>
    <w:tmpl w:val="1F24113A"/>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83C71FE"/>
    <w:multiLevelType w:val="hybridMultilevel"/>
    <w:tmpl w:val="EF505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8BE5F99"/>
    <w:multiLevelType w:val="hybridMultilevel"/>
    <w:tmpl w:val="3D2C3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C010584"/>
    <w:multiLevelType w:val="multilevel"/>
    <w:tmpl w:val="19D68E44"/>
    <w:lvl w:ilvl="0">
      <w:start w:val="1"/>
      <w:numFmt w:val="decimal"/>
      <w:pStyle w:val="AppendixPSHeading01"/>
      <w:lvlText w:val="%1.0"/>
      <w:lvlJc w:val="left"/>
      <w:pPr>
        <w:ind w:left="1077" w:hanging="1077"/>
      </w:pPr>
      <w:rPr>
        <w:rFonts w:hint="default"/>
      </w:rPr>
    </w:lvl>
    <w:lvl w:ilvl="1">
      <w:start w:val="1"/>
      <w:numFmt w:val="decimal"/>
      <w:pStyle w:val="AppendixPSHeading02"/>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C494051"/>
    <w:multiLevelType w:val="hybridMultilevel"/>
    <w:tmpl w:val="DA78E5A0"/>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C4B10ED"/>
    <w:multiLevelType w:val="hybridMultilevel"/>
    <w:tmpl w:val="C4163032"/>
    <w:lvl w:ilvl="0" w:tplc="8696C008">
      <w:start w:val="1"/>
      <w:numFmt w:val="decimal"/>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CB33F5B"/>
    <w:multiLevelType w:val="hybridMultilevel"/>
    <w:tmpl w:val="31447C8E"/>
    <w:lvl w:ilvl="0" w:tplc="E4122EA8">
      <w:start w:val="1"/>
      <w:numFmt w:val="lowerLetter"/>
      <w:pStyle w:val="Bodyindent3bulletabc"/>
      <w:lvlText w:val="(%1)"/>
      <w:lvlJc w:val="left"/>
      <w:pPr>
        <w:ind w:left="4122" w:hanging="360"/>
      </w:pPr>
      <w:rPr>
        <w:rFonts w:hint="default"/>
      </w:r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126" w15:restartNumberingAfterBreak="0">
    <w:nsid w:val="7E170D91"/>
    <w:multiLevelType w:val="hybridMultilevel"/>
    <w:tmpl w:val="3C701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ECD5488"/>
    <w:multiLevelType w:val="hybridMultilevel"/>
    <w:tmpl w:val="02EC7188"/>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46"/>
  </w:num>
  <w:num w:numId="4">
    <w:abstractNumId w:val="114"/>
  </w:num>
  <w:num w:numId="5">
    <w:abstractNumId w:val="113"/>
  </w:num>
  <w:num w:numId="6">
    <w:abstractNumId w:val="118"/>
  </w:num>
  <w:num w:numId="7">
    <w:abstractNumId w:val="80"/>
  </w:num>
  <w:num w:numId="8">
    <w:abstractNumId w:val="108"/>
  </w:num>
  <w:num w:numId="9">
    <w:abstractNumId w:val="2"/>
  </w:num>
  <w:num w:numId="10">
    <w:abstractNumId w:val="65"/>
  </w:num>
  <w:num w:numId="11">
    <w:abstractNumId w:val="126"/>
  </w:num>
  <w:num w:numId="12">
    <w:abstractNumId w:val="49"/>
  </w:num>
  <w:num w:numId="13">
    <w:abstractNumId w:val="89"/>
  </w:num>
  <w:num w:numId="14">
    <w:abstractNumId w:val="7"/>
  </w:num>
  <w:num w:numId="15">
    <w:abstractNumId w:val="21"/>
  </w:num>
  <w:num w:numId="16">
    <w:abstractNumId w:val="11"/>
  </w:num>
  <w:num w:numId="17">
    <w:abstractNumId w:val="112"/>
  </w:num>
  <w:num w:numId="18">
    <w:abstractNumId w:val="51"/>
  </w:num>
  <w:num w:numId="19">
    <w:abstractNumId w:val="70"/>
  </w:num>
  <w:num w:numId="20">
    <w:abstractNumId w:val="99"/>
  </w:num>
  <w:num w:numId="21">
    <w:abstractNumId w:val="15"/>
  </w:num>
  <w:num w:numId="22">
    <w:abstractNumId w:val="6"/>
  </w:num>
  <w:num w:numId="23">
    <w:abstractNumId w:val="61"/>
  </w:num>
  <w:num w:numId="24">
    <w:abstractNumId w:val="127"/>
  </w:num>
  <w:num w:numId="25">
    <w:abstractNumId w:val="109"/>
  </w:num>
  <w:num w:numId="26">
    <w:abstractNumId w:val="59"/>
  </w:num>
  <w:num w:numId="27">
    <w:abstractNumId w:val="37"/>
  </w:num>
  <w:num w:numId="28">
    <w:abstractNumId w:val="26"/>
  </w:num>
  <w:num w:numId="29">
    <w:abstractNumId w:val="17"/>
  </w:num>
  <w:num w:numId="30">
    <w:abstractNumId w:val="48"/>
  </w:num>
  <w:num w:numId="31">
    <w:abstractNumId w:val="14"/>
  </w:num>
  <w:num w:numId="32">
    <w:abstractNumId w:val="93"/>
  </w:num>
  <w:num w:numId="33">
    <w:abstractNumId w:val="23"/>
  </w:num>
  <w:num w:numId="34">
    <w:abstractNumId w:val="32"/>
  </w:num>
  <w:num w:numId="35">
    <w:abstractNumId w:val="91"/>
  </w:num>
  <w:num w:numId="36">
    <w:abstractNumId w:val="104"/>
  </w:num>
  <w:num w:numId="37">
    <w:abstractNumId w:val="25"/>
  </w:num>
  <w:num w:numId="38">
    <w:abstractNumId w:val="39"/>
  </w:num>
  <w:num w:numId="39">
    <w:abstractNumId w:val="66"/>
  </w:num>
  <w:num w:numId="40">
    <w:abstractNumId w:val="52"/>
  </w:num>
  <w:num w:numId="41">
    <w:abstractNumId w:val="63"/>
  </w:num>
  <w:num w:numId="42">
    <w:abstractNumId w:val="76"/>
  </w:num>
  <w:num w:numId="43">
    <w:abstractNumId w:val="38"/>
  </w:num>
  <w:num w:numId="44">
    <w:abstractNumId w:val="43"/>
  </w:num>
  <w:num w:numId="45">
    <w:abstractNumId w:val="4"/>
  </w:num>
  <w:num w:numId="46">
    <w:abstractNumId w:val="87"/>
  </w:num>
  <w:num w:numId="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7"/>
  </w:num>
  <w:num w:numId="50">
    <w:abstractNumId w:val="31"/>
  </w:num>
  <w:num w:numId="51">
    <w:abstractNumId w:val="92"/>
  </w:num>
  <w:num w:numId="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2"/>
    <w:lvlOverride w:ilvl="0">
      <w:lvl w:ilvl="0">
        <w:start w:val="1"/>
        <w:numFmt w:val="decimal"/>
        <w:pStyle w:val="AppendixPSHeading01"/>
        <w:lvlText w:val="%1.0"/>
        <w:lvlJc w:val="left"/>
        <w:pPr>
          <w:ind w:left="1077" w:hanging="1077"/>
        </w:pPr>
        <w:rPr>
          <w:rFonts w:hint="default"/>
        </w:rPr>
      </w:lvl>
    </w:lvlOverride>
    <w:lvlOverride w:ilvl="1">
      <w:lvl w:ilvl="1">
        <w:start w:val="1"/>
        <w:numFmt w:val="decimal"/>
        <w:pStyle w:val="AppendixPSHeading02"/>
        <w:lvlText w:val="%1.%2"/>
        <w:lvlJc w:val="left"/>
        <w:pPr>
          <w:ind w:left="2155" w:hanging="1078"/>
        </w:pPr>
        <w:rPr>
          <w:rFonts w:hint="default"/>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107"/>
  </w:num>
  <w:num w:numId="56">
    <w:abstractNumId w:val="57"/>
  </w:num>
  <w:num w:numId="57">
    <w:abstractNumId w:val="85"/>
  </w:num>
  <w:num w:numId="58">
    <w:abstractNumId w:val="94"/>
  </w:num>
  <w:num w:numId="59">
    <w:abstractNumId w:val="56"/>
  </w:num>
  <w:num w:numId="60">
    <w:abstractNumId w:val="42"/>
  </w:num>
  <w:num w:numId="61">
    <w:abstractNumId w:val="12"/>
  </w:num>
  <w:num w:numId="62">
    <w:abstractNumId w:val="16"/>
  </w:num>
  <w:num w:numId="63">
    <w:abstractNumId w:val="24"/>
  </w:num>
  <w:num w:numId="64">
    <w:abstractNumId w:val="83"/>
  </w:num>
  <w:num w:numId="65">
    <w:abstractNumId w:val="45"/>
  </w:num>
  <w:num w:numId="66">
    <w:abstractNumId w:val="64"/>
  </w:num>
  <w:num w:numId="67">
    <w:abstractNumId w:val="125"/>
  </w:num>
  <w:num w:numId="68">
    <w:abstractNumId w:val="86"/>
  </w:num>
  <w:num w:numId="69">
    <w:abstractNumId w:val="47"/>
  </w:num>
  <w:num w:numId="70">
    <w:abstractNumId w:val="73"/>
  </w:num>
  <w:num w:numId="71">
    <w:abstractNumId w:val="44"/>
  </w:num>
  <w:num w:numId="72">
    <w:abstractNumId w:val="72"/>
  </w:num>
  <w:num w:numId="73">
    <w:abstractNumId w:val="60"/>
  </w:num>
  <w:num w:numId="74">
    <w:abstractNumId w:val="28"/>
  </w:num>
  <w:num w:numId="75">
    <w:abstractNumId w:val="22"/>
  </w:num>
  <w:num w:numId="76">
    <w:abstractNumId w:val="36"/>
  </w:num>
  <w:num w:numId="77">
    <w:abstractNumId w:val="13"/>
  </w:num>
  <w:num w:numId="78">
    <w:abstractNumId w:val="90"/>
  </w:num>
  <w:num w:numId="79">
    <w:abstractNumId w:val="90"/>
    <w:lvlOverride w:ilvl="0">
      <w:lvl w:ilvl="0">
        <w:start w:val="1"/>
        <w:numFmt w:val="decimal"/>
        <w:pStyle w:val="FPAASpecificationHeading1"/>
        <w:lvlText w:val="%1.0"/>
        <w:lvlJc w:val="left"/>
        <w:pPr>
          <w:ind w:left="1077" w:hanging="1077"/>
        </w:pPr>
        <w:rPr>
          <w:rFonts w:ascii="Providence" w:hAnsi="Providence" w:hint="default"/>
          <w:b/>
          <w:i w:val="0"/>
          <w:color w:val="003359"/>
          <w:sz w:val="32"/>
        </w:rPr>
      </w:lvl>
    </w:lvlOverride>
    <w:lvlOverride w:ilvl="1">
      <w:lvl w:ilvl="1">
        <w:start w:val="1"/>
        <w:numFmt w:val="decimal"/>
        <w:pStyle w:val="FPAASpecificationHeading2"/>
        <w:lvlText w:val="%1.%2"/>
        <w:lvlJc w:val="left"/>
        <w:pPr>
          <w:ind w:left="1077" w:hanging="1077"/>
        </w:pPr>
        <w:rPr>
          <w:rFonts w:ascii="HelveticaNeue-Light" w:hAnsi="HelveticaNeue-Light" w:hint="default"/>
          <w:b/>
          <w:i w:val="0"/>
          <w:sz w:val="28"/>
        </w:rPr>
      </w:lvl>
    </w:lvlOverride>
    <w:lvlOverride w:ilvl="2">
      <w:lvl w:ilvl="2">
        <w:start w:val="1"/>
        <w:numFmt w:val="decimal"/>
        <w:pStyle w:val="FPAASpecificationHeading3"/>
        <w:lvlText w:val="%1.%2.%3"/>
        <w:lvlJc w:val="left"/>
        <w:pPr>
          <w:ind w:left="1077" w:hanging="1077"/>
        </w:pPr>
        <w:rPr>
          <w:rFonts w:ascii="HelveticaNeue-Light" w:hAnsi="HelveticaNeue-Light" w:hint="default"/>
          <w:b w:val="0"/>
          <w:i w:val="0"/>
          <w:sz w:val="22"/>
        </w:rPr>
      </w:lvl>
    </w:lvlOverride>
    <w:lvlOverride w:ilvl="3">
      <w:lvl w:ilvl="3">
        <w:start w:val="1"/>
        <w:numFmt w:val="decimal"/>
        <w:pStyle w:val="FPAASpecificationHeading4"/>
        <w:lvlText w:val="%1.%2.%3.%4"/>
        <w:lvlJc w:val="left"/>
        <w:pPr>
          <w:ind w:left="1077" w:hanging="1077"/>
        </w:pPr>
        <w:rPr>
          <w:rFonts w:ascii="HelveticaNeue-Light" w:hAnsi="HelveticaNeue-Light" w:hint="default"/>
          <w:b w:val="0"/>
          <w:i/>
          <w:sz w:val="22"/>
        </w:rPr>
      </w:lvl>
    </w:lvlOverride>
    <w:lvlOverride w:ilvl="4">
      <w:lvl w:ilvl="4">
        <w:start w:val="1"/>
        <w:numFmt w:val="decimal"/>
        <w:lvlText w:val="%1.%2.%3.%4.%5."/>
        <w:lvlJc w:val="left"/>
        <w:pPr>
          <w:ind w:left="1077" w:hanging="1077"/>
        </w:pPr>
        <w:rPr>
          <w:rFonts w:hint="default"/>
        </w:rPr>
      </w:lvl>
    </w:lvlOverride>
    <w:lvlOverride w:ilvl="5">
      <w:lvl w:ilvl="5">
        <w:start w:val="1"/>
        <w:numFmt w:val="decimal"/>
        <w:lvlText w:val="%1.%2.%3.%4.%5.%6."/>
        <w:lvlJc w:val="left"/>
        <w:pPr>
          <w:ind w:left="1077" w:hanging="1077"/>
        </w:pPr>
        <w:rPr>
          <w:rFonts w:hint="default"/>
        </w:rPr>
      </w:lvl>
    </w:lvlOverride>
    <w:lvlOverride w:ilvl="6">
      <w:lvl w:ilvl="6">
        <w:start w:val="1"/>
        <w:numFmt w:val="decimal"/>
        <w:lvlText w:val="%1.%2.%3.%4.%5.%6.%7."/>
        <w:lvlJc w:val="left"/>
        <w:pPr>
          <w:ind w:left="1077" w:hanging="1077"/>
        </w:pPr>
        <w:rPr>
          <w:rFonts w:hint="default"/>
        </w:rPr>
      </w:lvl>
    </w:lvlOverride>
    <w:lvlOverride w:ilvl="7">
      <w:lvl w:ilvl="7">
        <w:start w:val="1"/>
        <w:numFmt w:val="decimal"/>
        <w:lvlText w:val="%1.%2.%3.%4.%5.%6.%7.%8."/>
        <w:lvlJc w:val="left"/>
        <w:pPr>
          <w:ind w:left="1077" w:hanging="1077"/>
        </w:pPr>
        <w:rPr>
          <w:rFonts w:hint="default"/>
        </w:rPr>
      </w:lvl>
    </w:lvlOverride>
    <w:lvlOverride w:ilvl="8">
      <w:lvl w:ilvl="8">
        <w:start w:val="1"/>
        <w:numFmt w:val="decimal"/>
        <w:lvlText w:val="%1.%2.%3.%4.%5.%6.%7.%8.%9."/>
        <w:lvlJc w:val="left"/>
        <w:pPr>
          <w:ind w:left="1077" w:hanging="1077"/>
        </w:pPr>
        <w:rPr>
          <w:rFonts w:hint="default"/>
        </w:rPr>
      </w:lvl>
    </w:lvlOverride>
  </w:num>
  <w:num w:numId="80">
    <w:abstractNumId w:val="88"/>
  </w:num>
  <w:num w:numId="81">
    <w:abstractNumId w:val="75"/>
  </w:num>
  <w:num w:numId="82">
    <w:abstractNumId w:val="3"/>
  </w:num>
  <w:num w:numId="83">
    <w:abstractNumId w:val="20"/>
  </w:num>
  <w:num w:numId="84">
    <w:abstractNumId w:val="29"/>
  </w:num>
  <w:num w:numId="85">
    <w:abstractNumId w:val="33"/>
  </w:num>
  <w:num w:numId="86">
    <w:abstractNumId w:val="121"/>
  </w:num>
  <w:num w:numId="87">
    <w:abstractNumId w:val="2"/>
  </w:num>
  <w:num w:numId="88">
    <w:abstractNumId w:val="19"/>
  </w:num>
  <w:num w:numId="89">
    <w:abstractNumId w:val="18"/>
  </w:num>
  <w:num w:numId="90">
    <w:abstractNumId w:val="2"/>
  </w:num>
  <w:num w:numId="91">
    <w:abstractNumId w:val="18"/>
  </w:num>
  <w:num w:numId="92">
    <w:abstractNumId w:val="106"/>
  </w:num>
  <w:num w:numId="93">
    <w:abstractNumId w:val="53"/>
  </w:num>
  <w:num w:numId="94">
    <w:abstractNumId w:val="71"/>
  </w:num>
  <w:num w:numId="95">
    <w:abstractNumId w:val="77"/>
  </w:num>
  <w:num w:numId="96">
    <w:abstractNumId w:val="97"/>
  </w:num>
  <w:num w:numId="97">
    <w:abstractNumId w:val="10"/>
  </w:num>
  <w:num w:numId="98">
    <w:abstractNumId w:val="98"/>
  </w:num>
  <w:num w:numId="99">
    <w:abstractNumId w:val="54"/>
  </w:num>
  <w:num w:numId="100">
    <w:abstractNumId w:val="110"/>
  </w:num>
  <w:num w:numId="101">
    <w:abstractNumId w:val="117"/>
  </w:num>
  <w:num w:numId="102">
    <w:abstractNumId w:val="68"/>
  </w:num>
  <w:num w:numId="103">
    <w:abstractNumId w:val="95"/>
  </w:num>
  <w:num w:numId="104">
    <w:abstractNumId w:val="5"/>
  </w:num>
  <w:num w:numId="105">
    <w:abstractNumId w:val="34"/>
  </w:num>
  <w:num w:numId="106">
    <w:abstractNumId w:val="120"/>
  </w:num>
  <w:num w:numId="107">
    <w:abstractNumId w:val="79"/>
  </w:num>
  <w:num w:numId="108">
    <w:abstractNumId w:val="103"/>
  </w:num>
  <w:num w:numId="109">
    <w:abstractNumId w:val="58"/>
  </w:num>
  <w:num w:numId="110">
    <w:abstractNumId w:val="9"/>
  </w:num>
  <w:num w:numId="111">
    <w:abstractNumId w:val="40"/>
  </w:num>
  <w:num w:numId="112">
    <w:abstractNumId w:val="30"/>
  </w:num>
  <w:num w:numId="113">
    <w:abstractNumId w:val="100"/>
  </w:num>
  <w:num w:numId="114">
    <w:abstractNumId w:val="82"/>
  </w:num>
  <w:num w:numId="115">
    <w:abstractNumId w:val="124"/>
  </w:num>
  <w:num w:numId="116">
    <w:abstractNumId w:val="116"/>
  </w:num>
  <w:num w:numId="117">
    <w:abstractNumId w:val="115"/>
  </w:num>
  <w:num w:numId="118">
    <w:abstractNumId w:val="101"/>
  </w:num>
  <w:num w:numId="119">
    <w:abstractNumId w:val="27"/>
  </w:num>
  <w:num w:numId="120">
    <w:abstractNumId w:val="119"/>
  </w:num>
  <w:num w:numId="121">
    <w:abstractNumId w:val="74"/>
  </w:num>
  <w:num w:numId="122">
    <w:abstractNumId w:val="105"/>
  </w:num>
  <w:num w:numId="123">
    <w:abstractNumId w:val="123"/>
  </w:num>
  <w:num w:numId="124">
    <w:abstractNumId w:val="55"/>
  </w:num>
  <w:num w:numId="125">
    <w:abstractNumId w:val="102"/>
  </w:num>
  <w:num w:numId="126">
    <w:abstractNumId w:val="62"/>
  </w:num>
  <w:num w:numId="127">
    <w:abstractNumId w:val="84"/>
  </w:num>
  <w:num w:numId="128">
    <w:abstractNumId w:val="96"/>
  </w:num>
  <w:num w:numId="129">
    <w:abstractNumId w:val="111"/>
  </w:num>
  <w:num w:numId="130">
    <w:abstractNumId w:val="69"/>
  </w:num>
  <w:num w:numId="131">
    <w:abstractNumId w:val="50"/>
  </w:num>
  <w:num w:numId="132">
    <w:abstractNumId w:val="78"/>
  </w:num>
  <w:num w:numId="133">
    <w:abstractNumId w:val="35"/>
  </w:num>
  <w:num w:numId="134">
    <w:abstractNumId w:val="8"/>
  </w:num>
  <w:num w:numId="1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B5"/>
    <w:rsid w:val="000022C4"/>
    <w:rsid w:val="00003D47"/>
    <w:rsid w:val="00005855"/>
    <w:rsid w:val="000062AF"/>
    <w:rsid w:val="00010865"/>
    <w:rsid w:val="00011AAC"/>
    <w:rsid w:val="00011EFA"/>
    <w:rsid w:val="00013678"/>
    <w:rsid w:val="000150B0"/>
    <w:rsid w:val="0001584D"/>
    <w:rsid w:val="00017949"/>
    <w:rsid w:val="000179F4"/>
    <w:rsid w:val="00026850"/>
    <w:rsid w:val="0003149C"/>
    <w:rsid w:val="0003376D"/>
    <w:rsid w:val="00034158"/>
    <w:rsid w:val="00034CC4"/>
    <w:rsid w:val="00035417"/>
    <w:rsid w:val="00035E36"/>
    <w:rsid w:val="00036386"/>
    <w:rsid w:val="00037F8C"/>
    <w:rsid w:val="00040627"/>
    <w:rsid w:val="00041CE0"/>
    <w:rsid w:val="00042B59"/>
    <w:rsid w:val="0004457B"/>
    <w:rsid w:val="00046300"/>
    <w:rsid w:val="00046308"/>
    <w:rsid w:val="00047487"/>
    <w:rsid w:val="000513CF"/>
    <w:rsid w:val="00051655"/>
    <w:rsid w:val="00053C19"/>
    <w:rsid w:val="00054A01"/>
    <w:rsid w:val="00063565"/>
    <w:rsid w:val="000643C3"/>
    <w:rsid w:val="00065F74"/>
    <w:rsid w:val="0006614A"/>
    <w:rsid w:val="0006693E"/>
    <w:rsid w:val="00074E0B"/>
    <w:rsid w:val="00076525"/>
    <w:rsid w:val="00080BEF"/>
    <w:rsid w:val="00080E72"/>
    <w:rsid w:val="0008125C"/>
    <w:rsid w:val="00083CC6"/>
    <w:rsid w:val="000846C4"/>
    <w:rsid w:val="00084A1B"/>
    <w:rsid w:val="00084CA1"/>
    <w:rsid w:val="00085DCA"/>
    <w:rsid w:val="00086B44"/>
    <w:rsid w:val="00086F22"/>
    <w:rsid w:val="000901E9"/>
    <w:rsid w:val="000906C1"/>
    <w:rsid w:val="000929C7"/>
    <w:rsid w:val="0009382D"/>
    <w:rsid w:val="00097BED"/>
    <w:rsid w:val="000A17D1"/>
    <w:rsid w:val="000A2589"/>
    <w:rsid w:val="000A3725"/>
    <w:rsid w:val="000A43CD"/>
    <w:rsid w:val="000A53EE"/>
    <w:rsid w:val="000B0A72"/>
    <w:rsid w:val="000B1076"/>
    <w:rsid w:val="000B2944"/>
    <w:rsid w:val="000B329C"/>
    <w:rsid w:val="000B5EA3"/>
    <w:rsid w:val="000B6BEC"/>
    <w:rsid w:val="000B779D"/>
    <w:rsid w:val="000C0B23"/>
    <w:rsid w:val="000C3F34"/>
    <w:rsid w:val="000C6484"/>
    <w:rsid w:val="000D2D22"/>
    <w:rsid w:val="000D2FA3"/>
    <w:rsid w:val="000D5784"/>
    <w:rsid w:val="000D5811"/>
    <w:rsid w:val="000D636D"/>
    <w:rsid w:val="000D7584"/>
    <w:rsid w:val="000E3A85"/>
    <w:rsid w:val="000E585D"/>
    <w:rsid w:val="000E62D9"/>
    <w:rsid w:val="000E65A6"/>
    <w:rsid w:val="000E6ED6"/>
    <w:rsid w:val="000F2E79"/>
    <w:rsid w:val="000F3920"/>
    <w:rsid w:val="000F3A07"/>
    <w:rsid w:val="000F53FF"/>
    <w:rsid w:val="000F5568"/>
    <w:rsid w:val="000F75CE"/>
    <w:rsid w:val="000F7923"/>
    <w:rsid w:val="0010310D"/>
    <w:rsid w:val="00104179"/>
    <w:rsid w:val="00105387"/>
    <w:rsid w:val="001057A6"/>
    <w:rsid w:val="0010774F"/>
    <w:rsid w:val="0011178D"/>
    <w:rsid w:val="00112230"/>
    <w:rsid w:val="0011292B"/>
    <w:rsid w:val="00113DD0"/>
    <w:rsid w:val="00120D24"/>
    <w:rsid w:val="001210FF"/>
    <w:rsid w:val="00121D0F"/>
    <w:rsid w:val="00122552"/>
    <w:rsid w:val="00122A8E"/>
    <w:rsid w:val="0012328B"/>
    <w:rsid w:val="00123DB5"/>
    <w:rsid w:val="00125319"/>
    <w:rsid w:val="00127EC9"/>
    <w:rsid w:val="00132BD9"/>
    <w:rsid w:val="0013538E"/>
    <w:rsid w:val="00136C17"/>
    <w:rsid w:val="00140415"/>
    <w:rsid w:val="001413B6"/>
    <w:rsid w:val="0014242B"/>
    <w:rsid w:val="0014244E"/>
    <w:rsid w:val="001424EF"/>
    <w:rsid w:val="00142D9E"/>
    <w:rsid w:val="0014340A"/>
    <w:rsid w:val="00144299"/>
    <w:rsid w:val="0014620D"/>
    <w:rsid w:val="00146A35"/>
    <w:rsid w:val="00147951"/>
    <w:rsid w:val="001507E2"/>
    <w:rsid w:val="00150A50"/>
    <w:rsid w:val="00152D10"/>
    <w:rsid w:val="0015461A"/>
    <w:rsid w:val="00156401"/>
    <w:rsid w:val="001622CF"/>
    <w:rsid w:val="00163449"/>
    <w:rsid w:val="00164083"/>
    <w:rsid w:val="00165A27"/>
    <w:rsid w:val="00165C41"/>
    <w:rsid w:val="00166559"/>
    <w:rsid w:val="00167668"/>
    <w:rsid w:val="001679B0"/>
    <w:rsid w:val="00171C93"/>
    <w:rsid w:val="00174DFC"/>
    <w:rsid w:val="00174FD9"/>
    <w:rsid w:val="001771C7"/>
    <w:rsid w:val="00177705"/>
    <w:rsid w:val="001810AA"/>
    <w:rsid w:val="00181B4D"/>
    <w:rsid w:val="00181EFB"/>
    <w:rsid w:val="00182370"/>
    <w:rsid w:val="00182CB1"/>
    <w:rsid w:val="00187A32"/>
    <w:rsid w:val="00187EAA"/>
    <w:rsid w:val="00190B2C"/>
    <w:rsid w:val="0019268A"/>
    <w:rsid w:val="00192C16"/>
    <w:rsid w:val="00195067"/>
    <w:rsid w:val="0019625B"/>
    <w:rsid w:val="001962A5"/>
    <w:rsid w:val="001A0A52"/>
    <w:rsid w:val="001A3309"/>
    <w:rsid w:val="001A343C"/>
    <w:rsid w:val="001A55D9"/>
    <w:rsid w:val="001B2068"/>
    <w:rsid w:val="001B39CC"/>
    <w:rsid w:val="001B5328"/>
    <w:rsid w:val="001B7A84"/>
    <w:rsid w:val="001C09B1"/>
    <w:rsid w:val="001C0D80"/>
    <w:rsid w:val="001C28A2"/>
    <w:rsid w:val="001C4D58"/>
    <w:rsid w:val="001C4FF0"/>
    <w:rsid w:val="001C6D77"/>
    <w:rsid w:val="001C79BD"/>
    <w:rsid w:val="001C7A00"/>
    <w:rsid w:val="001C7E9D"/>
    <w:rsid w:val="001D006B"/>
    <w:rsid w:val="001D0636"/>
    <w:rsid w:val="001D0B6A"/>
    <w:rsid w:val="001D2D55"/>
    <w:rsid w:val="001D35C5"/>
    <w:rsid w:val="001D3ED5"/>
    <w:rsid w:val="001D5C93"/>
    <w:rsid w:val="001D5EE6"/>
    <w:rsid w:val="001D73DD"/>
    <w:rsid w:val="001D7D86"/>
    <w:rsid w:val="001E18B0"/>
    <w:rsid w:val="001E5048"/>
    <w:rsid w:val="001E55CB"/>
    <w:rsid w:val="001E6994"/>
    <w:rsid w:val="001E71D0"/>
    <w:rsid w:val="001F06BC"/>
    <w:rsid w:val="001F0E1D"/>
    <w:rsid w:val="001F17A8"/>
    <w:rsid w:val="001F3811"/>
    <w:rsid w:val="001F3C93"/>
    <w:rsid w:val="001F4813"/>
    <w:rsid w:val="001F4C03"/>
    <w:rsid w:val="001F5B48"/>
    <w:rsid w:val="001F5FC4"/>
    <w:rsid w:val="001F66BB"/>
    <w:rsid w:val="002003B5"/>
    <w:rsid w:val="00200A78"/>
    <w:rsid w:val="00201461"/>
    <w:rsid w:val="0020268F"/>
    <w:rsid w:val="0020272F"/>
    <w:rsid w:val="0020750D"/>
    <w:rsid w:val="00207FED"/>
    <w:rsid w:val="002108FA"/>
    <w:rsid w:val="00211114"/>
    <w:rsid w:val="0021162C"/>
    <w:rsid w:val="002128C3"/>
    <w:rsid w:val="00213011"/>
    <w:rsid w:val="00213DC8"/>
    <w:rsid w:val="00220807"/>
    <w:rsid w:val="00222343"/>
    <w:rsid w:val="00222ADD"/>
    <w:rsid w:val="00225027"/>
    <w:rsid w:val="00225A2F"/>
    <w:rsid w:val="0022623A"/>
    <w:rsid w:val="00226948"/>
    <w:rsid w:val="00227EC1"/>
    <w:rsid w:val="002305E0"/>
    <w:rsid w:val="0023161C"/>
    <w:rsid w:val="00231A82"/>
    <w:rsid w:val="00235598"/>
    <w:rsid w:val="002362D7"/>
    <w:rsid w:val="002446AD"/>
    <w:rsid w:val="00246E24"/>
    <w:rsid w:val="00247BEC"/>
    <w:rsid w:val="00247E1F"/>
    <w:rsid w:val="002533F9"/>
    <w:rsid w:val="00253969"/>
    <w:rsid w:val="00254DBE"/>
    <w:rsid w:val="00255CE5"/>
    <w:rsid w:val="00256B12"/>
    <w:rsid w:val="0025790E"/>
    <w:rsid w:val="00257BA6"/>
    <w:rsid w:val="002617D8"/>
    <w:rsid w:val="002618A4"/>
    <w:rsid w:val="002647AD"/>
    <w:rsid w:val="002664DF"/>
    <w:rsid w:val="0026675C"/>
    <w:rsid w:val="002668D1"/>
    <w:rsid w:val="00271109"/>
    <w:rsid w:val="002716AB"/>
    <w:rsid w:val="002745C7"/>
    <w:rsid w:val="00274AF1"/>
    <w:rsid w:val="00274DFB"/>
    <w:rsid w:val="002758E0"/>
    <w:rsid w:val="00281324"/>
    <w:rsid w:val="002842BE"/>
    <w:rsid w:val="00284877"/>
    <w:rsid w:val="00284ECF"/>
    <w:rsid w:val="00286151"/>
    <w:rsid w:val="002879B0"/>
    <w:rsid w:val="00287C1D"/>
    <w:rsid w:val="00287E0F"/>
    <w:rsid w:val="00290710"/>
    <w:rsid w:val="00290BAC"/>
    <w:rsid w:val="002921DE"/>
    <w:rsid w:val="0029475C"/>
    <w:rsid w:val="00294FD0"/>
    <w:rsid w:val="0029712E"/>
    <w:rsid w:val="00297AAC"/>
    <w:rsid w:val="002A022B"/>
    <w:rsid w:val="002A203E"/>
    <w:rsid w:val="002A25A5"/>
    <w:rsid w:val="002A34A5"/>
    <w:rsid w:val="002A3F98"/>
    <w:rsid w:val="002A4CA6"/>
    <w:rsid w:val="002A5868"/>
    <w:rsid w:val="002A7A2C"/>
    <w:rsid w:val="002B0689"/>
    <w:rsid w:val="002B0735"/>
    <w:rsid w:val="002B0C2C"/>
    <w:rsid w:val="002B37B2"/>
    <w:rsid w:val="002B7F26"/>
    <w:rsid w:val="002C20EF"/>
    <w:rsid w:val="002C4107"/>
    <w:rsid w:val="002C50BF"/>
    <w:rsid w:val="002C533F"/>
    <w:rsid w:val="002C59F0"/>
    <w:rsid w:val="002C5DF0"/>
    <w:rsid w:val="002C686D"/>
    <w:rsid w:val="002C6A47"/>
    <w:rsid w:val="002C71A6"/>
    <w:rsid w:val="002C756B"/>
    <w:rsid w:val="002D2789"/>
    <w:rsid w:val="002D2DE3"/>
    <w:rsid w:val="002D2FD8"/>
    <w:rsid w:val="002D3812"/>
    <w:rsid w:val="002D5148"/>
    <w:rsid w:val="002D60DA"/>
    <w:rsid w:val="002D6541"/>
    <w:rsid w:val="002D78CC"/>
    <w:rsid w:val="002E0AE6"/>
    <w:rsid w:val="002E0E89"/>
    <w:rsid w:val="002E1A12"/>
    <w:rsid w:val="002E3F8A"/>
    <w:rsid w:val="002E4BFB"/>
    <w:rsid w:val="002E5CFB"/>
    <w:rsid w:val="002E60D9"/>
    <w:rsid w:val="002F101C"/>
    <w:rsid w:val="002F219D"/>
    <w:rsid w:val="002F2A42"/>
    <w:rsid w:val="002F4131"/>
    <w:rsid w:val="002F430C"/>
    <w:rsid w:val="002F537E"/>
    <w:rsid w:val="002F704F"/>
    <w:rsid w:val="00304A2F"/>
    <w:rsid w:val="00305045"/>
    <w:rsid w:val="00305C1A"/>
    <w:rsid w:val="00306A19"/>
    <w:rsid w:val="00307BD3"/>
    <w:rsid w:val="00307D42"/>
    <w:rsid w:val="003107DF"/>
    <w:rsid w:val="00310B6D"/>
    <w:rsid w:val="00311267"/>
    <w:rsid w:val="003118E0"/>
    <w:rsid w:val="0031266F"/>
    <w:rsid w:val="0031655B"/>
    <w:rsid w:val="003165A8"/>
    <w:rsid w:val="00317AEC"/>
    <w:rsid w:val="00317CFE"/>
    <w:rsid w:val="00321B09"/>
    <w:rsid w:val="00322182"/>
    <w:rsid w:val="003226DA"/>
    <w:rsid w:val="003270DF"/>
    <w:rsid w:val="00331C9D"/>
    <w:rsid w:val="00332205"/>
    <w:rsid w:val="0033220C"/>
    <w:rsid w:val="00333B32"/>
    <w:rsid w:val="00335087"/>
    <w:rsid w:val="003358E4"/>
    <w:rsid w:val="00335E70"/>
    <w:rsid w:val="0033743C"/>
    <w:rsid w:val="003379F0"/>
    <w:rsid w:val="00337EEB"/>
    <w:rsid w:val="00344B24"/>
    <w:rsid w:val="003460B5"/>
    <w:rsid w:val="00347165"/>
    <w:rsid w:val="00347744"/>
    <w:rsid w:val="00350B71"/>
    <w:rsid w:val="00355C82"/>
    <w:rsid w:val="00356070"/>
    <w:rsid w:val="00356C2D"/>
    <w:rsid w:val="003612CA"/>
    <w:rsid w:val="00361644"/>
    <w:rsid w:val="0036268A"/>
    <w:rsid w:val="003642CD"/>
    <w:rsid w:val="00366BA8"/>
    <w:rsid w:val="0037233C"/>
    <w:rsid w:val="00376238"/>
    <w:rsid w:val="00376F75"/>
    <w:rsid w:val="003802B9"/>
    <w:rsid w:val="0038118E"/>
    <w:rsid w:val="00384375"/>
    <w:rsid w:val="003868CE"/>
    <w:rsid w:val="00387047"/>
    <w:rsid w:val="00390AED"/>
    <w:rsid w:val="00390F9A"/>
    <w:rsid w:val="00391590"/>
    <w:rsid w:val="00393409"/>
    <w:rsid w:val="003943BA"/>
    <w:rsid w:val="00395519"/>
    <w:rsid w:val="003959B5"/>
    <w:rsid w:val="003965AC"/>
    <w:rsid w:val="00396876"/>
    <w:rsid w:val="00396B78"/>
    <w:rsid w:val="003A04E8"/>
    <w:rsid w:val="003A22A1"/>
    <w:rsid w:val="003A2A10"/>
    <w:rsid w:val="003A3A35"/>
    <w:rsid w:val="003A3E89"/>
    <w:rsid w:val="003A4572"/>
    <w:rsid w:val="003A4B31"/>
    <w:rsid w:val="003A4D17"/>
    <w:rsid w:val="003A62CA"/>
    <w:rsid w:val="003B1157"/>
    <w:rsid w:val="003B496B"/>
    <w:rsid w:val="003B528F"/>
    <w:rsid w:val="003B5832"/>
    <w:rsid w:val="003B5D73"/>
    <w:rsid w:val="003B6BD0"/>
    <w:rsid w:val="003B74DA"/>
    <w:rsid w:val="003B7FB6"/>
    <w:rsid w:val="003C0C75"/>
    <w:rsid w:val="003C1605"/>
    <w:rsid w:val="003C2575"/>
    <w:rsid w:val="003C2980"/>
    <w:rsid w:val="003C3E91"/>
    <w:rsid w:val="003C3F2F"/>
    <w:rsid w:val="003C60D2"/>
    <w:rsid w:val="003C71EA"/>
    <w:rsid w:val="003C7F15"/>
    <w:rsid w:val="003D1813"/>
    <w:rsid w:val="003D3357"/>
    <w:rsid w:val="003D4C04"/>
    <w:rsid w:val="003D4CB8"/>
    <w:rsid w:val="003E0429"/>
    <w:rsid w:val="003E3D03"/>
    <w:rsid w:val="003E3DF7"/>
    <w:rsid w:val="003E4B52"/>
    <w:rsid w:val="003E6512"/>
    <w:rsid w:val="003E6535"/>
    <w:rsid w:val="003F149D"/>
    <w:rsid w:val="003F18D2"/>
    <w:rsid w:val="003F43FB"/>
    <w:rsid w:val="003F55DE"/>
    <w:rsid w:val="003F5764"/>
    <w:rsid w:val="003F6B9F"/>
    <w:rsid w:val="003F7CAC"/>
    <w:rsid w:val="00401ADE"/>
    <w:rsid w:val="00401CE1"/>
    <w:rsid w:val="004047D8"/>
    <w:rsid w:val="0040561D"/>
    <w:rsid w:val="00410205"/>
    <w:rsid w:val="004110E1"/>
    <w:rsid w:val="004111E2"/>
    <w:rsid w:val="004121C0"/>
    <w:rsid w:val="00412641"/>
    <w:rsid w:val="004138DE"/>
    <w:rsid w:val="00415C83"/>
    <w:rsid w:val="00416A3F"/>
    <w:rsid w:val="0041703F"/>
    <w:rsid w:val="004171B5"/>
    <w:rsid w:val="00417785"/>
    <w:rsid w:val="00420182"/>
    <w:rsid w:val="004215B0"/>
    <w:rsid w:val="00421E28"/>
    <w:rsid w:val="0042373E"/>
    <w:rsid w:val="004244A2"/>
    <w:rsid w:val="004246A5"/>
    <w:rsid w:val="00426D72"/>
    <w:rsid w:val="004310FF"/>
    <w:rsid w:val="00431D4B"/>
    <w:rsid w:val="00435ECE"/>
    <w:rsid w:val="004360B2"/>
    <w:rsid w:val="00436A5E"/>
    <w:rsid w:val="00437CF7"/>
    <w:rsid w:val="00441073"/>
    <w:rsid w:val="00441935"/>
    <w:rsid w:val="00443735"/>
    <w:rsid w:val="00443F70"/>
    <w:rsid w:val="00446274"/>
    <w:rsid w:val="00446948"/>
    <w:rsid w:val="00447747"/>
    <w:rsid w:val="004479BD"/>
    <w:rsid w:val="00450C50"/>
    <w:rsid w:val="004518EB"/>
    <w:rsid w:val="004620DD"/>
    <w:rsid w:val="0046349E"/>
    <w:rsid w:val="004639DE"/>
    <w:rsid w:val="0046448A"/>
    <w:rsid w:val="00464C2A"/>
    <w:rsid w:val="00465F31"/>
    <w:rsid w:val="0046641F"/>
    <w:rsid w:val="00467E12"/>
    <w:rsid w:val="00472318"/>
    <w:rsid w:val="0047378A"/>
    <w:rsid w:val="00475453"/>
    <w:rsid w:val="00477DA8"/>
    <w:rsid w:val="004817CA"/>
    <w:rsid w:val="004822D3"/>
    <w:rsid w:val="004828FB"/>
    <w:rsid w:val="00483DE3"/>
    <w:rsid w:val="00483FD7"/>
    <w:rsid w:val="0048769E"/>
    <w:rsid w:val="004908F5"/>
    <w:rsid w:val="004913AA"/>
    <w:rsid w:val="004916B7"/>
    <w:rsid w:val="00491A75"/>
    <w:rsid w:val="00492005"/>
    <w:rsid w:val="00492EB4"/>
    <w:rsid w:val="00493265"/>
    <w:rsid w:val="0049492D"/>
    <w:rsid w:val="00497619"/>
    <w:rsid w:val="004A021F"/>
    <w:rsid w:val="004A09E7"/>
    <w:rsid w:val="004A18BA"/>
    <w:rsid w:val="004A294F"/>
    <w:rsid w:val="004A37EC"/>
    <w:rsid w:val="004A3AB4"/>
    <w:rsid w:val="004A593D"/>
    <w:rsid w:val="004A6149"/>
    <w:rsid w:val="004A68A6"/>
    <w:rsid w:val="004B162E"/>
    <w:rsid w:val="004B2A80"/>
    <w:rsid w:val="004B445F"/>
    <w:rsid w:val="004B5B4A"/>
    <w:rsid w:val="004B7394"/>
    <w:rsid w:val="004B7C0E"/>
    <w:rsid w:val="004C1870"/>
    <w:rsid w:val="004C5471"/>
    <w:rsid w:val="004C5A2F"/>
    <w:rsid w:val="004C6A44"/>
    <w:rsid w:val="004C7255"/>
    <w:rsid w:val="004C76E8"/>
    <w:rsid w:val="004C7BCE"/>
    <w:rsid w:val="004D00CB"/>
    <w:rsid w:val="004D0C52"/>
    <w:rsid w:val="004D10CE"/>
    <w:rsid w:val="004D19D7"/>
    <w:rsid w:val="004D2FB4"/>
    <w:rsid w:val="004D3A5C"/>
    <w:rsid w:val="004D60E9"/>
    <w:rsid w:val="004D6FFD"/>
    <w:rsid w:val="004E11B7"/>
    <w:rsid w:val="004E1C3A"/>
    <w:rsid w:val="004E29E2"/>
    <w:rsid w:val="004E2F40"/>
    <w:rsid w:val="004E303A"/>
    <w:rsid w:val="004E5DA6"/>
    <w:rsid w:val="004F057A"/>
    <w:rsid w:val="004F05F7"/>
    <w:rsid w:val="004F2DC7"/>
    <w:rsid w:val="004F2FC5"/>
    <w:rsid w:val="004F3403"/>
    <w:rsid w:val="004F45FF"/>
    <w:rsid w:val="004F6423"/>
    <w:rsid w:val="004F78AB"/>
    <w:rsid w:val="00500D55"/>
    <w:rsid w:val="005024CA"/>
    <w:rsid w:val="005055F1"/>
    <w:rsid w:val="005077D8"/>
    <w:rsid w:val="00507C63"/>
    <w:rsid w:val="00511648"/>
    <w:rsid w:val="00512417"/>
    <w:rsid w:val="005124A3"/>
    <w:rsid w:val="005158BE"/>
    <w:rsid w:val="00515D2C"/>
    <w:rsid w:val="0052250C"/>
    <w:rsid w:val="00526CBC"/>
    <w:rsid w:val="00526F23"/>
    <w:rsid w:val="00532D43"/>
    <w:rsid w:val="005331DD"/>
    <w:rsid w:val="00533207"/>
    <w:rsid w:val="00541D60"/>
    <w:rsid w:val="005431D5"/>
    <w:rsid w:val="00543726"/>
    <w:rsid w:val="00543D22"/>
    <w:rsid w:val="0054518E"/>
    <w:rsid w:val="005458A4"/>
    <w:rsid w:val="00545BA8"/>
    <w:rsid w:val="005460C9"/>
    <w:rsid w:val="005475B5"/>
    <w:rsid w:val="0055003C"/>
    <w:rsid w:val="00550B72"/>
    <w:rsid w:val="00551B06"/>
    <w:rsid w:val="0055410F"/>
    <w:rsid w:val="005559DA"/>
    <w:rsid w:val="00555AC6"/>
    <w:rsid w:val="00556918"/>
    <w:rsid w:val="005570A2"/>
    <w:rsid w:val="00557F08"/>
    <w:rsid w:val="0056134D"/>
    <w:rsid w:val="0056303F"/>
    <w:rsid w:val="00566A05"/>
    <w:rsid w:val="0056755F"/>
    <w:rsid w:val="00567D18"/>
    <w:rsid w:val="00570004"/>
    <w:rsid w:val="00570366"/>
    <w:rsid w:val="005738FA"/>
    <w:rsid w:val="00576BA5"/>
    <w:rsid w:val="00577331"/>
    <w:rsid w:val="0058016F"/>
    <w:rsid w:val="0058244A"/>
    <w:rsid w:val="005825BD"/>
    <w:rsid w:val="00582ABE"/>
    <w:rsid w:val="005840BF"/>
    <w:rsid w:val="00584298"/>
    <w:rsid w:val="005901CA"/>
    <w:rsid w:val="00594171"/>
    <w:rsid w:val="0059626C"/>
    <w:rsid w:val="00596F5F"/>
    <w:rsid w:val="005A0A99"/>
    <w:rsid w:val="005A0CC7"/>
    <w:rsid w:val="005A1C03"/>
    <w:rsid w:val="005A1E28"/>
    <w:rsid w:val="005A2DA2"/>
    <w:rsid w:val="005A3306"/>
    <w:rsid w:val="005A5B6E"/>
    <w:rsid w:val="005A5FDB"/>
    <w:rsid w:val="005A6118"/>
    <w:rsid w:val="005A62D7"/>
    <w:rsid w:val="005A6B21"/>
    <w:rsid w:val="005A7D0D"/>
    <w:rsid w:val="005B11E9"/>
    <w:rsid w:val="005B1A15"/>
    <w:rsid w:val="005B1D70"/>
    <w:rsid w:val="005B45B9"/>
    <w:rsid w:val="005B5D36"/>
    <w:rsid w:val="005C07A1"/>
    <w:rsid w:val="005C09B5"/>
    <w:rsid w:val="005C14E4"/>
    <w:rsid w:val="005C28AD"/>
    <w:rsid w:val="005C34AD"/>
    <w:rsid w:val="005C57AD"/>
    <w:rsid w:val="005C6FDB"/>
    <w:rsid w:val="005D073F"/>
    <w:rsid w:val="005D2FE8"/>
    <w:rsid w:val="005D4493"/>
    <w:rsid w:val="005D5CD7"/>
    <w:rsid w:val="005E0455"/>
    <w:rsid w:val="005E2421"/>
    <w:rsid w:val="005E3416"/>
    <w:rsid w:val="005E36DA"/>
    <w:rsid w:val="005E5EC2"/>
    <w:rsid w:val="005E6D6A"/>
    <w:rsid w:val="005F1A6C"/>
    <w:rsid w:val="005F5A10"/>
    <w:rsid w:val="006013AE"/>
    <w:rsid w:val="00601A22"/>
    <w:rsid w:val="006026F2"/>
    <w:rsid w:val="00603D22"/>
    <w:rsid w:val="00603D5C"/>
    <w:rsid w:val="006065C6"/>
    <w:rsid w:val="00610C3D"/>
    <w:rsid w:val="006113F1"/>
    <w:rsid w:val="006118A5"/>
    <w:rsid w:val="0061452B"/>
    <w:rsid w:val="00614940"/>
    <w:rsid w:val="00615810"/>
    <w:rsid w:val="00617261"/>
    <w:rsid w:val="00617F30"/>
    <w:rsid w:val="00620521"/>
    <w:rsid w:val="00623CC3"/>
    <w:rsid w:val="0062442C"/>
    <w:rsid w:val="0062519D"/>
    <w:rsid w:val="00627071"/>
    <w:rsid w:val="00631EEF"/>
    <w:rsid w:val="00634AC6"/>
    <w:rsid w:val="00634C07"/>
    <w:rsid w:val="0063720B"/>
    <w:rsid w:val="0064243D"/>
    <w:rsid w:val="00642EFE"/>
    <w:rsid w:val="00643FDD"/>
    <w:rsid w:val="00644994"/>
    <w:rsid w:val="006453CD"/>
    <w:rsid w:val="006461F8"/>
    <w:rsid w:val="00646768"/>
    <w:rsid w:val="0064687A"/>
    <w:rsid w:val="0065033A"/>
    <w:rsid w:val="0065038B"/>
    <w:rsid w:val="006506D9"/>
    <w:rsid w:val="00651026"/>
    <w:rsid w:val="00652B70"/>
    <w:rsid w:val="00652FFB"/>
    <w:rsid w:val="00657AC1"/>
    <w:rsid w:val="0066137C"/>
    <w:rsid w:val="00661911"/>
    <w:rsid w:val="00661EB9"/>
    <w:rsid w:val="00663AE7"/>
    <w:rsid w:val="00664BCF"/>
    <w:rsid w:val="00664BD0"/>
    <w:rsid w:val="00665AA5"/>
    <w:rsid w:val="00667FB3"/>
    <w:rsid w:val="00670079"/>
    <w:rsid w:val="0067076F"/>
    <w:rsid w:val="00672448"/>
    <w:rsid w:val="00672E4E"/>
    <w:rsid w:val="006730BF"/>
    <w:rsid w:val="00674E36"/>
    <w:rsid w:val="00675141"/>
    <w:rsid w:val="00682D27"/>
    <w:rsid w:val="00686FFD"/>
    <w:rsid w:val="0068728C"/>
    <w:rsid w:val="0069144E"/>
    <w:rsid w:val="00691D04"/>
    <w:rsid w:val="006938B6"/>
    <w:rsid w:val="00693E22"/>
    <w:rsid w:val="00694D66"/>
    <w:rsid w:val="00694ECC"/>
    <w:rsid w:val="00695E56"/>
    <w:rsid w:val="00696289"/>
    <w:rsid w:val="006965F1"/>
    <w:rsid w:val="006A00DC"/>
    <w:rsid w:val="006A354F"/>
    <w:rsid w:val="006A35F0"/>
    <w:rsid w:val="006A51D5"/>
    <w:rsid w:val="006A5556"/>
    <w:rsid w:val="006A56E4"/>
    <w:rsid w:val="006A7409"/>
    <w:rsid w:val="006A7B74"/>
    <w:rsid w:val="006B0B90"/>
    <w:rsid w:val="006B1058"/>
    <w:rsid w:val="006B33DA"/>
    <w:rsid w:val="006B3AC2"/>
    <w:rsid w:val="006B660E"/>
    <w:rsid w:val="006B6E47"/>
    <w:rsid w:val="006C09EB"/>
    <w:rsid w:val="006C2A46"/>
    <w:rsid w:val="006C3DA2"/>
    <w:rsid w:val="006C3E21"/>
    <w:rsid w:val="006C410E"/>
    <w:rsid w:val="006C4646"/>
    <w:rsid w:val="006D057E"/>
    <w:rsid w:val="006D08AA"/>
    <w:rsid w:val="006D1549"/>
    <w:rsid w:val="006D3026"/>
    <w:rsid w:val="006D3F0A"/>
    <w:rsid w:val="006D4101"/>
    <w:rsid w:val="006D49E6"/>
    <w:rsid w:val="006E25EB"/>
    <w:rsid w:val="006E33AE"/>
    <w:rsid w:val="006E38E9"/>
    <w:rsid w:val="006E52DF"/>
    <w:rsid w:val="006E618D"/>
    <w:rsid w:val="006E752D"/>
    <w:rsid w:val="006E787E"/>
    <w:rsid w:val="006F0012"/>
    <w:rsid w:val="006F0825"/>
    <w:rsid w:val="006F2A43"/>
    <w:rsid w:val="006F3C85"/>
    <w:rsid w:val="006F6533"/>
    <w:rsid w:val="00705AE4"/>
    <w:rsid w:val="00710F4D"/>
    <w:rsid w:val="00713FF1"/>
    <w:rsid w:val="0071417F"/>
    <w:rsid w:val="007142BD"/>
    <w:rsid w:val="00714AD7"/>
    <w:rsid w:val="0071557C"/>
    <w:rsid w:val="00717578"/>
    <w:rsid w:val="00717C7B"/>
    <w:rsid w:val="00720320"/>
    <w:rsid w:val="00723448"/>
    <w:rsid w:val="00723FC2"/>
    <w:rsid w:val="007244E7"/>
    <w:rsid w:val="00726BD2"/>
    <w:rsid w:val="007308B3"/>
    <w:rsid w:val="00730C6A"/>
    <w:rsid w:val="007315F5"/>
    <w:rsid w:val="007321F7"/>
    <w:rsid w:val="007331FB"/>
    <w:rsid w:val="00733B84"/>
    <w:rsid w:val="00733E79"/>
    <w:rsid w:val="0073422F"/>
    <w:rsid w:val="0073463A"/>
    <w:rsid w:val="00737044"/>
    <w:rsid w:val="007370CD"/>
    <w:rsid w:val="007370FA"/>
    <w:rsid w:val="00737232"/>
    <w:rsid w:val="00737BA8"/>
    <w:rsid w:val="007406A8"/>
    <w:rsid w:val="00743EB9"/>
    <w:rsid w:val="007458E3"/>
    <w:rsid w:val="00747B61"/>
    <w:rsid w:val="00753949"/>
    <w:rsid w:val="0075599F"/>
    <w:rsid w:val="00756B9C"/>
    <w:rsid w:val="00756E46"/>
    <w:rsid w:val="007575C4"/>
    <w:rsid w:val="00757F56"/>
    <w:rsid w:val="00762DFC"/>
    <w:rsid w:val="00762FD4"/>
    <w:rsid w:val="00763FD5"/>
    <w:rsid w:val="007645B5"/>
    <w:rsid w:val="00764B5B"/>
    <w:rsid w:val="00765A8F"/>
    <w:rsid w:val="00766245"/>
    <w:rsid w:val="00766390"/>
    <w:rsid w:val="007669FC"/>
    <w:rsid w:val="0076753D"/>
    <w:rsid w:val="00767CAB"/>
    <w:rsid w:val="00770332"/>
    <w:rsid w:val="00775910"/>
    <w:rsid w:val="007806FD"/>
    <w:rsid w:val="00780CC8"/>
    <w:rsid w:val="007811DE"/>
    <w:rsid w:val="00781BF6"/>
    <w:rsid w:val="007827B1"/>
    <w:rsid w:val="00782A38"/>
    <w:rsid w:val="00785A5A"/>
    <w:rsid w:val="00785EF6"/>
    <w:rsid w:val="0078659F"/>
    <w:rsid w:val="00787EE4"/>
    <w:rsid w:val="00790BD3"/>
    <w:rsid w:val="00790CC4"/>
    <w:rsid w:val="00791D7C"/>
    <w:rsid w:val="007925F7"/>
    <w:rsid w:val="007931B4"/>
    <w:rsid w:val="00795B3A"/>
    <w:rsid w:val="00795E92"/>
    <w:rsid w:val="007A1CC0"/>
    <w:rsid w:val="007A1DBD"/>
    <w:rsid w:val="007A71C1"/>
    <w:rsid w:val="007B102F"/>
    <w:rsid w:val="007B148B"/>
    <w:rsid w:val="007B15E7"/>
    <w:rsid w:val="007B2510"/>
    <w:rsid w:val="007B26E2"/>
    <w:rsid w:val="007B35EF"/>
    <w:rsid w:val="007C0CC2"/>
    <w:rsid w:val="007C112D"/>
    <w:rsid w:val="007C22C4"/>
    <w:rsid w:val="007C3394"/>
    <w:rsid w:val="007C4347"/>
    <w:rsid w:val="007C4AAC"/>
    <w:rsid w:val="007C5906"/>
    <w:rsid w:val="007C6803"/>
    <w:rsid w:val="007C7D89"/>
    <w:rsid w:val="007D3390"/>
    <w:rsid w:val="007D36C7"/>
    <w:rsid w:val="007D469F"/>
    <w:rsid w:val="007D701C"/>
    <w:rsid w:val="007D77E5"/>
    <w:rsid w:val="007E1464"/>
    <w:rsid w:val="007E1DCA"/>
    <w:rsid w:val="007E291D"/>
    <w:rsid w:val="007E2D41"/>
    <w:rsid w:val="007E4386"/>
    <w:rsid w:val="007F0834"/>
    <w:rsid w:val="007F260F"/>
    <w:rsid w:val="007F278A"/>
    <w:rsid w:val="007F2CE4"/>
    <w:rsid w:val="007F4302"/>
    <w:rsid w:val="007F6481"/>
    <w:rsid w:val="007F729D"/>
    <w:rsid w:val="007F7354"/>
    <w:rsid w:val="007F7D9A"/>
    <w:rsid w:val="00801E26"/>
    <w:rsid w:val="00805981"/>
    <w:rsid w:val="0080619E"/>
    <w:rsid w:val="00811285"/>
    <w:rsid w:val="00811828"/>
    <w:rsid w:val="00813005"/>
    <w:rsid w:val="008134D2"/>
    <w:rsid w:val="00813788"/>
    <w:rsid w:val="00813A9D"/>
    <w:rsid w:val="008141BD"/>
    <w:rsid w:val="0081506E"/>
    <w:rsid w:val="00817163"/>
    <w:rsid w:val="008179F0"/>
    <w:rsid w:val="00817E76"/>
    <w:rsid w:val="008206D2"/>
    <w:rsid w:val="00824955"/>
    <w:rsid w:val="00827532"/>
    <w:rsid w:val="008277AA"/>
    <w:rsid w:val="00827A0E"/>
    <w:rsid w:val="00827F23"/>
    <w:rsid w:val="008320ED"/>
    <w:rsid w:val="00832BD1"/>
    <w:rsid w:val="008330D2"/>
    <w:rsid w:val="00833F1B"/>
    <w:rsid w:val="00835CF4"/>
    <w:rsid w:val="008370D5"/>
    <w:rsid w:val="00837B6B"/>
    <w:rsid w:val="00840086"/>
    <w:rsid w:val="008401C5"/>
    <w:rsid w:val="00840E76"/>
    <w:rsid w:val="008419DC"/>
    <w:rsid w:val="0084393F"/>
    <w:rsid w:val="008476E9"/>
    <w:rsid w:val="00847860"/>
    <w:rsid w:val="0084789A"/>
    <w:rsid w:val="00852B10"/>
    <w:rsid w:val="00854FE7"/>
    <w:rsid w:val="00856749"/>
    <w:rsid w:val="00857F70"/>
    <w:rsid w:val="008604E6"/>
    <w:rsid w:val="0086057A"/>
    <w:rsid w:val="00861BDA"/>
    <w:rsid w:val="00862312"/>
    <w:rsid w:val="00867837"/>
    <w:rsid w:val="00871622"/>
    <w:rsid w:val="008719CA"/>
    <w:rsid w:val="00875B9B"/>
    <w:rsid w:val="00875F1D"/>
    <w:rsid w:val="00877FF3"/>
    <w:rsid w:val="00880AF2"/>
    <w:rsid w:val="00881742"/>
    <w:rsid w:val="00884694"/>
    <w:rsid w:val="00885771"/>
    <w:rsid w:val="008864EA"/>
    <w:rsid w:val="0089181F"/>
    <w:rsid w:val="00894073"/>
    <w:rsid w:val="008947C9"/>
    <w:rsid w:val="00894906"/>
    <w:rsid w:val="0089574F"/>
    <w:rsid w:val="00897085"/>
    <w:rsid w:val="008A2C66"/>
    <w:rsid w:val="008A2CD4"/>
    <w:rsid w:val="008A55AA"/>
    <w:rsid w:val="008A56B3"/>
    <w:rsid w:val="008A61DE"/>
    <w:rsid w:val="008A6DCC"/>
    <w:rsid w:val="008A7DC4"/>
    <w:rsid w:val="008A7F5F"/>
    <w:rsid w:val="008B19D7"/>
    <w:rsid w:val="008B20EB"/>
    <w:rsid w:val="008B24C1"/>
    <w:rsid w:val="008B31B1"/>
    <w:rsid w:val="008B3E8A"/>
    <w:rsid w:val="008B46F0"/>
    <w:rsid w:val="008B5A2B"/>
    <w:rsid w:val="008B7A3E"/>
    <w:rsid w:val="008B7F8B"/>
    <w:rsid w:val="008C0E7D"/>
    <w:rsid w:val="008C0FC9"/>
    <w:rsid w:val="008C1EE8"/>
    <w:rsid w:val="008C2242"/>
    <w:rsid w:val="008C4F7F"/>
    <w:rsid w:val="008C6679"/>
    <w:rsid w:val="008D1131"/>
    <w:rsid w:val="008D210D"/>
    <w:rsid w:val="008D2DB1"/>
    <w:rsid w:val="008D720E"/>
    <w:rsid w:val="008D7394"/>
    <w:rsid w:val="008E1534"/>
    <w:rsid w:val="008E389F"/>
    <w:rsid w:val="008E3C8B"/>
    <w:rsid w:val="008E4901"/>
    <w:rsid w:val="008E65F3"/>
    <w:rsid w:val="008F2326"/>
    <w:rsid w:val="008F2C67"/>
    <w:rsid w:val="008F308F"/>
    <w:rsid w:val="008F5F48"/>
    <w:rsid w:val="008F680B"/>
    <w:rsid w:val="008F7EB5"/>
    <w:rsid w:val="00901F0F"/>
    <w:rsid w:val="00904DAC"/>
    <w:rsid w:val="00906039"/>
    <w:rsid w:val="00906BF3"/>
    <w:rsid w:val="00906CE0"/>
    <w:rsid w:val="00911141"/>
    <w:rsid w:val="009111E5"/>
    <w:rsid w:val="00911DD5"/>
    <w:rsid w:val="00914E7B"/>
    <w:rsid w:val="00915B0A"/>
    <w:rsid w:val="00915CA4"/>
    <w:rsid w:val="00916592"/>
    <w:rsid w:val="00917092"/>
    <w:rsid w:val="00917FEF"/>
    <w:rsid w:val="00920C23"/>
    <w:rsid w:val="00921CCA"/>
    <w:rsid w:val="00921CE1"/>
    <w:rsid w:val="009231FC"/>
    <w:rsid w:val="00923BA0"/>
    <w:rsid w:val="00925589"/>
    <w:rsid w:val="00926A6C"/>
    <w:rsid w:val="00930AB2"/>
    <w:rsid w:val="00931155"/>
    <w:rsid w:val="00932F7C"/>
    <w:rsid w:val="009336F6"/>
    <w:rsid w:val="009344B3"/>
    <w:rsid w:val="00934E91"/>
    <w:rsid w:val="00936A32"/>
    <w:rsid w:val="00936F49"/>
    <w:rsid w:val="00937957"/>
    <w:rsid w:val="009418B8"/>
    <w:rsid w:val="00941D28"/>
    <w:rsid w:val="00943040"/>
    <w:rsid w:val="0094368A"/>
    <w:rsid w:val="00943ADA"/>
    <w:rsid w:val="00947189"/>
    <w:rsid w:val="009519F9"/>
    <w:rsid w:val="00955DA7"/>
    <w:rsid w:val="00956379"/>
    <w:rsid w:val="00956885"/>
    <w:rsid w:val="009601D3"/>
    <w:rsid w:val="00960385"/>
    <w:rsid w:val="00961CB2"/>
    <w:rsid w:val="00967858"/>
    <w:rsid w:val="009704FE"/>
    <w:rsid w:val="00971494"/>
    <w:rsid w:val="00971FDA"/>
    <w:rsid w:val="00972421"/>
    <w:rsid w:val="009747E2"/>
    <w:rsid w:val="00974BF2"/>
    <w:rsid w:val="0097523C"/>
    <w:rsid w:val="00983020"/>
    <w:rsid w:val="009838BC"/>
    <w:rsid w:val="00983FF8"/>
    <w:rsid w:val="00985426"/>
    <w:rsid w:val="009861B2"/>
    <w:rsid w:val="00987A29"/>
    <w:rsid w:val="00991210"/>
    <w:rsid w:val="00991A07"/>
    <w:rsid w:val="00993FC7"/>
    <w:rsid w:val="0099471E"/>
    <w:rsid w:val="00994CD9"/>
    <w:rsid w:val="00995B5A"/>
    <w:rsid w:val="00997CCC"/>
    <w:rsid w:val="009A0840"/>
    <w:rsid w:val="009A31F7"/>
    <w:rsid w:val="009A4B82"/>
    <w:rsid w:val="009A5804"/>
    <w:rsid w:val="009A65F9"/>
    <w:rsid w:val="009A6D51"/>
    <w:rsid w:val="009B1475"/>
    <w:rsid w:val="009B14D1"/>
    <w:rsid w:val="009B2E31"/>
    <w:rsid w:val="009B3E1D"/>
    <w:rsid w:val="009B552B"/>
    <w:rsid w:val="009C0DD0"/>
    <w:rsid w:val="009C19B0"/>
    <w:rsid w:val="009C1CA3"/>
    <w:rsid w:val="009C3E6F"/>
    <w:rsid w:val="009C3F0D"/>
    <w:rsid w:val="009C42A3"/>
    <w:rsid w:val="009C503E"/>
    <w:rsid w:val="009C668D"/>
    <w:rsid w:val="009C6904"/>
    <w:rsid w:val="009C6EE7"/>
    <w:rsid w:val="009C731C"/>
    <w:rsid w:val="009C7370"/>
    <w:rsid w:val="009D0F78"/>
    <w:rsid w:val="009D1647"/>
    <w:rsid w:val="009D1DDF"/>
    <w:rsid w:val="009D23A3"/>
    <w:rsid w:val="009D2688"/>
    <w:rsid w:val="009D4223"/>
    <w:rsid w:val="009D5141"/>
    <w:rsid w:val="009D5F44"/>
    <w:rsid w:val="009D601F"/>
    <w:rsid w:val="009D6867"/>
    <w:rsid w:val="009D755C"/>
    <w:rsid w:val="009E4108"/>
    <w:rsid w:val="009E4904"/>
    <w:rsid w:val="009E55AD"/>
    <w:rsid w:val="009E7024"/>
    <w:rsid w:val="009E7F45"/>
    <w:rsid w:val="009F1B90"/>
    <w:rsid w:val="009F38A0"/>
    <w:rsid w:val="009F5993"/>
    <w:rsid w:val="009F6409"/>
    <w:rsid w:val="00A013D3"/>
    <w:rsid w:val="00A036C1"/>
    <w:rsid w:val="00A03F04"/>
    <w:rsid w:val="00A05F63"/>
    <w:rsid w:val="00A112BF"/>
    <w:rsid w:val="00A122BB"/>
    <w:rsid w:val="00A144AA"/>
    <w:rsid w:val="00A1564F"/>
    <w:rsid w:val="00A16C5E"/>
    <w:rsid w:val="00A17175"/>
    <w:rsid w:val="00A203DB"/>
    <w:rsid w:val="00A20D77"/>
    <w:rsid w:val="00A20DB3"/>
    <w:rsid w:val="00A214F8"/>
    <w:rsid w:val="00A2405B"/>
    <w:rsid w:val="00A24446"/>
    <w:rsid w:val="00A2525F"/>
    <w:rsid w:val="00A25B1A"/>
    <w:rsid w:val="00A26FB6"/>
    <w:rsid w:val="00A30050"/>
    <w:rsid w:val="00A30496"/>
    <w:rsid w:val="00A34C91"/>
    <w:rsid w:val="00A37160"/>
    <w:rsid w:val="00A371E9"/>
    <w:rsid w:val="00A37DA3"/>
    <w:rsid w:val="00A419B4"/>
    <w:rsid w:val="00A41DEC"/>
    <w:rsid w:val="00A43542"/>
    <w:rsid w:val="00A45EE3"/>
    <w:rsid w:val="00A479EA"/>
    <w:rsid w:val="00A51B74"/>
    <w:rsid w:val="00A5285F"/>
    <w:rsid w:val="00A52E8D"/>
    <w:rsid w:val="00A535FE"/>
    <w:rsid w:val="00A55300"/>
    <w:rsid w:val="00A56C99"/>
    <w:rsid w:val="00A5723F"/>
    <w:rsid w:val="00A57DAC"/>
    <w:rsid w:val="00A6335D"/>
    <w:rsid w:val="00A642D1"/>
    <w:rsid w:val="00A64952"/>
    <w:rsid w:val="00A65B65"/>
    <w:rsid w:val="00A65D62"/>
    <w:rsid w:val="00A6669A"/>
    <w:rsid w:val="00A70DF9"/>
    <w:rsid w:val="00A72AA4"/>
    <w:rsid w:val="00A730AD"/>
    <w:rsid w:val="00A7358D"/>
    <w:rsid w:val="00A743A3"/>
    <w:rsid w:val="00A750F4"/>
    <w:rsid w:val="00A806B3"/>
    <w:rsid w:val="00A8129E"/>
    <w:rsid w:val="00A81F99"/>
    <w:rsid w:val="00A83E6B"/>
    <w:rsid w:val="00A85536"/>
    <w:rsid w:val="00A85596"/>
    <w:rsid w:val="00A90471"/>
    <w:rsid w:val="00A90AFB"/>
    <w:rsid w:val="00A91412"/>
    <w:rsid w:val="00A91E15"/>
    <w:rsid w:val="00A92188"/>
    <w:rsid w:val="00A92842"/>
    <w:rsid w:val="00A94531"/>
    <w:rsid w:val="00A9644D"/>
    <w:rsid w:val="00A965C2"/>
    <w:rsid w:val="00AA1D77"/>
    <w:rsid w:val="00AA3524"/>
    <w:rsid w:val="00AA38F2"/>
    <w:rsid w:val="00AA57D5"/>
    <w:rsid w:val="00AA6192"/>
    <w:rsid w:val="00AA6E72"/>
    <w:rsid w:val="00AA73E6"/>
    <w:rsid w:val="00AA7C0A"/>
    <w:rsid w:val="00AA7FCA"/>
    <w:rsid w:val="00AB0BC5"/>
    <w:rsid w:val="00AB1B82"/>
    <w:rsid w:val="00AB1BA9"/>
    <w:rsid w:val="00AB226B"/>
    <w:rsid w:val="00AB2EB6"/>
    <w:rsid w:val="00AB3CE8"/>
    <w:rsid w:val="00AB4406"/>
    <w:rsid w:val="00AC0474"/>
    <w:rsid w:val="00AC09D6"/>
    <w:rsid w:val="00AC0B3D"/>
    <w:rsid w:val="00AC0D72"/>
    <w:rsid w:val="00AC0EC5"/>
    <w:rsid w:val="00AC5B66"/>
    <w:rsid w:val="00AC60E4"/>
    <w:rsid w:val="00AD0F27"/>
    <w:rsid w:val="00AD122C"/>
    <w:rsid w:val="00AD124F"/>
    <w:rsid w:val="00AD190E"/>
    <w:rsid w:val="00AD1CCB"/>
    <w:rsid w:val="00AD318A"/>
    <w:rsid w:val="00AD387B"/>
    <w:rsid w:val="00AD41AD"/>
    <w:rsid w:val="00AD4212"/>
    <w:rsid w:val="00AD5A8F"/>
    <w:rsid w:val="00AD7DFB"/>
    <w:rsid w:val="00AE0F3F"/>
    <w:rsid w:val="00AE1107"/>
    <w:rsid w:val="00AE1AD5"/>
    <w:rsid w:val="00AE1F7F"/>
    <w:rsid w:val="00AE289A"/>
    <w:rsid w:val="00AE3007"/>
    <w:rsid w:val="00AE3FAA"/>
    <w:rsid w:val="00AE4E89"/>
    <w:rsid w:val="00AE5CEA"/>
    <w:rsid w:val="00AF0995"/>
    <w:rsid w:val="00AF3A78"/>
    <w:rsid w:val="00AF43D1"/>
    <w:rsid w:val="00AF533E"/>
    <w:rsid w:val="00AF669F"/>
    <w:rsid w:val="00AF7F3F"/>
    <w:rsid w:val="00B00942"/>
    <w:rsid w:val="00B016E9"/>
    <w:rsid w:val="00B02005"/>
    <w:rsid w:val="00B02105"/>
    <w:rsid w:val="00B0285F"/>
    <w:rsid w:val="00B05E7C"/>
    <w:rsid w:val="00B07CEE"/>
    <w:rsid w:val="00B07CF5"/>
    <w:rsid w:val="00B07DFF"/>
    <w:rsid w:val="00B12B6C"/>
    <w:rsid w:val="00B13A13"/>
    <w:rsid w:val="00B14316"/>
    <w:rsid w:val="00B157D3"/>
    <w:rsid w:val="00B15915"/>
    <w:rsid w:val="00B15ACD"/>
    <w:rsid w:val="00B166E8"/>
    <w:rsid w:val="00B2008D"/>
    <w:rsid w:val="00B21791"/>
    <w:rsid w:val="00B2388F"/>
    <w:rsid w:val="00B239C5"/>
    <w:rsid w:val="00B25473"/>
    <w:rsid w:val="00B267C4"/>
    <w:rsid w:val="00B26BD5"/>
    <w:rsid w:val="00B2779B"/>
    <w:rsid w:val="00B31B06"/>
    <w:rsid w:val="00B372DD"/>
    <w:rsid w:val="00B40E82"/>
    <w:rsid w:val="00B41B4F"/>
    <w:rsid w:val="00B427E7"/>
    <w:rsid w:val="00B44B23"/>
    <w:rsid w:val="00B4588D"/>
    <w:rsid w:val="00B46210"/>
    <w:rsid w:val="00B46B4F"/>
    <w:rsid w:val="00B46F4A"/>
    <w:rsid w:val="00B52900"/>
    <w:rsid w:val="00B53CD7"/>
    <w:rsid w:val="00B54C9F"/>
    <w:rsid w:val="00B554DB"/>
    <w:rsid w:val="00B561E6"/>
    <w:rsid w:val="00B604EE"/>
    <w:rsid w:val="00B60CBE"/>
    <w:rsid w:val="00B63817"/>
    <w:rsid w:val="00B63F2D"/>
    <w:rsid w:val="00B6466E"/>
    <w:rsid w:val="00B654FC"/>
    <w:rsid w:val="00B65F7D"/>
    <w:rsid w:val="00B6645B"/>
    <w:rsid w:val="00B67E95"/>
    <w:rsid w:val="00B708D5"/>
    <w:rsid w:val="00B73A5F"/>
    <w:rsid w:val="00B80BF4"/>
    <w:rsid w:val="00B856A1"/>
    <w:rsid w:val="00B86449"/>
    <w:rsid w:val="00B8713D"/>
    <w:rsid w:val="00B90951"/>
    <w:rsid w:val="00B91D5E"/>
    <w:rsid w:val="00B952DD"/>
    <w:rsid w:val="00B96196"/>
    <w:rsid w:val="00B9622A"/>
    <w:rsid w:val="00B964E3"/>
    <w:rsid w:val="00B97DE8"/>
    <w:rsid w:val="00BA0E75"/>
    <w:rsid w:val="00BA4144"/>
    <w:rsid w:val="00BA4901"/>
    <w:rsid w:val="00BA5FCA"/>
    <w:rsid w:val="00BA69F4"/>
    <w:rsid w:val="00BA6C11"/>
    <w:rsid w:val="00BB0EB1"/>
    <w:rsid w:val="00BB2CEF"/>
    <w:rsid w:val="00BB2EE7"/>
    <w:rsid w:val="00BB3C64"/>
    <w:rsid w:val="00BB5286"/>
    <w:rsid w:val="00BB75E5"/>
    <w:rsid w:val="00BC2EF4"/>
    <w:rsid w:val="00BC3284"/>
    <w:rsid w:val="00BC37B9"/>
    <w:rsid w:val="00BC5DBE"/>
    <w:rsid w:val="00BC6293"/>
    <w:rsid w:val="00BC63A8"/>
    <w:rsid w:val="00BC6B42"/>
    <w:rsid w:val="00BC7125"/>
    <w:rsid w:val="00BC7327"/>
    <w:rsid w:val="00BC73F2"/>
    <w:rsid w:val="00BD24F0"/>
    <w:rsid w:val="00BD2C3C"/>
    <w:rsid w:val="00BD3FE6"/>
    <w:rsid w:val="00BD480C"/>
    <w:rsid w:val="00BD5917"/>
    <w:rsid w:val="00BD6CD4"/>
    <w:rsid w:val="00BD6FD2"/>
    <w:rsid w:val="00BE0E6A"/>
    <w:rsid w:val="00BE187E"/>
    <w:rsid w:val="00BE1D68"/>
    <w:rsid w:val="00BE20D3"/>
    <w:rsid w:val="00BE4A00"/>
    <w:rsid w:val="00BE5B34"/>
    <w:rsid w:val="00BE6D04"/>
    <w:rsid w:val="00BF0CC2"/>
    <w:rsid w:val="00BF193E"/>
    <w:rsid w:val="00BF1957"/>
    <w:rsid w:val="00BF2CDD"/>
    <w:rsid w:val="00BF3A1A"/>
    <w:rsid w:val="00BF3EC5"/>
    <w:rsid w:val="00BF40B8"/>
    <w:rsid w:val="00BF4CAC"/>
    <w:rsid w:val="00BF7A8F"/>
    <w:rsid w:val="00C00705"/>
    <w:rsid w:val="00C024F9"/>
    <w:rsid w:val="00C04F9D"/>
    <w:rsid w:val="00C05305"/>
    <w:rsid w:val="00C053B4"/>
    <w:rsid w:val="00C057CB"/>
    <w:rsid w:val="00C06172"/>
    <w:rsid w:val="00C07A14"/>
    <w:rsid w:val="00C11454"/>
    <w:rsid w:val="00C14A4A"/>
    <w:rsid w:val="00C14FED"/>
    <w:rsid w:val="00C1589D"/>
    <w:rsid w:val="00C17734"/>
    <w:rsid w:val="00C211CA"/>
    <w:rsid w:val="00C21392"/>
    <w:rsid w:val="00C21518"/>
    <w:rsid w:val="00C21BA7"/>
    <w:rsid w:val="00C22CA2"/>
    <w:rsid w:val="00C23031"/>
    <w:rsid w:val="00C236E4"/>
    <w:rsid w:val="00C25033"/>
    <w:rsid w:val="00C252DE"/>
    <w:rsid w:val="00C25BEB"/>
    <w:rsid w:val="00C26944"/>
    <w:rsid w:val="00C271D8"/>
    <w:rsid w:val="00C321BA"/>
    <w:rsid w:val="00C3234B"/>
    <w:rsid w:val="00C33EF1"/>
    <w:rsid w:val="00C3418F"/>
    <w:rsid w:val="00C34352"/>
    <w:rsid w:val="00C36FF6"/>
    <w:rsid w:val="00C40805"/>
    <w:rsid w:val="00C40810"/>
    <w:rsid w:val="00C4192B"/>
    <w:rsid w:val="00C427D7"/>
    <w:rsid w:val="00C4384D"/>
    <w:rsid w:val="00C442E7"/>
    <w:rsid w:val="00C465E5"/>
    <w:rsid w:val="00C47327"/>
    <w:rsid w:val="00C50D44"/>
    <w:rsid w:val="00C5247C"/>
    <w:rsid w:val="00C52584"/>
    <w:rsid w:val="00C52C03"/>
    <w:rsid w:val="00C52F85"/>
    <w:rsid w:val="00C55071"/>
    <w:rsid w:val="00C55514"/>
    <w:rsid w:val="00C56F0C"/>
    <w:rsid w:val="00C56F76"/>
    <w:rsid w:val="00C6044B"/>
    <w:rsid w:val="00C605DC"/>
    <w:rsid w:val="00C60EA8"/>
    <w:rsid w:val="00C61C1B"/>
    <w:rsid w:val="00C621F8"/>
    <w:rsid w:val="00C63369"/>
    <w:rsid w:val="00C63651"/>
    <w:rsid w:val="00C636D5"/>
    <w:rsid w:val="00C662F5"/>
    <w:rsid w:val="00C71CDE"/>
    <w:rsid w:val="00C71D25"/>
    <w:rsid w:val="00C72D13"/>
    <w:rsid w:val="00C72E52"/>
    <w:rsid w:val="00C73D31"/>
    <w:rsid w:val="00C762FC"/>
    <w:rsid w:val="00C8084C"/>
    <w:rsid w:val="00C816BD"/>
    <w:rsid w:val="00C8251D"/>
    <w:rsid w:val="00C838DE"/>
    <w:rsid w:val="00C83A66"/>
    <w:rsid w:val="00C84D43"/>
    <w:rsid w:val="00C85388"/>
    <w:rsid w:val="00C925EA"/>
    <w:rsid w:val="00C92D3F"/>
    <w:rsid w:val="00C93551"/>
    <w:rsid w:val="00C93E5F"/>
    <w:rsid w:val="00C93E7F"/>
    <w:rsid w:val="00C94057"/>
    <w:rsid w:val="00C96998"/>
    <w:rsid w:val="00C9760B"/>
    <w:rsid w:val="00CA20DB"/>
    <w:rsid w:val="00CA660A"/>
    <w:rsid w:val="00CA6CF4"/>
    <w:rsid w:val="00CB3035"/>
    <w:rsid w:val="00CB3A4C"/>
    <w:rsid w:val="00CB3B0D"/>
    <w:rsid w:val="00CC0B86"/>
    <w:rsid w:val="00CC1A9D"/>
    <w:rsid w:val="00CC1D7D"/>
    <w:rsid w:val="00CC25E3"/>
    <w:rsid w:val="00CC3058"/>
    <w:rsid w:val="00CC4E81"/>
    <w:rsid w:val="00CC5D6C"/>
    <w:rsid w:val="00CC66FA"/>
    <w:rsid w:val="00CC6F28"/>
    <w:rsid w:val="00CD2B98"/>
    <w:rsid w:val="00CD40ED"/>
    <w:rsid w:val="00CD53E5"/>
    <w:rsid w:val="00CD5BCC"/>
    <w:rsid w:val="00CD753C"/>
    <w:rsid w:val="00CD7733"/>
    <w:rsid w:val="00CD7BEC"/>
    <w:rsid w:val="00CE0B95"/>
    <w:rsid w:val="00CE1A66"/>
    <w:rsid w:val="00CE3287"/>
    <w:rsid w:val="00CE32BF"/>
    <w:rsid w:val="00CE3695"/>
    <w:rsid w:val="00CE3769"/>
    <w:rsid w:val="00CE40E1"/>
    <w:rsid w:val="00CE5EA4"/>
    <w:rsid w:val="00CE6D44"/>
    <w:rsid w:val="00CE7BED"/>
    <w:rsid w:val="00CE7DDA"/>
    <w:rsid w:val="00CF1423"/>
    <w:rsid w:val="00CF155C"/>
    <w:rsid w:val="00CF28EF"/>
    <w:rsid w:val="00CF4BFB"/>
    <w:rsid w:val="00CF5F77"/>
    <w:rsid w:val="00CF6CC5"/>
    <w:rsid w:val="00CF71A2"/>
    <w:rsid w:val="00CF7B05"/>
    <w:rsid w:val="00D01FB9"/>
    <w:rsid w:val="00D04861"/>
    <w:rsid w:val="00D04E2E"/>
    <w:rsid w:val="00D05CA8"/>
    <w:rsid w:val="00D05CDA"/>
    <w:rsid w:val="00D05EE1"/>
    <w:rsid w:val="00D07807"/>
    <w:rsid w:val="00D07E46"/>
    <w:rsid w:val="00D14FE5"/>
    <w:rsid w:val="00D15218"/>
    <w:rsid w:val="00D21074"/>
    <w:rsid w:val="00D21209"/>
    <w:rsid w:val="00D21CB3"/>
    <w:rsid w:val="00D238CB"/>
    <w:rsid w:val="00D26E6D"/>
    <w:rsid w:val="00D27020"/>
    <w:rsid w:val="00D3004B"/>
    <w:rsid w:val="00D3007D"/>
    <w:rsid w:val="00D316B9"/>
    <w:rsid w:val="00D324E1"/>
    <w:rsid w:val="00D32A04"/>
    <w:rsid w:val="00D32EFB"/>
    <w:rsid w:val="00D353AB"/>
    <w:rsid w:val="00D3608E"/>
    <w:rsid w:val="00D36F01"/>
    <w:rsid w:val="00D371B2"/>
    <w:rsid w:val="00D40EA4"/>
    <w:rsid w:val="00D40F0D"/>
    <w:rsid w:val="00D410C7"/>
    <w:rsid w:val="00D41BA4"/>
    <w:rsid w:val="00D43351"/>
    <w:rsid w:val="00D44B82"/>
    <w:rsid w:val="00D456D9"/>
    <w:rsid w:val="00D4722D"/>
    <w:rsid w:val="00D5005E"/>
    <w:rsid w:val="00D52891"/>
    <w:rsid w:val="00D54781"/>
    <w:rsid w:val="00D567FB"/>
    <w:rsid w:val="00D57C04"/>
    <w:rsid w:val="00D60564"/>
    <w:rsid w:val="00D60B44"/>
    <w:rsid w:val="00D62C20"/>
    <w:rsid w:val="00D65322"/>
    <w:rsid w:val="00D67600"/>
    <w:rsid w:val="00D7226B"/>
    <w:rsid w:val="00D722AF"/>
    <w:rsid w:val="00D73459"/>
    <w:rsid w:val="00D76B94"/>
    <w:rsid w:val="00D770C7"/>
    <w:rsid w:val="00D813C9"/>
    <w:rsid w:val="00D841C7"/>
    <w:rsid w:val="00D84C52"/>
    <w:rsid w:val="00D858A0"/>
    <w:rsid w:val="00D85BC8"/>
    <w:rsid w:val="00D86006"/>
    <w:rsid w:val="00D87639"/>
    <w:rsid w:val="00D9072A"/>
    <w:rsid w:val="00D93057"/>
    <w:rsid w:val="00D9364F"/>
    <w:rsid w:val="00D9607C"/>
    <w:rsid w:val="00D96388"/>
    <w:rsid w:val="00D965AB"/>
    <w:rsid w:val="00D96F43"/>
    <w:rsid w:val="00DA4A96"/>
    <w:rsid w:val="00DA4FEF"/>
    <w:rsid w:val="00DA5C69"/>
    <w:rsid w:val="00DA638C"/>
    <w:rsid w:val="00DB030C"/>
    <w:rsid w:val="00DB0E28"/>
    <w:rsid w:val="00DB124E"/>
    <w:rsid w:val="00DB36CE"/>
    <w:rsid w:val="00DB4F00"/>
    <w:rsid w:val="00DB5B4C"/>
    <w:rsid w:val="00DB61EC"/>
    <w:rsid w:val="00DB6DA5"/>
    <w:rsid w:val="00DB7B41"/>
    <w:rsid w:val="00DC0131"/>
    <w:rsid w:val="00DC12DE"/>
    <w:rsid w:val="00DC2468"/>
    <w:rsid w:val="00DC39EC"/>
    <w:rsid w:val="00DC42D5"/>
    <w:rsid w:val="00DC5399"/>
    <w:rsid w:val="00DC5EDF"/>
    <w:rsid w:val="00DC6116"/>
    <w:rsid w:val="00DC6BE0"/>
    <w:rsid w:val="00DC76D1"/>
    <w:rsid w:val="00DC780F"/>
    <w:rsid w:val="00DC7C09"/>
    <w:rsid w:val="00DD08D1"/>
    <w:rsid w:val="00DD4096"/>
    <w:rsid w:val="00DD4216"/>
    <w:rsid w:val="00DE0BED"/>
    <w:rsid w:val="00DE2112"/>
    <w:rsid w:val="00DE3180"/>
    <w:rsid w:val="00DE4B10"/>
    <w:rsid w:val="00DE69BA"/>
    <w:rsid w:val="00DE6D26"/>
    <w:rsid w:val="00DE76C0"/>
    <w:rsid w:val="00DF05ED"/>
    <w:rsid w:val="00DF1307"/>
    <w:rsid w:val="00DF358A"/>
    <w:rsid w:val="00DF4291"/>
    <w:rsid w:val="00E011E3"/>
    <w:rsid w:val="00E01633"/>
    <w:rsid w:val="00E01BB8"/>
    <w:rsid w:val="00E02AF3"/>
    <w:rsid w:val="00E03542"/>
    <w:rsid w:val="00E035CC"/>
    <w:rsid w:val="00E036D3"/>
    <w:rsid w:val="00E060FC"/>
    <w:rsid w:val="00E10DFB"/>
    <w:rsid w:val="00E14407"/>
    <w:rsid w:val="00E166C4"/>
    <w:rsid w:val="00E204D4"/>
    <w:rsid w:val="00E21D6F"/>
    <w:rsid w:val="00E22320"/>
    <w:rsid w:val="00E235BE"/>
    <w:rsid w:val="00E24F53"/>
    <w:rsid w:val="00E25FB8"/>
    <w:rsid w:val="00E2695F"/>
    <w:rsid w:val="00E27053"/>
    <w:rsid w:val="00E272C8"/>
    <w:rsid w:val="00E30CC1"/>
    <w:rsid w:val="00E32DEF"/>
    <w:rsid w:val="00E32EE0"/>
    <w:rsid w:val="00E33CF9"/>
    <w:rsid w:val="00E36DD3"/>
    <w:rsid w:val="00E40BFE"/>
    <w:rsid w:val="00E414BB"/>
    <w:rsid w:val="00E42446"/>
    <w:rsid w:val="00E43368"/>
    <w:rsid w:val="00E44583"/>
    <w:rsid w:val="00E47A03"/>
    <w:rsid w:val="00E47F15"/>
    <w:rsid w:val="00E5270D"/>
    <w:rsid w:val="00E535A7"/>
    <w:rsid w:val="00E55739"/>
    <w:rsid w:val="00E55865"/>
    <w:rsid w:val="00E56C81"/>
    <w:rsid w:val="00E621DB"/>
    <w:rsid w:val="00E626D2"/>
    <w:rsid w:val="00E6318C"/>
    <w:rsid w:val="00E64ADE"/>
    <w:rsid w:val="00E65417"/>
    <w:rsid w:val="00E65F36"/>
    <w:rsid w:val="00E66B32"/>
    <w:rsid w:val="00E71A5B"/>
    <w:rsid w:val="00E72F46"/>
    <w:rsid w:val="00E7305D"/>
    <w:rsid w:val="00E74B38"/>
    <w:rsid w:val="00E75D9A"/>
    <w:rsid w:val="00E763A0"/>
    <w:rsid w:val="00E764BF"/>
    <w:rsid w:val="00E77F7F"/>
    <w:rsid w:val="00E80505"/>
    <w:rsid w:val="00E813D3"/>
    <w:rsid w:val="00E8384D"/>
    <w:rsid w:val="00E84246"/>
    <w:rsid w:val="00E84929"/>
    <w:rsid w:val="00E859C5"/>
    <w:rsid w:val="00E87367"/>
    <w:rsid w:val="00E906C5"/>
    <w:rsid w:val="00E92740"/>
    <w:rsid w:val="00E93E53"/>
    <w:rsid w:val="00E95B3B"/>
    <w:rsid w:val="00E95F85"/>
    <w:rsid w:val="00E95FD9"/>
    <w:rsid w:val="00E960AC"/>
    <w:rsid w:val="00E969AF"/>
    <w:rsid w:val="00EA08F6"/>
    <w:rsid w:val="00EA0BCA"/>
    <w:rsid w:val="00EA102B"/>
    <w:rsid w:val="00EA1BCB"/>
    <w:rsid w:val="00EA288D"/>
    <w:rsid w:val="00EA4CEC"/>
    <w:rsid w:val="00EA64FD"/>
    <w:rsid w:val="00EA70FD"/>
    <w:rsid w:val="00EA7D38"/>
    <w:rsid w:val="00EB0BBF"/>
    <w:rsid w:val="00EB101B"/>
    <w:rsid w:val="00EB19C9"/>
    <w:rsid w:val="00EB1BF4"/>
    <w:rsid w:val="00EB2C5C"/>
    <w:rsid w:val="00EB31E2"/>
    <w:rsid w:val="00EB34A4"/>
    <w:rsid w:val="00EB3DD6"/>
    <w:rsid w:val="00EB44E2"/>
    <w:rsid w:val="00EB4627"/>
    <w:rsid w:val="00EB4C2E"/>
    <w:rsid w:val="00EB580A"/>
    <w:rsid w:val="00EB7EE2"/>
    <w:rsid w:val="00EC0938"/>
    <w:rsid w:val="00EC5059"/>
    <w:rsid w:val="00EC55DE"/>
    <w:rsid w:val="00EC61B3"/>
    <w:rsid w:val="00EC678F"/>
    <w:rsid w:val="00ED21DE"/>
    <w:rsid w:val="00ED2C78"/>
    <w:rsid w:val="00ED2E4B"/>
    <w:rsid w:val="00ED3F36"/>
    <w:rsid w:val="00ED49CC"/>
    <w:rsid w:val="00ED4D31"/>
    <w:rsid w:val="00EE409C"/>
    <w:rsid w:val="00EE7696"/>
    <w:rsid w:val="00EF09AF"/>
    <w:rsid w:val="00EF0C04"/>
    <w:rsid w:val="00EF2DAB"/>
    <w:rsid w:val="00EF55D5"/>
    <w:rsid w:val="00EF567C"/>
    <w:rsid w:val="00EF584B"/>
    <w:rsid w:val="00EF58ED"/>
    <w:rsid w:val="00EF5B3E"/>
    <w:rsid w:val="00EF6099"/>
    <w:rsid w:val="00EF6B73"/>
    <w:rsid w:val="00EF72FD"/>
    <w:rsid w:val="00F02B1E"/>
    <w:rsid w:val="00F02F4B"/>
    <w:rsid w:val="00F0369F"/>
    <w:rsid w:val="00F040E6"/>
    <w:rsid w:val="00F058F5"/>
    <w:rsid w:val="00F07CA9"/>
    <w:rsid w:val="00F07EDB"/>
    <w:rsid w:val="00F10A10"/>
    <w:rsid w:val="00F10DAD"/>
    <w:rsid w:val="00F11C2C"/>
    <w:rsid w:val="00F129CB"/>
    <w:rsid w:val="00F16649"/>
    <w:rsid w:val="00F16748"/>
    <w:rsid w:val="00F171AC"/>
    <w:rsid w:val="00F17556"/>
    <w:rsid w:val="00F20DEB"/>
    <w:rsid w:val="00F21118"/>
    <w:rsid w:val="00F22156"/>
    <w:rsid w:val="00F22940"/>
    <w:rsid w:val="00F23004"/>
    <w:rsid w:val="00F23059"/>
    <w:rsid w:val="00F23307"/>
    <w:rsid w:val="00F23F38"/>
    <w:rsid w:val="00F24B46"/>
    <w:rsid w:val="00F25003"/>
    <w:rsid w:val="00F25ED3"/>
    <w:rsid w:val="00F31B5E"/>
    <w:rsid w:val="00F324B6"/>
    <w:rsid w:val="00F339EF"/>
    <w:rsid w:val="00F3771E"/>
    <w:rsid w:val="00F40365"/>
    <w:rsid w:val="00F40798"/>
    <w:rsid w:val="00F40809"/>
    <w:rsid w:val="00F42264"/>
    <w:rsid w:val="00F43233"/>
    <w:rsid w:val="00F44C0D"/>
    <w:rsid w:val="00F512F9"/>
    <w:rsid w:val="00F52139"/>
    <w:rsid w:val="00F52299"/>
    <w:rsid w:val="00F530D6"/>
    <w:rsid w:val="00F5333D"/>
    <w:rsid w:val="00F54108"/>
    <w:rsid w:val="00F562BE"/>
    <w:rsid w:val="00F56E49"/>
    <w:rsid w:val="00F57D32"/>
    <w:rsid w:val="00F603B3"/>
    <w:rsid w:val="00F6055B"/>
    <w:rsid w:val="00F60871"/>
    <w:rsid w:val="00F620F1"/>
    <w:rsid w:val="00F63268"/>
    <w:rsid w:val="00F65484"/>
    <w:rsid w:val="00F65AF0"/>
    <w:rsid w:val="00F668CD"/>
    <w:rsid w:val="00F678E5"/>
    <w:rsid w:val="00F70B53"/>
    <w:rsid w:val="00F719EB"/>
    <w:rsid w:val="00F72B94"/>
    <w:rsid w:val="00F7314C"/>
    <w:rsid w:val="00F752FE"/>
    <w:rsid w:val="00F75F89"/>
    <w:rsid w:val="00F76B05"/>
    <w:rsid w:val="00F76E71"/>
    <w:rsid w:val="00F7759D"/>
    <w:rsid w:val="00F83891"/>
    <w:rsid w:val="00F8602C"/>
    <w:rsid w:val="00F86AB9"/>
    <w:rsid w:val="00F8700F"/>
    <w:rsid w:val="00F908B4"/>
    <w:rsid w:val="00F908F3"/>
    <w:rsid w:val="00F9123E"/>
    <w:rsid w:val="00F93543"/>
    <w:rsid w:val="00F94F90"/>
    <w:rsid w:val="00F957B9"/>
    <w:rsid w:val="00F95967"/>
    <w:rsid w:val="00F97822"/>
    <w:rsid w:val="00FA0BA6"/>
    <w:rsid w:val="00FA11CC"/>
    <w:rsid w:val="00FA2D94"/>
    <w:rsid w:val="00FA4292"/>
    <w:rsid w:val="00FA49DB"/>
    <w:rsid w:val="00FA5182"/>
    <w:rsid w:val="00FA6723"/>
    <w:rsid w:val="00FA696F"/>
    <w:rsid w:val="00FA713B"/>
    <w:rsid w:val="00FB0669"/>
    <w:rsid w:val="00FB2325"/>
    <w:rsid w:val="00FB240E"/>
    <w:rsid w:val="00FB2768"/>
    <w:rsid w:val="00FB3101"/>
    <w:rsid w:val="00FB7581"/>
    <w:rsid w:val="00FB7C44"/>
    <w:rsid w:val="00FC078A"/>
    <w:rsid w:val="00FC2334"/>
    <w:rsid w:val="00FC5189"/>
    <w:rsid w:val="00FC52E4"/>
    <w:rsid w:val="00FC5494"/>
    <w:rsid w:val="00FC66E0"/>
    <w:rsid w:val="00FC6708"/>
    <w:rsid w:val="00FC79DA"/>
    <w:rsid w:val="00FD003D"/>
    <w:rsid w:val="00FD2231"/>
    <w:rsid w:val="00FD22B8"/>
    <w:rsid w:val="00FD39C2"/>
    <w:rsid w:val="00FD3D36"/>
    <w:rsid w:val="00FD517C"/>
    <w:rsid w:val="00FD6463"/>
    <w:rsid w:val="00FE087C"/>
    <w:rsid w:val="00FE0A6B"/>
    <w:rsid w:val="00FE10AD"/>
    <w:rsid w:val="00FE10EC"/>
    <w:rsid w:val="00FE27DD"/>
    <w:rsid w:val="00FE2E4E"/>
    <w:rsid w:val="00FE3334"/>
    <w:rsid w:val="00FE3BAB"/>
    <w:rsid w:val="00FE4240"/>
    <w:rsid w:val="00FE521C"/>
    <w:rsid w:val="00FE529F"/>
    <w:rsid w:val="00FE561B"/>
    <w:rsid w:val="00FE5902"/>
    <w:rsid w:val="00FE5941"/>
    <w:rsid w:val="00FE5B88"/>
    <w:rsid w:val="00FE5D28"/>
    <w:rsid w:val="00FE7D4E"/>
    <w:rsid w:val="00FE7F6B"/>
    <w:rsid w:val="00FF0484"/>
    <w:rsid w:val="00FF06B9"/>
    <w:rsid w:val="00FF1125"/>
    <w:rsid w:val="00FF19A2"/>
    <w:rsid w:val="00FF27C0"/>
    <w:rsid w:val="00FF569C"/>
    <w:rsid w:val="00FF6C25"/>
    <w:rsid w:val="00FF7472"/>
    <w:rsid w:val="00FF7727"/>
    <w:rsid w:val="00FF7A0C"/>
    <w:rsid w:val="00FF7B13"/>
    <w:rsid w:val="0343147D"/>
    <w:rsid w:val="09633BE5"/>
    <w:rsid w:val="23DEE80A"/>
    <w:rsid w:val="4D3C5ECD"/>
    <w:rsid w:val="7185698D"/>
    <w:rsid w:val="7F975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1B3"/>
    <w:rPr>
      <w:rFonts w:ascii="Arial" w:hAnsi="Arial"/>
    </w:rPr>
  </w:style>
  <w:style w:type="paragraph" w:styleId="Heading1">
    <w:name w:val="heading 1"/>
    <w:basedOn w:val="Normal"/>
    <w:next w:val="Normal"/>
    <w:link w:val="Heading1Char"/>
    <w:uiPriority w:val="9"/>
    <w:qFormat/>
    <w:rsid w:val="00AF669F"/>
    <w:pPr>
      <w:keepNext/>
      <w:keepLines/>
      <w:spacing w:before="480" w:after="0"/>
      <w:jc w:val="both"/>
      <w:outlineLvl w:val="0"/>
    </w:pPr>
    <w:rPr>
      <w:rFonts w:asciiTheme="majorHAnsi" w:eastAsiaTheme="majorEastAsia" w:hAnsiTheme="majorHAnsi" w:cstheme="majorBidi"/>
      <w:b/>
      <w:bCs/>
      <w:color w:val="002060"/>
      <w:sz w:val="40"/>
      <w:szCs w:val="28"/>
    </w:rPr>
  </w:style>
  <w:style w:type="paragraph" w:styleId="Heading2">
    <w:name w:val="heading 2"/>
    <w:basedOn w:val="Normal"/>
    <w:next w:val="Normal"/>
    <w:link w:val="Heading2Char"/>
    <w:uiPriority w:val="9"/>
    <w:unhideWhenUsed/>
    <w:qFormat/>
    <w:rsid w:val="00AF669F"/>
    <w:pPr>
      <w:keepNext/>
      <w:keepLines/>
      <w:spacing w:before="200" w:after="0"/>
      <w:jc w:val="both"/>
      <w:outlineLvl w:val="1"/>
    </w:pPr>
    <w:rPr>
      <w:rFonts w:asciiTheme="majorHAnsi" w:eastAsiaTheme="majorEastAsia" w:hAnsiTheme="majorHAnsi" w:cstheme="majorBidi"/>
      <w:b/>
      <w:bCs/>
      <w:color w:val="002060"/>
      <w:sz w:val="32"/>
      <w:szCs w:val="26"/>
    </w:rPr>
  </w:style>
  <w:style w:type="paragraph" w:styleId="Heading3">
    <w:name w:val="heading 3"/>
    <w:basedOn w:val="Normal"/>
    <w:next w:val="Normal"/>
    <w:link w:val="Heading3Char"/>
    <w:uiPriority w:val="9"/>
    <w:unhideWhenUsed/>
    <w:qFormat/>
    <w:rsid w:val="00C26944"/>
    <w:pPr>
      <w:keepNext/>
      <w:keepLines/>
      <w:spacing w:before="200" w:after="0"/>
      <w:jc w:val="both"/>
      <w:outlineLvl w:val="2"/>
    </w:pPr>
    <w:rPr>
      <w:rFonts w:asciiTheme="majorHAnsi" w:eastAsiaTheme="majorEastAsia" w:hAnsiTheme="majorHAnsi" w:cstheme="majorBidi"/>
      <w:b/>
      <w:bCs/>
      <w:color w:val="002060"/>
      <w:sz w:val="28"/>
    </w:rPr>
  </w:style>
  <w:style w:type="paragraph" w:styleId="Heading4">
    <w:name w:val="heading 4"/>
    <w:basedOn w:val="Normal"/>
    <w:next w:val="Normal"/>
    <w:link w:val="Heading4Char"/>
    <w:unhideWhenUsed/>
    <w:qFormat/>
    <w:rsid w:val="00C26944"/>
    <w:pPr>
      <w:keepNext/>
      <w:keepLines/>
      <w:spacing w:before="200" w:after="0"/>
      <w:jc w:val="both"/>
      <w:outlineLvl w:val="3"/>
    </w:pPr>
    <w:rPr>
      <w:rFonts w:asciiTheme="majorHAnsi" w:eastAsiaTheme="majorEastAsia" w:hAnsiTheme="majorHAnsi" w:cstheme="majorBidi"/>
      <w:b/>
      <w:bCs/>
      <w:iCs/>
      <w:color w:val="002060"/>
    </w:rPr>
  </w:style>
  <w:style w:type="paragraph" w:styleId="Heading5">
    <w:name w:val="heading 5"/>
    <w:basedOn w:val="Normal"/>
    <w:next w:val="Normal"/>
    <w:link w:val="Heading5Char"/>
    <w:uiPriority w:val="9"/>
    <w:unhideWhenUsed/>
    <w:qFormat/>
    <w:rsid w:val="003A22A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554D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554D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C07A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FD9"/>
    <w:rPr>
      <w:rFonts w:ascii="Tahoma" w:hAnsi="Tahoma" w:cs="Tahoma"/>
      <w:sz w:val="16"/>
      <w:szCs w:val="16"/>
    </w:rPr>
  </w:style>
  <w:style w:type="paragraph" w:styleId="Title">
    <w:name w:val="Title"/>
    <w:basedOn w:val="Normal"/>
    <w:next w:val="Normal"/>
    <w:link w:val="TitleChar"/>
    <w:uiPriority w:val="10"/>
    <w:qFormat/>
    <w:rsid w:val="001F0E1D"/>
    <w:pPr>
      <w:spacing w:before="1560" w:after="300" w:line="240" w:lineRule="auto"/>
      <w:contextualSpacing/>
      <w:jc w:val="center"/>
    </w:pPr>
    <w:rPr>
      <w:rFonts w:asciiTheme="majorHAnsi" w:eastAsiaTheme="majorEastAsia" w:hAnsiTheme="majorHAnsi" w:cstheme="majorBidi"/>
      <w:b/>
      <w:color w:val="323E4F" w:themeColor="text2" w:themeShade="BF"/>
      <w:spacing w:val="5"/>
      <w:kern w:val="28"/>
      <w:sz w:val="52"/>
      <w:szCs w:val="52"/>
    </w:rPr>
  </w:style>
  <w:style w:type="character" w:customStyle="1" w:styleId="TitleChar">
    <w:name w:val="Title Char"/>
    <w:basedOn w:val="DefaultParagraphFont"/>
    <w:link w:val="Title"/>
    <w:uiPriority w:val="10"/>
    <w:rsid w:val="001F0E1D"/>
    <w:rPr>
      <w:rFonts w:asciiTheme="majorHAnsi" w:eastAsiaTheme="majorEastAsia" w:hAnsiTheme="majorHAns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rsid w:val="001F0E1D"/>
    <w:pPr>
      <w:numPr>
        <w:ilvl w:val="1"/>
      </w:numPr>
      <w:spacing w:before="720"/>
      <w:jc w:val="center"/>
    </w:pPr>
    <w:rPr>
      <w:rFonts w:asciiTheme="majorHAnsi" w:eastAsiaTheme="majorEastAsia" w:hAnsiTheme="majorHAnsi" w:cstheme="majorBidi"/>
      <w:b/>
      <w:iCs/>
      <w:color w:val="323E4F" w:themeColor="text2" w:themeShade="BF"/>
      <w:spacing w:val="15"/>
      <w:sz w:val="40"/>
      <w:szCs w:val="40"/>
    </w:rPr>
  </w:style>
  <w:style w:type="character" w:customStyle="1" w:styleId="SubtitleChar">
    <w:name w:val="Subtitle Char"/>
    <w:basedOn w:val="DefaultParagraphFont"/>
    <w:link w:val="Subtitle"/>
    <w:uiPriority w:val="11"/>
    <w:rsid w:val="001F0E1D"/>
    <w:rPr>
      <w:rFonts w:asciiTheme="majorHAnsi" w:eastAsiaTheme="majorEastAsia" w:hAnsiTheme="majorHAnsi" w:cstheme="majorBidi"/>
      <w:b/>
      <w:iCs/>
      <w:color w:val="323E4F" w:themeColor="text2" w:themeShade="BF"/>
      <w:spacing w:val="15"/>
      <w:sz w:val="40"/>
      <w:szCs w:val="40"/>
    </w:rPr>
  </w:style>
  <w:style w:type="paragraph" w:customStyle="1" w:styleId="TitlePagedate">
    <w:name w:val="TitlePage date"/>
    <w:basedOn w:val="Normal"/>
    <w:link w:val="TitlePagedateChar"/>
    <w:qFormat/>
    <w:rsid w:val="00753949"/>
    <w:pPr>
      <w:numPr>
        <w:ilvl w:val="1"/>
      </w:numPr>
      <w:spacing w:before="1920"/>
      <w:jc w:val="center"/>
    </w:pPr>
    <w:rPr>
      <w:rFonts w:asciiTheme="majorHAnsi" w:eastAsiaTheme="majorEastAsia" w:hAnsiTheme="majorHAnsi" w:cstheme="majorBidi"/>
      <w:b/>
      <w:iCs/>
      <w:color w:val="323E4F" w:themeColor="text2" w:themeShade="BF"/>
      <w:spacing w:val="15"/>
      <w:sz w:val="40"/>
      <w:szCs w:val="40"/>
    </w:rPr>
  </w:style>
  <w:style w:type="paragraph" w:customStyle="1" w:styleId="TitlePageStatement">
    <w:name w:val="Title Page Statement"/>
    <w:basedOn w:val="Normal"/>
    <w:link w:val="TitlePageStatementChar"/>
    <w:rsid w:val="00EC0938"/>
    <w:pPr>
      <w:spacing w:before="1680"/>
    </w:pPr>
    <w:rPr>
      <w:color w:val="000000" w:themeColor="text1"/>
    </w:rPr>
  </w:style>
  <w:style w:type="character" w:customStyle="1" w:styleId="TitlePagedateChar">
    <w:name w:val="TitlePage date Char"/>
    <w:basedOn w:val="DefaultParagraphFont"/>
    <w:link w:val="TitlePagedate"/>
    <w:rsid w:val="00753949"/>
    <w:rPr>
      <w:rFonts w:asciiTheme="majorHAnsi" w:eastAsiaTheme="majorEastAsia" w:hAnsiTheme="majorHAnsi" w:cstheme="majorBidi"/>
      <w:b/>
      <w:iCs/>
      <w:color w:val="323E4F" w:themeColor="text2" w:themeShade="BF"/>
      <w:spacing w:val="15"/>
      <w:sz w:val="40"/>
      <w:szCs w:val="40"/>
    </w:rPr>
  </w:style>
  <w:style w:type="character" w:customStyle="1" w:styleId="TitlePageStatementChar">
    <w:name w:val="Title Page Statement Char"/>
    <w:basedOn w:val="DefaultParagraphFont"/>
    <w:link w:val="TitlePageStatement"/>
    <w:rsid w:val="00EC0938"/>
    <w:rPr>
      <w:color w:val="000000" w:themeColor="text1"/>
    </w:rPr>
  </w:style>
  <w:style w:type="character" w:customStyle="1" w:styleId="Heading1Char">
    <w:name w:val="Heading 1 Char"/>
    <w:basedOn w:val="DefaultParagraphFont"/>
    <w:link w:val="Heading1"/>
    <w:uiPriority w:val="9"/>
    <w:rsid w:val="00AF669F"/>
    <w:rPr>
      <w:rFonts w:asciiTheme="majorHAnsi" w:eastAsiaTheme="majorEastAsia" w:hAnsiTheme="majorHAnsi" w:cstheme="majorBidi"/>
      <w:b/>
      <w:bCs/>
      <w:color w:val="002060"/>
      <w:sz w:val="40"/>
      <w:szCs w:val="28"/>
    </w:rPr>
  </w:style>
  <w:style w:type="character" w:customStyle="1" w:styleId="Heading2Char">
    <w:name w:val="Heading 2 Char"/>
    <w:basedOn w:val="DefaultParagraphFont"/>
    <w:link w:val="Heading2"/>
    <w:uiPriority w:val="9"/>
    <w:rsid w:val="00AF669F"/>
    <w:rPr>
      <w:rFonts w:asciiTheme="majorHAnsi" w:eastAsiaTheme="majorEastAsia" w:hAnsiTheme="majorHAnsi" w:cstheme="majorBidi"/>
      <w:b/>
      <w:bCs/>
      <w:color w:val="002060"/>
      <w:sz w:val="32"/>
      <w:szCs w:val="26"/>
    </w:rPr>
  </w:style>
  <w:style w:type="character" w:customStyle="1" w:styleId="Heading3Char">
    <w:name w:val="Heading 3 Char"/>
    <w:basedOn w:val="DefaultParagraphFont"/>
    <w:link w:val="Heading3"/>
    <w:uiPriority w:val="9"/>
    <w:rsid w:val="00C26944"/>
    <w:rPr>
      <w:rFonts w:asciiTheme="majorHAnsi" w:eastAsiaTheme="majorEastAsia" w:hAnsiTheme="majorHAnsi" w:cstheme="majorBidi"/>
      <w:b/>
      <w:bCs/>
      <w:color w:val="002060"/>
      <w:sz w:val="28"/>
    </w:rPr>
  </w:style>
  <w:style w:type="character" w:customStyle="1" w:styleId="Heading4Char">
    <w:name w:val="Heading 4 Char"/>
    <w:basedOn w:val="DefaultParagraphFont"/>
    <w:link w:val="Heading4"/>
    <w:rsid w:val="00C26944"/>
    <w:rPr>
      <w:rFonts w:asciiTheme="majorHAnsi" w:eastAsiaTheme="majorEastAsia" w:hAnsiTheme="majorHAnsi" w:cstheme="majorBidi"/>
      <w:b/>
      <w:bCs/>
      <w:iCs/>
      <w:color w:val="002060"/>
    </w:rPr>
  </w:style>
  <w:style w:type="table" w:styleId="TableGrid">
    <w:name w:val="Table Grid"/>
    <w:basedOn w:val="TableNormal"/>
    <w:uiPriority w:val="39"/>
    <w:rsid w:val="0076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6FF6"/>
    <w:pPr>
      <w:spacing w:line="240" w:lineRule="auto"/>
    </w:pPr>
    <w:rPr>
      <w:b/>
      <w:bCs/>
      <w:color w:val="5B9BD5" w:themeColor="accent1"/>
      <w:sz w:val="18"/>
      <w:szCs w:val="18"/>
    </w:rPr>
  </w:style>
  <w:style w:type="paragraph" w:styleId="Header">
    <w:name w:val="header"/>
    <w:basedOn w:val="Normal"/>
    <w:link w:val="HeaderChar"/>
    <w:unhideWhenUsed/>
    <w:rsid w:val="00AE1F7F"/>
    <w:pPr>
      <w:tabs>
        <w:tab w:val="center" w:pos="4513"/>
        <w:tab w:val="right" w:pos="9026"/>
      </w:tabs>
      <w:spacing w:after="0" w:line="240" w:lineRule="auto"/>
    </w:pPr>
  </w:style>
  <w:style w:type="character" w:customStyle="1" w:styleId="HeaderChar">
    <w:name w:val="Header Char"/>
    <w:basedOn w:val="DefaultParagraphFont"/>
    <w:link w:val="Header"/>
    <w:rsid w:val="00AE1F7F"/>
  </w:style>
  <w:style w:type="paragraph" w:styleId="Footer">
    <w:name w:val="footer"/>
    <w:basedOn w:val="Normal"/>
    <w:link w:val="FooterChar"/>
    <w:uiPriority w:val="99"/>
    <w:unhideWhenUsed/>
    <w:rsid w:val="00AE1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F7F"/>
  </w:style>
  <w:style w:type="paragraph" w:styleId="FootnoteText">
    <w:name w:val="footnote text"/>
    <w:basedOn w:val="Normal"/>
    <w:link w:val="FootnoteTextChar"/>
    <w:uiPriority w:val="99"/>
    <w:unhideWhenUsed/>
    <w:rsid w:val="00AE1F7F"/>
    <w:pPr>
      <w:spacing w:after="0" w:line="240" w:lineRule="auto"/>
    </w:pPr>
    <w:rPr>
      <w:sz w:val="20"/>
      <w:szCs w:val="20"/>
    </w:rPr>
  </w:style>
  <w:style w:type="character" w:customStyle="1" w:styleId="FootnoteTextChar">
    <w:name w:val="Footnote Text Char"/>
    <w:basedOn w:val="DefaultParagraphFont"/>
    <w:link w:val="FootnoteText"/>
    <w:uiPriority w:val="99"/>
    <w:rsid w:val="00AE1F7F"/>
    <w:rPr>
      <w:sz w:val="20"/>
      <w:szCs w:val="20"/>
    </w:rPr>
  </w:style>
  <w:style w:type="character" w:styleId="FootnoteReference">
    <w:name w:val="footnote reference"/>
    <w:basedOn w:val="DefaultParagraphFont"/>
    <w:uiPriority w:val="99"/>
    <w:unhideWhenUsed/>
    <w:rsid w:val="00AE1F7F"/>
    <w:rPr>
      <w:vertAlign w:val="superscript"/>
    </w:rPr>
  </w:style>
  <w:style w:type="paragraph" w:customStyle="1" w:styleId="BlockQuote">
    <w:name w:val="Block Quote"/>
    <w:basedOn w:val="Normal"/>
    <w:link w:val="BlockQuoteChar"/>
    <w:qFormat/>
    <w:rsid w:val="003358E4"/>
    <w:pPr>
      <w:pBdr>
        <w:bottom w:val="single" w:sz="4" w:space="4" w:color="5B9BD5" w:themeColor="accent1"/>
      </w:pBdr>
      <w:spacing w:before="200" w:after="280"/>
      <w:ind w:left="936" w:right="936"/>
      <w:jc w:val="both"/>
    </w:pPr>
    <w:rPr>
      <w:b/>
      <w:bCs/>
      <w:i/>
      <w:iCs/>
      <w:lang w:val="en"/>
    </w:rPr>
  </w:style>
  <w:style w:type="paragraph" w:styleId="TOCHeading">
    <w:name w:val="TOC Heading"/>
    <w:basedOn w:val="Heading1"/>
    <w:next w:val="Normal"/>
    <w:uiPriority w:val="39"/>
    <w:unhideWhenUsed/>
    <w:qFormat/>
    <w:rsid w:val="003A22A1"/>
    <w:pPr>
      <w:jc w:val="left"/>
      <w:outlineLvl w:val="9"/>
    </w:pPr>
    <w:rPr>
      <w:color w:val="2E74B5" w:themeColor="accent1" w:themeShade="BF"/>
      <w:sz w:val="28"/>
      <w:lang w:val="en-US" w:eastAsia="ja-JP"/>
    </w:rPr>
  </w:style>
  <w:style w:type="character" w:customStyle="1" w:styleId="BlockQuoteChar">
    <w:name w:val="Block Quote Char"/>
    <w:basedOn w:val="DefaultParagraphFont"/>
    <w:link w:val="BlockQuote"/>
    <w:rsid w:val="003358E4"/>
    <w:rPr>
      <w:b/>
      <w:bCs/>
      <w:i/>
      <w:iCs/>
      <w:lang w:val="en"/>
    </w:rPr>
  </w:style>
  <w:style w:type="paragraph" w:styleId="TOC1">
    <w:name w:val="toc 1"/>
    <w:basedOn w:val="Normal"/>
    <w:next w:val="Normal"/>
    <w:autoRedefine/>
    <w:uiPriority w:val="39"/>
    <w:unhideWhenUsed/>
    <w:rsid w:val="001622CF"/>
    <w:pPr>
      <w:tabs>
        <w:tab w:val="right" w:leader="dot" w:pos="9016"/>
      </w:tabs>
      <w:spacing w:before="240" w:after="100"/>
    </w:pPr>
  </w:style>
  <w:style w:type="paragraph" w:styleId="TOC2">
    <w:name w:val="toc 2"/>
    <w:basedOn w:val="Normal"/>
    <w:next w:val="Normal"/>
    <w:autoRedefine/>
    <w:uiPriority w:val="39"/>
    <w:unhideWhenUsed/>
    <w:rsid w:val="00644994"/>
    <w:pPr>
      <w:tabs>
        <w:tab w:val="left" w:pos="1440"/>
      </w:tabs>
      <w:spacing w:after="100"/>
      <w:ind w:left="220"/>
    </w:pPr>
  </w:style>
  <w:style w:type="paragraph" w:styleId="TOC3">
    <w:name w:val="toc 3"/>
    <w:basedOn w:val="Normal"/>
    <w:next w:val="Normal"/>
    <w:autoRedefine/>
    <w:uiPriority w:val="39"/>
    <w:unhideWhenUsed/>
    <w:rsid w:val="003A22A1"/>
    <w:pPr>
      <w:spacing w:after="100"/>
      <w:ind w:left="440"/>
    </w:pPr>
  </w:style>
  <w:style w:type="character" w:styleId="Hyperlink">
    <w:name w:val="Hyperlink"/>
    <w:basedOn w:val="DefaultParagraphFont"/>
    <w:uiPriority w:val="99"/>
    <w:unhideWhenUsed/>
    <w:rsid w:val="003A22A1"/>
    <w:rPr>
      <w:color w:val="0563C1" w:themeColor="hyperlink"/>
      <w:u w:val="single"/>
    </w:rPr>
  </w:style>
  <w:style w:type="character" w:customStyle="1" w:styleId="Heading5Char">
    <w:name w:val="Heading 5 Char"/>
    <w:basedOn w:val="DefaultParagraphFont"/>
    <w:link w:val="Heading5"/>
    <w:uiPriority w:val="9"/>
    <w:rsid w:val="003A22A1"/>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1"/>
    <w:qFormat/>
    <w:rsid w:val="003A22A1"/>
    <w:pPr>
      <w:spacing w:after="120"/>
    </w:pPr>
  </w:style>
  <w:style w:type="character" w:customStyle="1" w:styleId="BodyTextChar">
    <w:name w:val="Body Text Char"/>
    <w:basedOn w:val="DefaultParagraphFont"/>
    <w:link w:val="BodyText"/>
    <w:uiPriority w:val="1"/>
    <w:rsid w:val="003A22A1"/>
  </w:style>
  <w:style w:type="paragraph" w:styleId="BodyTextIndent">
    <w:name w:val="Body Text Indent"/>
    <w:basedOn w:val="Normal"/>
    <w:link w:val="BodyTextIndentChar"/>
    <w:uiPriority w:val="99"/>
    <w:rsid w:val="00054A01"/>
    <w:pPr>
      <w:spacing w:after="120"/>
      <w:ind w:left="283"/>
    </w:pPr>
  </w:style>
  <w:style w:type="character" w:customStyle="1" w:styleId="BodyTextIndentChar">
    <w:name w:val="Body Text Indent Char"/>
    <w:basedOn w:val="DefaultParagraphFont"/>
    <w:link w:val="BodyTextIndent"/>
    <w:uiPriority w:val="99"/>
    <w:rsid w:val="00054A01"/>
  </w:style>
  <w:style w:type="paragraph" w:styleId="BlockText">
    <w:name w:val="Block Text"/>
    <w:basedOn w:val="Normal"/>
    <w:uiPriority w:val="99"/>
    <w:rsid w:val="00CC5D6C"/>
    <w:pPr>
      <w:ind w:left="284" w:right="284"/>
    </w:pPr>
    <w:rPr>
      <w:rFonts w:eastAsiaTheme="minorEastAsia"/>
      <w:i/>
      <w:iCs/>
    </w:rPr>
  </w:style>
  <w:style w:type="character" w:styleId="Emphasis">
    <w:name w:val="Emphasis"/>
    <w:basedOn w:val="DefaultParagraphFont"/>
    <w:uiPriority w:val="20"/>
    <w:qFormat/>
    <w:rsid w:val="00E2695F"/>
    <w:rPr>
      <w:i/>
      <w:iCs/>
    </w:rPr>
  </w:style>
  <w:style w:type="character" w:styleId="Strong">
    <w:name w:val="Strong"/>
    <w:basedOn w:val="DefaultParagraphFont"/>
    <w:uiPriority w:val="22"/>
    <w:qFormat/>
    <w:rsid w:val="00E2695F"/>
    <w:rPr>
      <w:b/>
      <w:bCs/>
    </w:rPr>
  </w:style>
  <w:style w:type="paragraph" w:styleId="ListBullet">
    <w:name w:val="List Bullet"/>
    <w:basedOn w:val="Normal"/>
    <w:link w:val="ListBulletChar"/>
    <w:uiPriority w:val="99"/>
    <w:rsid w:val="00337EEB"/>
    <w:pPr>
      <w:numPr>
        <w:numId w:val="1"/>
      </w:numPr>
      <w:contextualSpacing/>
    </w:pPr>
  </w:style>
  <w:style w:type="paragraph" w:styleId="ListNumber">
    <w:name w:val="List Number"/>
    <w:basedOn w:val="Normal"/>
    <w:uiPriority w:val="99"/>
    <w:rsid w:val="00916592"/>
    <w:pPr>
      <w:numPr>
        <w:numId w:val="2"/>
      </w:numPr>
      <w:contextualSpacing/>
    </w:pPr>
  </w:style>
  <w:style w:type="paragraph" w:styleId="ListParagraph">
    <w:name w:val="List Paragraph"/>
    <w:basedOn w:val="Normal"/>
    <w:uiPriority w:val="34"/>
    <w:qFormat/>
    <w:rsid w:val="00DA4FEF"/>
    <w:pPr>
      <w:ind w:left="720"/>
      <w:contextualSpacing/>
    </w:pPr>
  </w:style>
  <w:style w:type="paragraph" w:customStyle="1" w:styleId="Multilevelbullet">
    <w:name w:val="Multi level bullet"/>
    <w:basedOn w:val="ListBullet"/>
    <w:link w:val="MultilevelbulletChar"/>
    <w:qFormat/>
    <w:rsid w:val="009A5804"/>
    <w:pPr>
      <w:numPr>
        <w:numId w:val="3"/>
      </w:numPr>
    </w:pPr>
  </w:style>
  <w:style w:type="numbering" w:customStyle="1" w:styleId="Multi-levelnumbered0">
    <w:name w:val="Multi-level numbered"/>
    <w:uiPriority w:val="99"/>
    <w:rsid w:val="009A5804"/>
    <w:pPr>
      <w:numPr>
        <w:numId w:val="4"/>
      </w:numPr>
    </w:pPr>
  </w:style>
  <w:style w:type="character" w:customStyle="1" w:styleId="ListBulletChar">
    <w:name w:val="List Bullet Char"/>
    <w:basedOn w:val="DefaultParagraphFont"/>
    <w:link w:val="ListBullet"/>
    <w:uiPriority w:val="99"/>
    <w:rsid w:val="009A5804"/>
    <w:rPr>
      <w:rFonts w:ascii="Arial" w:hAnsi="Arial"/>
    </w:rPr>
  </w:style>
  <w:style w:type="character" w:customStyle="1" w:styleId="MultilevelbulletChar">
    <w:name w:val="Multi level bullet Char"/>
    <w:basedOn w:val="ListBulletChar"/>
    <w:link w:val="Multilevelbullet"/>
    <w:rsid w:val="009A5804"/>
    <w:rPr>
      <w:rFonts w:ascii="Arial" w:hAnsi="Arial"/>
    </w:rPr>
  </w:style>
  <w:style w:type="paragraph" w:customStyle="1" w:styleId="Multi-levelNumbered">
    <w:name w:val="Multi-level Numbered"/>
    <w:basedOn w:val="ListBullet"/>
    <w:link w:val="Multi-levelNumberedChar"/>
    <w:qFormat/>
    <w:rsid w:val="009A5804"/>
    <w:pPr>
      <w:numPr>
        <w:numId w:val="5"/>
      </w:numPr>
    </w:pPr>
  </w:style>
  <w:style w:type="character" w:customStyle="1" w:styleId="Multi-levelNumberedChar">
    <w:name w:val="Multi-level Numbered Char"/>
    <w:basedOn w:val="ListBulletChar"/>
    <w:link w:val="Multi-levelNumbered"/>
    <w:rsid w:val="009A5804"/>
    <w:rPr>
      <w:rFonts w:ascii="Arial" w:hAnsi="Arial"/>
    </w:rPr>
  </w:style>
  <w:style w:type="character" w:styleId="CommentReference">
    <w:name w:val="annotation reference"/>
    <w:basedOn w:val="DefaultParagraphFont"/>
    <w:uiPriority w:val="99"/>
    <w:unhideWhenUsed/>
    <w:rsid w:val="009418B8"/>
    <w:rPr>
      <w:sz w:val="16"/>
      <w:szCs w:val="16"/>
    </w:rPr>
  </w:style>
  <w:style w:type="paragraph" w:styleId="CommentText">
    <w:name w:val="annotation text"/>
    <w:basedOn w:val="Normal"/>
    <w:link w:val="CommentTextChar"/>
    <w:uiPriority w:val="99"/>
    <w:unhideWhenUsed/>
    <w:rsid w:val="009418B8"/>
    <w:pPr>
      <w:spacing w:line="240" w:lineRule="auto"/>
    </w:pPr>
    <w:rPr>
      <w:sz w:val="20"/>
      <w:szCs w:val="20"/>
    </w:rPr>
  </w:style>
  <w:style w:type="character" w:customStyle="1" w:styleId="CommentTextChar">
    <w:name w:val="Comment Text Char"/>
    <w:basedOn w:val="DefaultParagraphFont"/>
    <w:link w:val="CommentText"/>
    <w:uiPriority w:val="99"/>
    <w:rsid w:val="009418B8"/>
    <w:rPr>
      <w:rFonts w:ascii="Arial" w:hAnsi="Arial"/>
      <w:sz w:val="20"/>
      <w:szCs w:val="20"/>
    </w:rPr>
  </w:style>
  <w:style w:type="paragraph" w:styleId="CommentSubject">
    <w:name w:val="annotation subject"/>
    <w:basedOn w:val="CommentText"/>
    <w:next w:val="CommentText"/>
    <w:link w:val="CommentSubjectChar"/>
    <w:uiPriority w:val="99"/>
    <w:unhideWhenUsed/>
    <w:rsid w:val="009418B8"/>
    <w:rPr>
      <w:b/>
      <w:bCs/>
    </w:rPr>
  </w:style>
  <w:style w:type="character" w:customStyle="1" w:styleId="CommentSubjectChar">
    <w:name w:val="Comment Subject Char"/>
    <w:basedOn w:val="CommentTextChar"/>
    <w:link w:val="CommentSubject"/>
    <w:uiPriority w:val="99"/>
    <w:rsid w:val="009418B8"/>
    <w:rPr>
      <w:rFonts w:ascii="Arial" w:hAnsi="Arial"/>
      <w:b/>
      <w:bCs/>
      <w:sz w:val="20"/>
      <w:szCs w:val="20"/>
    </w:rPr>
  </w:style>
  <w:style w:type="paragraph" w:styleId="Revision">
    <w:name w:val="Revision"/>
    <w:hidden/>
    <w:uiPriority w:val="99"/>
    <w:semiHidden/>
    <w:rsid w:val="009418B8"/>
    <w:pPr>
      <w:spacing w:after="0" w:line="240" w:lineRule="auto"/>
    </w:pPr>
    <w:rPr>
      <w:rFonts w:ascii="Arial" w:hAnsi="Arial"/>
    </w:rPr>
  </w:style>
  <w:style w:type="paragraph" w:customStyle="1" w:styleId="Default">
    <w:name w:val="Default"/>
    <w:rsid w:val="008B3E8A"/>
    <w:pPr>
      <w:autoSpaceDE w:val="0"/>
      <w:autoSpaceDN w:val="0"/>
      <w:adjustRightInd w:val="0"/>
      <w:spacing w:after="0" w:line="240" w:lineRule="auto"/>
    </w:pPr>
    <w:rPr>
      <w:rFonts w:ascii="Arial" w:hAnsi="Arial" w:cs="Arial"/>
      <w:color w:val="000000"/>
      <w:sz w:val="24"/>
      <w:szCs w:val="24"/>
    </w:rPr>
  </w:style>
  <w:style w:type="table" w:styleId="GridTable6Colorful-Accent1">
    <w:name w:val="Grid Table 6 Colorful Accent 1"/>
    <w:basedOn w:val="TableNormal"/>
    <w:uiPriority w:val="51"/>
    <w:rsid w:val="0029475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7827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9Char">
    <w:name w:val="Heading 9 Char"/>
    <w:basedOn w:val="DefaultParagraphFont"/>
    <w:link w:val="Heading9"/>
    <w:uiPriority w:val="9"/>
    <w:semiHidden/>
    <w:rsid w:val="00C07A14"/>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884694"/>
    <w:pPr>
      <w:autoSpaceDE w:val="0"/>
      <w:autoSpaceDN w:val="0"/>
      <w:adjustRightInd w:val="0"/>
      <w:spacing w:after="0" w:line="240" w:lineRule="auto"/>
      <w:ind w:left="249"/>
    </w:pPr>
    <w:rPr>
      <w:rFonts w:cs="Arial"/>
      <w:sz w:val="24"/>
      <w:szCs w:val="24"/>
    </w:rPr>
  </w:style>
  <w:style w:type="character" w:customStyle="1" w:styleId="Heading6Char">
    <w:name w:val="Heading 6 Char"/>
    <w:basedOn w:val="DefaultParagraphFont"/>
    <w:link w:val="Heading6"/>
    <w:uiPriority w:val="9"/>
    <w:rsid w:val="00B554D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B554DB"/>
    <w:rPr>
      <w:rFonts w:asciiTheme="majorHAnsi" w:eastAsiaTheme="majorEastAsia" w:hAnsiTheme="majorHAnsi" w:cstheme="majorBidi"/>
      <w:i/>
      <w:iCs/>
      <w:color w:val="1F4D78" w:themeColor="accent1" w:themeShade="7F"/>
    </w:rPr>
  </w:style>
  <w:style w:type="paragraph" w:customStyle="1" w:styleId="Body">
    <w:name w:val="*Body"/>
    <w:basedOn w:val="Normal"/>
    <w:qFormat/>
    <w:rsid w:val="000B2944"/>
    <w:pPr>
      <w:spacing w:after="120"/>
    </w:pPr>
    <w:rPr>
      <w:rFonts w:ascii="HelveticaNeue-Light" w:hAnsi="HelveticaNeue-Light"/>
    </w:rPr>
  </w:style>
  <w:style w:type="paragraph" w:customStyle="1" w:styleId="Coverdoctype">
    <w:name w:val="*Cover doc type"/>
    <w:basedOn w:val="Normal"/>
    <w:qFormat/>
    <w:rsid w:val="000B2944"/>
    <w:pPr>
      <w:framePr w:hSpace="187" w:wrap="around" w:vAnchor="page" w:hAnchor="margin" w:xAlign="center" w:y="10321"/>
    </w:pPr>
    <w:rPr>
      <w:rFonts w:ascii="Providence" w:hAnsi="Providence"/>
      <w:b/>
      <w:color w:val="003359"/>
      <w:sz w:val="36"/>
      <w:szCs w:val="32"/>
    </w:rPr>
  </w:style>
  <w:style w:type="paragraph" w:customStyle="1" w:styleId="TOCheader">
    <w:name w:val="*TOC header"/>
    <w:basedOn w:val="Body"/>
    <w:qFormat/>
    <w:rsid w:val="000B2944"/>
    <w:pPr>
      <w:spacing w:after="240" w:line="240" w:lineRule="auto"/>
    </w:pPr>
    <w:rPr>
      <w:rFonts w:ascii="Providence" w:hAnsi="Providence"/>
      <w:b/>
      <w:color w:val="003359"/>
      <w:sz w:val="48"/>
      <w:szCs w:val="48"/>
    </w:rPr>
  </w:style>
  <w:style w:type="paragraph" w:customStyle="1" w:styleId="Bodybulletabc">
    <w:name w:val="*Body bullet abc"/>
    <w:basedOn w:val="Body"/>
    <w:qFormat/>
    <w:rsid w:val="000B2944"/>
    <w:pPr>
      <w:numPr>
        <w:numId w:val="43"/>
      </w:numPr>
    </w:pPr>
  </w:style>
  <w:style w:type="paragraph" w:customStyle="1" w:styleId="Bodyindent1">
    <w:name w:val="*Body indent 1"/>
    <w:basedOn w:val="Body"/>
    <w:qFormat/>
    <w:rsid w:val="000B2944"/>
    <w:pPr>
      <w:ind w:left="1077"/>
    </w:pPr>
  </w:style>
  <w:style w:type="paragraph" w:customStyle="1" w:styleId="Bodyindent1bullet">
    <w:name w:val="*Body indent 1 bullet"/>
    <w:basedOn w:val="Bodyindent1"/>
    <w:qFormat/>
    <w:rsid w:val="000B2944"/>
    <w:pPr>
      <w:numPr>
        <w:numId w:val="44"/>
      </w:numPr>
    </w:pPr>
  </w:style>
  <w:style w:type="paragraph" w:customStyle="1" w:styleId="Bodyindent1bulletcont">
    <w:name w:val="*Body indent 1 bullet (cont)"/>
    <w:basedOn w:val="Bodyindent1"/>
    <w:qFormat/>
    <w:rsid w:val="000B2944"/>
    <w:pPr>
      <w:ind w:left="1797"/>
    </w:pPr>
  </w:style>
  <w:style w:type="paragraph" w:customStyle="1" w:styleId="Bodyindent1bullet2">
    <w:name w:val="*Body indent 1 bullet 2"/>
    <w:basedOn w:val="Bodyindent1"/>
    <w:qFormat/>
    <w:rsid w:val="000B2944"/>
    <w:pPr>
      <w:numPr>
        <w:ilvl w:val="1"/>
        <w:numId w:val="44"/>
      </w:numPr>
    </w:pPr>
  </w:style>
  <w:style w:type="paragraph" w:customStyle="1" w:styleId="Bodyindent1bullet3">
    <w:name w:val="*Body indent 1 bullet 3"/>
    <w:basedOn w:val="Bodyindent1"/>
    <w:qFormat/>
    <w:rsid w:val="000B2944"/>
    <w:pPr>
      <w:numPr>
        <w:ilvl w:val="2"/>
        <w:numId w:val="44"/>
      </w:numPr>
    </w:pPr>
  </w:style>
  <w:style w:type="paragraph" w:customStyle="1" w:styleId="Bodyindent1bulletabc">
    <w:name w:val="*Body indent 1 bullet abc"/>
    <w:basedOn w:val="Bodyindent1"/>
    <w:qFormat/>
    <w:rsid w:val="000B2944"/>
    <w:pPr>
      <w:numPr>
        <w:numId w:val="45"/>
      </w:numPr>
    </w:pPr>
    <w:rPr>
      <w:lang w:val="en-US"/>
    </w:rPr>
  </w:style>
  <w:style w:type="paragraph" w:customStyle="1" w:styleId="Bodyindent1bulletnumbered">
    <w:name w:val="*Body indent 1 bullet numbered"/>
    <w:basedOn w:val="Bodyindent1"/>
    <w:qFormat/>
    <w:rsid w:val="000B2944"/>
    <w:pPr>
      <w:numPr>
        <w:numId w:val="46"/>
      </w:numPr>
    </w:pPr>
  </w:style>
  <w:style w:type="paragraph" w:customStyle="1" w:styleId="Bodyindent1caption">
    <w:name w:val="*Body indent 1 caption"/>
    <w:basedOn w:val="Bodyindent1"/>
    <w:qFormat/>
    <w:rsid w:val="000B2944"/>
    <w:pPr>
      <w:spacing w:after="0" w:line="240" w:lineRule="auto"/>
    </w:pPr>
    <w:rPr>
      <w:b/>
      <w:sz w:val="16"/>
      <w:szCs w:val="16"/>
    </w:rPr>
  </w:style>
  <w:style w:type="paragraph" w:customStyle="1" w:styleId="Bodyindent1diagram">
    <w:name w:val="*Body indent 1 diagram"/>
    <w:basedOn w:val="Bodyindent1"/>
    <w:qFormat/>
    <w:rsid w:val="000B2944"/>
    <w:pPr>
      <w:spacing w:before="160" w:after="160" w:line="240" w:lineRule="auto"/>
    </w:pPr>
  </w:style>
  <w:style w:type="paragraph" w:customStyle="1" w:styleId="Breaks">
    <w:name w:val="*Breaks"/>
    <w:basedOn w:val="Body"/>
    <w:qFormat/>
    <w:rsid w:val="000B2944"/>
    <w:pPr>
      <w:spacing w:after="0" w:line="240" w:lineRule="auto"/>
    </w:pPr>
  </w:style>
  <w:style w:type="paragraph" w:customStyle="1" w:styleId="AAPrelimheading">
    <w:name w:val="*AA Prelim heading"/>
    <w:basedOn w:val="Normal"/>
    <w:qFormat/>
    <w:rsid w:val="000B2944"/>
    <w:pPr>
      <w:spacing w:before="340" w:after="120" w:line="240" w:lineRule="auto"/>
    </w:pPr>
    <w:rPr>
      <w:rFonts w:ascii="Providence" w:hAnsi="Providence"/>
      <w:b/>
      <w:color w:val="003359"/>
      <w:sz w:val="32"/>
      <w:szCs w:val="32"/>
    </w:rPr>
  </w:style>
  <w:style w:type="paragraph" w:styleId="NoSpacing">
    <w:name w:val="No Spacing"/>
    <w:link w:val="NoSpacingChar"/>
    <w:uiPriority w:val="1"/>
    <w:qFormat/>
    <w:rsid w:val="000B2944"/>
    <w:pPr>
      <w:spacing w:before="120" w:after="120" w:line="240" w:lineRule="auto"/>
    </w:pPr>
    <w:rPr>
      <w:rFonts w:eastAsiaTheme="minorEastAsia"/>
      <w:b/>
      <w:color w:val="209F8E"/>
      <w:lang w:val="en-US" w:eastAsia="ja-JP"/>
    </w:rPr>
  </w:style>
  <w:style w:type="character" w:customStyle="1" w:styleId="NoSpacingChar">
    <w:name w:val="No Spacing Char"/>
    <w:basedOn w:val="DefaultParagraphFont"/>
    <w:link w:val="NoSpacing"/>
    <w:uiPriority w:val="1"/>
    <w:rsid w:val="000B2944"/>
    <w:rPr>
      <w:rFonts w:eastAsiaTheme="minorEastAsia"/>
      <w:b/>
      <w:color w:val="209F8E"/>
      <w:lang w:val="en-US" w:eastAsia="ja-JP"/>
    </w:rPr>
  </w:style>
  <w:style w:type="paragraph" w:customStyle="1" w:styleId="Bodycopybullet-romannumerals">
    <w:name w:val="Body copy bullet - roman numerals"/>
    <w:basedOn w:val="Normal"/>
    <w:rsid w:val="000B2944"/>
    <w:pPr>
      <w:numPr>
        <w:numId w:val="72"/>
      </w:numPr>
      <w:spacing w:after="60"/>
      <w:jc w:val="both"/>
    </w:pPr>
    <w:rPr>
      <w:rFonts w:ascii="HelveticaNeue-Light" w:eastAsia="Calibri" w:hAnsi="HelveticaNeue-Light" w:cs="Arial"/>
    </w:rPr>
  </w:style>
  <w:style w:type="paragraph" w:customStyle="1" w:styleId="Appendixheading">
    <w:name w:val="*Appendix heading"/>
    <w:basedOn w:val="Body"/>
    <w:qFormat/>
    <w:rsid w:val="000B2944"/>
    <w:pPr>
      <w:jc w:val="center"/>
    </w:pPr>
    <w:rPr>
      <w:rFonts w:ascii="Providence" w:hAnsi="Providence"/>
      <w:b/>
      <w:sz w:val="28"/>
      <w:szCs w:val="28"/>
    </w:rPr>
  </w:style>
  <w:style w:type="paragraph" w:customStyle="1" w:styleId="CoverTitle">
    <w:name w:val="Cover Title"/>
    <w:basedOn w:val="Normal"/>
    <w:qFormat/>
    <w:rsid w:val="000B2944"/>
    <w:pPr>
      <w:spacing w:after="0" w:line="780" w:lineRule="exact"/>
      <w:jc w:val="right"/>
    </w:pPr>
    <w:rPr>
      <w:rFonts w:ascii="Providence" w:eastAsia="Cambria" w:hAnsi="Providence" w:cs="Times New Roman"/>
      <w:color w:val="D95121"/>
      <w:sz w:val="72"/>
      <w:szCs w:val="52"/>
      <w:lang w:val="en-US"/>
    </w:rPr>
  </w:style>
  <w:style w:type="paragraph" w:customStyle="1" w:styleId="AppendixPSCoverdoctype">
    <w:name w:val="*Appendix PS Cover doc type"/>
    <w:basedOn w:val="CoverTitle"/>
    <w:qFormat/>
    <w:rsid w:val="000B2944"/>
    <w:rPr>
      <w:b/>
    </w:rPr>
  </w:style>
  <w:style w:type="paragraph" w:customStyle="1" w:styleId="AppendixPSHeading01">
    <w:name w:val="*Appendix PS Heading 01"/>
    <w:basedOn w:val="Body"/>
    <w:qFormat/>
    <w:rsid w:val="000B2944"/>
    <w:pPr>
      <w:numPr>
        <w:numId w:val="54"/>
      </w:numPr>
      <w:spacing w:before="340" w:line="240" w:lineRule="auto"/>
    </w:pPr>
    <w:rPr>
      <w:rFonts w:ascii="Providence" w:hAnsi="Providence"/>
      <w:b/>
      <w:color w:val="D95121"/>
      <w:sz w:val="32"/>
      <w:szCs w:val="32"/>
      <w:lang w:val="en-GB"/>
    </w:rPr>
  </w:style>
  <w:style w:type="paragraph" w:customStyle="1" w:styleId="AppendixPSHeading02">
    <w:name w:val="*Appendix PS Heading 02"/>
    <w:basedOn w:val="AppendixPSHeading01"/>
    <w:qFormat/>
    <w:rsid w:val="000B2944"/>
    <w:pPr>
      <w:numPr>
        <w:ilvl w:val="1"/>
      </w:numPr>
    </w:pPr>
    <w:rPr>
      <w:color w:val="auto"/>
    </w:rPr>
  </w:style>
  <w:style w:type="paragraph" w:customStyle="1" w:styleId="Bodybullet">
    <w:name w:val="*Body bullet"/>
    <w:basedOn w:val="Body"/>
    <w:qFormat/>
    <w:rsid w:val="000B2944"/>
    <w:pPr>
      <w:numPr>
        <w:numId w:val="55"/>
      </w:numPr>
    </w:pPr>
  </w:style>
  <w:style w:type="paragraph" w:customStyle="1" w:styleId="Bodybullet2">
    <w:name w:val="*Body bullet 2"/>
    <w:basedOn w:val="Body"/>
    <w:qFormat/>
    <w:rsid w:val="000B2944"/>
    <w:pPr>
      <w:numPr>
        <w:ilvl w:val="1"/>
        <w:numId w:val="55"/>
      </w:numPr>
    </w:pPr>
  </w:style>
  <w:style w:type="paragraph" w:customStyle="1" w:styleId="Bodybullet3">
    <w:name w:val="*Body bullet 3"/>
    <w:basedOn w:val="Body"/>
    <w:qFormat/>
    <w:rsid w:val="000B2944"/>
    <w:pPr>
      <w:numPr>
        <w:ilvl w:val="2"/>
        <w:numId w:val="55"/>
      </w:numPr>
    </w:pPr>
  </w:style>
  <w:style w:type="paragraph" w:customStyle="1" w:styleId="Bodybulletnumbered">
    <w:name w:val="*Body bullet numbered"/>
    <w:basedOn w:val="Body"/>
    <w:qFormat/>
    <w:rsid w:val="000B2944"/>
    <w:pPr>
      <w:numPr>
        <w:numId w:val="56"/>
      </w:numPr>
    </w:pPr>
  </w:style>
  <w:style w:type="paragraph" w:customStyle="1" w:styleId="Bodybulletromannumerals">
    <w:name w:val="*Body bullet roman numerals"/>
    <w:basedOn w:val="Body"/>
    <w:qFormat/>
    <w:rsid w:val="000B2944"/>
    <w:pPr>
      <w:numPr>
        <w:numId w:val="57"/>
      </w:numPr>
    </w:pPr>
  </w:style>
  <w:style w:type="paragraph" w:customStyle="1" w:styleId="Bodycaption">
    <w:name w:val="*Body caption"/>
    <w:basedOn w:val="Body"/>
    <w:qFormat/>
    <w:rsid w:val="000B2944"/>
    <w:pPr>
      <w:spacing w:after="0" w:line="240" w:lineRule="auto"/>
    </w:pPr>
    <w:rPr>
      <w:b/>
      <w:sz w:val="16"/>
      <w:szCs w:val="16"/>
    </w:rPr>
  </w:style>
  <w:style w:type="paragraph" w:customStyle="1" w:styleId="Bodydiagram">
    <w:name w:val="*Body diagram"/>
    <w:basedOn w:val="Body"/>
    <w:qFormat/>
    <w:rsid w:val="000B2944"/>
    <w:pPr>
      <w:spacing w:before="160" w:after="160" w:line="240" w:lineRule="auto"/>
    </w:pPr>
  </w:style>
  <w:style w:type="paragraph" w:customStyle="1" w:styleId="Bodyendmatter">
    <w:name w:val="*Body endmatter"/>
    <w:basedOn w:val="Body"/>
    <w:qFormat/>
    <w:rsid w:val="000B2944"/>
    <w:pPr>
      <w:spacing w:after="0" w:line="240" w:lineRule="auto"/>
    </w:pPr>
  </w:style>
  <w:style w:type="paragraph" w:customStyle="1" w:styleId="BodyFPASTableheading">
    <w:name w:val="*Body FPAS Table heading"/>
    <w:basedOn w:val="Body"/>
    <w:qFormat/>
    <w:rsid w:val="000B2944"/>
    <w:pPr>
      <w:spacing w:before="360"/>
    </w:pPr>
    <w:rPr>
      <w:b/>
    </w:rPr>
  </w:style>
  <w:style w:type="paragraph" w:customStyle="1" w:styleId="Bodyindent1-HeadingASclause">
    <w:name w:val="*Body indent 1 - Heading AS clause"/>
    <w:basedOn w:val="Bodyindent1"/>
    <w:qFormat/>
    <w:rsid w:val="000B2944"/>
    <w:pPr>
      <w:ind w:left="1440"/>
    </w:pPr>
    <w:rPr>
      <w:b/>
    </w:rPr>
  </w:style>
  <w:style w:type="paragraph" w:customStyle="1" w:styleId="Bodyindent1-HeadingASnumber">
    <w:name w:val="*Body indent 1 - Heading AS number"/>
    <w:basedOn w:val="Bodyindent1"/>
    <w:qFormat/>
    <w:rsid w:val="000B2944"/>
    <w:pPr>
      <w:ind w:left="1440"/>
    </w:pPr>
    <w:rPr>
      <w:b/>
      <w:color w:val="8A2B7E"/>
    </w:rPr>
  </w:style>
  <w:style w:type="paragraph" w:customStyle="1" w:styleId="Bodyindent1bulletcont2">
    <w:name w:val="*Body indent 1 bullet (cont) 2"/>
    <w:basedOn w:val="Bodyindent1"/>
    <w:qFormat/>
    <w:rsid w:val="000B2944"/>
    <w:pPr>
      <w:ind w:left="2520"/>
    </w:pPr>
  </w:style>
  <w:style w:type="paragraph" w:customStyle="1" w:styleId="Bodyindent1bulletcont2bulletromannumerals">
    <w:name w:val="*Body indent 1 bullet (cont) 2 bullet roman numerals"/>
    <w:basedOn w:val="Bodyindent1bulletcont2"/>
    <w:qFormat/>
    <w:rsid w:val="000B2944"/>
    <w:pPr>
      <w:numPr>
        <w:numId w:val="58"/>
      </w:numPr>
    </w:pPr>
  </w:style>
  <w:style w:type="paragraph" w:customStyle="1" w:styleId="Bodyindent1bulletcontbulletabc">
    <w:name w:val="*Body indent 1 bullet (cont) bullet abc"/>
    <w:basedOn w:val="Bodyindent1bulletcont"/>
    <w:qFormat/>
    <w:rsid w:val="000B2944"/>
    <w:pPr>
      <w:numPr>
        <w:numId w:val="59"/>
      </w:numPr>
    </w:pPr>
    <w:rPr>
      <w:i/>
    </w:rPr>
  </w:style>
  <w:style w:type="paragraph" w:customStyle="1" w:styleId="Bodyindent1bulletromannumerals">
    <w:name w:val="*Body indent 1 bullet roman numerals"/>
    <w:basedOn w:val="Bodyindent1"/>
    <w:qFormat/>
    <w:rsid w:val="000B2944"/>
    <w:pPr>
      <w:numPr>
        <w:numId w:val="60"/>
      </w:numPr>
    </w:pPr>
  </w:style>
  <w:style w:type="paragraph" w:customStyle="1" w:styleId="Bodyindent1bullettick">
    <w:name w:val="*Body indent 1 bullet tick"/>
    <w:basedOn w:val="Bodyindent1"/>
    <w:qFormat/>
    <w:rsid w:val="000B2944"/>
    <w:pPr>
      <w:numPr>
        <w:numId w:val="61"/>
      </w:numPr>
    </w:pPr>
  </w:style>
  <w:style w:type="paragraph" w:customStyle="1" w:styleId="Bodyindent1disclaimer">
    <w:name w:val="*Body indent 1 disclaimer"/>
    <w:basedOn w:val="Bodyindent1"/>
    <w:qFormat/>
    <w:rsid w:val="000B2944"/>
    <w:rPr>
      <w:sz w:val="20"/>
    </w:rPr>
  </w:style>
  <w:style w:type="paragraph" w:customStyle="1" w:styleId="Bodyindent1quote">
    <w:name w:val="*Body indent 1 quote"/>
    <w:basedOn w:val="Bodyindent1"/>
    <w:qFormat/>
    <w:rsid w:val="000B2944"/>
    <w:pPr>
      <w:ind w:left="1440"/>
    </w:pPr>
    <w:rPr>
      <w:i/>
    </w:rPr>
  </w:style>
  <w:style w:type="paragraph" w:customStyle="1" w:styleId="Bodyindent2">
    <w:name w:val="*Body indent 2"/>
    <w:basedOn w:val="Body"/>
    <w:qFormat/>
    <w:rsid w:val="000B2944"/>
    <w:pPr>
      <w:ind w:left="2155"/>
    </w:pPr>
  </w:style>
  <w:style w:type="paragraph" w:customStyle="1" w:styleId="Bodyindent2bullet">
    <w:name w:val="*Body indent 2 bullet"/>
    <w:basedOn w:val="Bodyindent2"/>
    <w:qFormat/>
    <w:rsid w:val="000B2944"/>
    <w:pPr>
      <w:numPr>
        <w:numId w:val="62"/>
      </w:numPr>
    </w:pPr>
  </w:style>
  <w:style w:type="paragraph" w:customStyle="1" w:styleId="Bodyindent2bullet2">
    <w:name w:val="*Body indent 2 bullet 2"/>
    <w:basedOn w:val="Bodyindent2"/>
    <w:qFormat/>
    <w:rsid w:val="000B2944"/>
    <w:pPr>
      <w:numPr>
        <w:ilvl w:val="1"/>
        <w:numId w:val="62"/>
      </w:numPr>
    </w:pPr>
  </w:style>
  <w:style w:type="paragraph" w:customStyle="1" w:styleId="Bodyindent2bullet3">
    <w:name w:val="*Body indent 2 bullet 3"/>
    <w:basedOn w:val="Bodyindent2"/>
    <w:qFormat/>
    <w:rsid w:val="000B2944"/>
    <w:pPr>
      <w:numPr>
        <w:ilvl w:val="2"/>
        <w:numId w:val="62"/>
      </w:numPr>
    </w:pPr>
  </w:style>
  <w:style w:type="paragraph" w:customStyle="1" w:styleId="Bodyindent2bulletabc">
    <w:name w:val="*Body indent 2 bullet abc"/>
    <w:basedOn w:val="Bodyindent2"/>
    <w:qFormat/>
    <w:rsid w:val="000B2944"/>
    <w:pPr>
      <w:numPr>
        <w:numId w:val="63"/>
      </w:numPr>
    </w:pPr>
  </w:style>
  <w:style w:type="paragraph" w:customStyle="1" w:styleId="Bodyindent2bulletnumbered">
    <w:name w:val="*Body indent 2 bullet numbered"/>
    <w:basedOn w:val="Bodyindent2"/>
    <w:qFormat/>
    <w:rsid w:val="000B2944"/>
    <w:pPr>
      <w:numPr>
        <w:numId w:val="64"/>
      </w:numPr>
    </w:pPr>
  </w:style>
  <w:style w:type="paragraph" w:customStyle="1" w:styleId="Bodyindent2bulletromannumerals">
    <w:name w:val="*Body indent 2 bullet roman numerals"/>
    <w:basedOn w:val="Bodyindent2"/>
    <w:qFormat/>
    <w:rsid w:val="000B2944"/>
    <w:pPr>
      <w:numPr>
        <w:numId w:val="65"/>
      </w:numPr>
    </w:pPr>
  </w:style>
  <w:style w:type="paragraph" w:customStyle="1" w:styleId="Bodyindent2caption">
    <w:name w:val="*Body indent 2 caption"/>
    <w:basedOn w:val="Bodyindent2"/>
    <w:qFormat/>
    <w:rsid w:val="000B2944"/>
    <w:pPr>
      <w:spacing w:after="0" w:line="240" w:lineRule="auto"/>
    </w:pPr>
    <w:rPr>
      <w:b/>
      <w:sz w:val="16"/>
      <w:szCs w:val="16"/>
    </w:rPr>
  </w:style>
  <w:style w:type="paragraph" w:customStyle="1" w:styleId="Bodyindent2diagram">
    <w:name w:val="*Body indent 2 diagram"/>
    <w:basedOn w:val="Bodyindent2"/>
    <w:qFormat/>
    <w:rsid w:val="000B2944"/>
    <w:pPr>
      <w:spacing w:before="160" w:after="160" w:line="240" w:lineRule="auto"/>
    </w:pPr>
  </w:style>
  <w:style w:type="paragraph" w:customStyle="1" w:styleId="Bodyindent2quote">
    <w:name w:val="*Body indent 2 quote"/>
    <w:basedOn w:val="Bodyindent2"/>
    <w:qFormat/>
    <w:rsid w:val="000B2944"/>
    <w:pPr>
      <w:ind w:left="2880"/>
    </w:pPr>
    <w:rPr>
      <w:i/>
    </w:rPr>
  </w:style>
  <w:style w:type="paragraph" w:customStyle="1" w:styleId="Bodyindent2Tableheading">
    <w:name w:val="*Body indent 2 Table heading"/>
    <w:basedOn w:val="Bodyindent2"/>
    <w:qFormat/>
    <w:rsid w:val="000B2944"/>
    <w:pPr>
      <w:jc w:val="center"/>
    </w:pPr>
    <w:rPr>
      <w:b/>
      <w:i/>
    </w:rPr>
  </w:style>
  <w:style w:type="paragraph" w:customStyle="1" w:styleId="Bodyindent3">
    <w:name w:val="*Body indent 3"/>
    <w:basedOn w:val="Body"/>
    <w:qFormat/>
    <w:rsid w:val="000B2944"/>
    <w:pPr>
      <w:ind w:left="3402"/>
    </w:pPr>
  </w:style>
  <w:style w:type="paragraph" w:customStyle="1" w:styleId="Bodyindent3bullet">
    <w:name w:val="*Body indent 3 bullet"/>
    <w:basedOn w:val="Bodyindent3"/>
    <w:qFormat/>
    <w:rsid w:val="000B2944"/>
    <w:pPr>
      <w:numPr>
        <w:numId w:val="66"/>
      </w:numPr>
    </w:pPr>
  </w:style>
  <w:style w:type="paragraph" w:customStyle="1" w:styleId="Bodyindent3bullet2">
    <w:name w:val="*Body indent 3 bullet 2"/>
    <w:basedOn w:val="Bodyindent3"/>
    <w:qFormat/>
    <w:rsid w:val="000B2944"/>
    <w:pPr>
      <w:numPr>
        <w:ilvl w:val="1"/>
        <w:numId w:val="66"/>
      </w:numPr>
    </w:pPr>
  </w:style>
  <w:style w:type="paragraph" w:customStyle="1" w:styleId="Bodyindent3bullet3">
    <w:name w:val="*Body indent 3 bullet 3"/>
    <w:basedOn w:val="Bodyindent3"/>
    <w:qFormat/>
    <w:rsid w:val="000B2944"/>
    <w:pPr>
      <w:numPr>
        <w:ilvl w:val="2"/>
        <w:numId w:val="66"/>
      </w:numPr>
    </w:pPr>
  </w:style>
  <w:style w:type="paragraph" w:customStyle="1" w:styleId="Bodyindent3bulletabc">
    <w:name w:val="*Body indent 3 bullet abc"/>
    <w:basedOn w:val="Bodyindent3"/>
    <w:qFormat/>
    <w:rsid w:val="000B2944"/>
    <w:pPr>
      <w:numPr>
        <w:numId w:val="67"/>
      </w:numPr>
    </w:pPr>
  </w:style>
  <w:style w:type="paragraph" w:customStyle="1" w:styleId="Bodyindent3bulletnumbered">
    <w:name w:val="*Body indent 3 bullet numbered"/>
    <w:basedOn w:val="Bodyindent3"/>
    <w:qFormat/>
    <w:rsid w:val="000B2944"/>
    <w:pPr>
      <w:numPr>
        <w:numId w:val="68"/>
      </w:numPr>
    </w:pPr>
  </w:style>
  <w:style w:type="paragraph" w:customStyle="1" w:styleId="Bodyindent3bulletromannumerals">
    <w:name w:val="*Body indent 3 bullet roman numerals"/>
    <w:basedOn w:val="Bodyindent3"/>
    <w:qFormat/>
    <w:rsid w:val="000B2944"/>
    <w:pPr>
      <w:numPr>
        <w:numId w:val="69"/>
      </w:numPr>
    </w:pPr>
  </w:style>
  <w:style w:type="paragraph" w:customStyle="1" w:styleId="Bodyindent3caption">
    <w:name w:val="*Body indent 3 caption"/>
    <w:basedOn w:val="Bodyindent3"/>
    <w:qFormat/>
    <w:rsid w:val="000B2944"/>
    <w:pPr>
      <w:spacing w:after="0" w:line="240" w:lineRule="auto"/>
    </w:pPr>
    <w:rPr>
      <w:b/>
      <w:sz w:val="16"/>
      <w:szCs w:val="16"/>
    </w:rPr>
  </w:style>
  <w:style w:type="paragraph" w:customStyle="1" w:styleId="Bodyindent3diagram">
    <w:name w:val="*Body indent 3 diagram"/>
    <w:basedOn w:val="Bodyindent3"/>
    <w:qFormat/>
    <w:rsid w:val="000B2944"/>
    <w:pPr>
      <w:spacing w:before="160" w:after="160" w:line="240" w:lineRule="auto"/>
    </w:pPr>
  </w:style>
  <w:style w:type="paragraph" w:customStyle="1" w:styleId="Breakssmall">
    <w:name w:val="*Breaks (small)"/>
    <w:basedOn w:val="Breaks"/>
    <w:qFormat/>
    <w:rsid w:val="000B2944"/>
    <w:rPr>
      <w:sz w:val="12"/>
      <w:szCs w:val="12"/>
    </w:rPr>
  </w:style>
  <w:style w:type="paragraph" w:customStyle="1" w:styleId="Coverdocapproved">
    <w:name w:val="*Cover doc approved"/>
    <w:basedOn w:val="Normal"/>
    <w:qFormat/>
    <w:rsid w:val="000B2944"/>
    <w:pPr>
      <w:spacing w:after="0" w:line="240" w:lineRule="auto"/>
      <w:jc w:val="right"/>
    </w:pPr>
    <w:rPr>
      <w:rFonts w:ascii="HelveticaNeue-Light" w:hAnsi="HelveticaNeue-Light"/>
      <w:color w:val="626464"/>
      <w:sz w:val="18"/>
      <w:szCs w:val="18"/>
    </w:rPr>
  </w:style>
  <w:style w:type="paragraph" w:customStyle="1" w:styleId="Coverdocinitials">
    <w:name w:val="*Cover doc initials"/>
    <w:basedOn w:val="Normal"/>
    <w:qFormat/>
    <w:rsid w:val="000B2944"/>
    <w:pPr>
      <w:spacing w:after="0" w:line="192" w:lineRule="auto"/>
      <w:jc w:val="center"/>
    </w:pPr>
    <w:rPr>
      <w:rFonts w:ascii="HelveticaNeue-Light" w:hAnsi="HelveticaNeue-Light"/>
      <w:b/>
      <w:color w:val="626464"/>
      <w:sz w:val="48"/>
      <w:szCs w:val="48"/>
    </w:rPr>
  </w:style>
  <w:style w:type="paragraph" w:customStyle="1" w:styleId="Coverdocnumber">
    <w:name w:val="*Cover doc number"/>
    <w:basedOn w:val="Normal"/>
    <w:qFormat/>
    <w:rsid w:val="000B2944"/>
    <w:pPr>
      <w:spacing w:after="0" w:line="192" w:lineRule="auto"/>
      <w:jc w:val="center"/>
    </w:pPr>
    <w:rPr>
      <w:rFonts w:ascii="HelveticaNeue-Light" w:hAnsi="HelveticaNeue-Light"/>
      <w:color w:val="626464"/>
      <w:sz w:val="56"/>
      <w:szCs w:val="56"/>
    </w:rPr>
  </w:style>
  <w:style w:type="paragraph" w:customStyle="1" w:styleId="Coverdoctitle">
    <w:name w:val="*Cover doc title"/>
    <w:basedOn w:val="Normal"/>
    <w:qFormat/>
    <w:rsid w:val="000B2944"/>
    <w:pPr>
      <w:spacing w:after="0" w:line="240" w:lineRule="auto"/>
      <w:jc w:val="both"/>
    </w:pPr>
    <w:rPr>
      <w:rFonts w:ascii="HelveticaNeue-Light" w:hAnsi="HelveticaNeue-Light"/>
      <w:b/>
      <w:color w:val="626464"/>
      <w:sz w:val="32"/>
      <w:szCs w:val="32"/>
    </w:rPr>
  </w:style>
  <w:style w:type="paragraph" w:customStyle="1" w:styleId="Coverdocversion">
    <w:name w:val="*Cover doc version"/>
    <w:basedOn w:val="Normal"/>
    <w:qFormat/>
    <w:rsid w:val="000B2944"/>
    <w:pPr>
      <w:spacing w:after="0" w:line="240" w:lineRule="auto"/>
      <w:jc w:val="right"/>
    </w:pPr>
    <w:rPr>
      <w:rFonts w:ascii="HelveticaNeue-Light" w:hAnsi="HelveticaNeue-Light"/>
      <w:color w:val="626464"/>
      <w:sz w:val="24"/>
    </w:rPr>
  </w:style>
  <w:style w:type="paragraph" w:customStyle="1" w:styleId="Footerdocinitials">
    <w:name w:val="*Footer doc initials"/>
    <w:qFormat/>
    <w:rsid w:val="000B2944"/>
    <w:pPr>
      <w:spacing w:after="0" w:line="192" w:lineRule="auto"/>
      <w:jc w:val="center"/>
    </w:pPr>
    <w:rPr>
      <w:rFonts w:ascii="HelveticaNeue-Light" w:hAnsi="HelveticaNeue-Light"/>
      <w:b/>
      <w:color w:val="FFFFFF"/>
      <w:sz w:val="20"/>
      <w:szCs w:val="20"/>
    </w:rPr>
  </w:style>
  <w:style w:type="paragraph" w:customStyle="1" w:styleId="Footerdocnumber">
    <w:name w:val="*Footer doc number"/>
    <w:qFormat/>
    <w:rsid w:val="000B2944"/>
    <w:pPr>
      <w:spacing w:after="0" w:line="192" w:lineRule="auto"/>
      <w:jc w:val="center"/>
    </w:pPr>
    <w:rPr>
      <w:rFonts w:ascii="HelveticaNeue-Light" w:hAnsi="HelveticaNeue-Light"/>
      <w:color w:val="FFFFFF"/>
      <w:sz w:val="24"/>
      <w:szCs w:val="24"/>
    </w:rPr>
  </w:style>
  <w:style w:type="paragraph" w:customStyle="1" w:styleId="Footerdoctitle">
    <w:name w:val="*Footer doc title"/>
    <w:basedOn w:val="Normal"/>
    <w:qFormat/>
    <w:rsid w:val="000B2944"/>
    <w:pPr>
      <w:spacing w:after="0"/>
      <w:jc w:val="both"/>
    </w:pPr>
    <w:rPr>
      <w:rFonts w:ascii="Providence" w:hAnsi="Providence"/>
      <w:color w:val="FFFFFF"/>
      <w:sz w:val="20"/>
      <w:szCs w:val="18"/>
    </w:rPr>
  </w:style>
  <w:style w:type="paragraph" w:customStyle="1" w:styleId="Footerdoctype">
    <w:name w:val="*Footer doc type"/>
    <w:basedOn w:val="Normal"/>
    <w:qFormat/>
    <w:rsid w:val="000B2944"/>
    <w:pPr>
      <w:spacing w:after="0" w:line="240" w:lineRule="auto"/>
    </w:pPr>
    <w:rPr>
      <w:rFonts w:ascii="Providence" w:hAnsi="Providence"/>
      <w:color w:val="FFFFFF"/>
      <w:sz w:val="24"/>
      <w:szCs w:val="24"/>
    </w:rPr>
  </w:style>
  <w:style w:type="paragraph" w:customStyle="1" w:styleId="Footerversionandpagenumber">
    <w:name w:val="*Footer version and page number"/>
    <w:basedOn w:val="Normal"/>
    <w:qFormat/>
    <w:rsid w:val="000B2944"/>
    <w:pPr>
      <w:spacing w:after="0" w:line="240" w:lineRule="auto"/>
    </w:pPr>
    <w:rPr>
      <w:rFonts w:ascii="Providence" w:hAnsi="Providence"/>
      <w:color w:val="FFFFFF"/>
      <w:sz w:val="16"/>
      <w:szCs w:val="16"/>
    </w:rPr>
  </w:style>
  <w:style w:type="paragraph" w:customStyle="1" w:styleId="Formtext">
    <w:name w:val="*Form text"/>
    <w:basedOn w:val="Body"/>
    <w:qFormat/>
    <w:rsid w:val="000B2944"/>
    <w:rPr>
      <w:rFonts w:ascii="Arial" w:hAnsi="Arial" w:cs="Arial"/>
      <w:sz w:val="24"/>
      <w:szCs w:val="24"/>
    </w:rPr>
  </w:style>
  <w:style w:type="paragraph" w:customStyle="1" w:styleId="Formcheckbox">
    <w:name w:val="*Form checkbox"/>
    <w:basedOn w:val="Formtext"/>
    <w:qFormat/>
    <w:rsid w:val="000B2944"/>
    <w:pPr>
      <w:spacing w:after="0" w:line="240" w:lineRule="auto"/>
    </w:pPr>
    <w:rPr>
      <w:sz w:val="22"/>
    </w:rPr>
  </w:style>
  <w:style w:type="paragraph" w:customStyle="1" w:styleId="Formheading">
    <w:name w:val="*Form heading"/>
    <w:basedOn w:val="Formtext"/>
    <w:qFormat/>
    <w:rsid w:val="000B2944"/>
    <w:pPr>
      <w:pBdr>
        <w:top w:val="single" w:sz="4" w:space="1" w:color="auto"/>
        <w:left w:val="single" w:sz="4" w:space="4" w:color="auto"/>
        <w:bottom w:val="single" w:sz="4" w:space="1" w:color="auto"/>
        <w:right w:val="single" w:sz="4" w:space="4" w:color="auto"/>
      </w:pBdr>
      <w:spacing w:before="60" w:after="60"/>
    </w:pPr>
    <w:rPr>
      <w:b/>
    </w:rPr>
  </w:style>
  <w:style w:type="paragraph" w:customStyle="1" w:styleId="Formprelims">
    <w:name w:val="*Form prelims"/>
    <w:basedOn w:val="Formtext"/>
    <w:qFormat/>
    <w:rsid w:val="000B2944"/>
    <w:pPr>
      <w:spacing w:before="120"/>
    </w:pPr>
    <w:rPr>
      <w:b/>
    </w:rPr>
  </w:style>
  <w:style w:type="paragraph" w:customStyle="1" w:styleId="Formproposaltitle">
    <w:name w:val="*Form proposal title"/>
    <w:basedOn w:val="Formtext"/>
    <w:qFormat/>
    <w:rsid w:val="000B2944"/>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after="60"/>
    </w:pPr>
    <w:rPr>
      <w:b/>
      <w:caps/>
    </w:rPr>
  </w:style>
  <w:style w:type="paragraph" w:customStyle="1" w:styleId="Formquestions">
    <w:name w:val="*Form questions"/>
    <w:basedOn w:val="Formtext"/>
    <w:qFormat/>
    <w:rsid w:val="000B2944"/>
    <w:pPr>
      <w:shd w:val="clear" w:color="auto" w:fill="D9D9D9" w:themeFill="background1" w:themeFillShade="D9"/>
      <w:spacing w:before="120"/>
    </w:pPr>
  </w:style>
  <w:style w:type="paragraph" w:customStyle="1" w:styleId="Formsignaturedateheading">
    <w:name w:val="*Form signature date heading"/>
    <w:basedOn w:val="Formtext"/>
    <w:qFormat/>
    <w:rsid w:val="000B2944"/>
    <w:pPr>
      <w:spacing w:before="60"/>
    </w:pPr>
    <w:rPr>
      <w:b/>
    </w:rPr>
  </w:style>
  <w:style w:type="paragraph" w:customStyle="1" w:styleId="Formspace">
    <w:name w:val="*Form space"/>
    <w:basedOn w:val="Formtext"/>
    <w:qFormat/>
    <w:rsid w:val="000B2944"/>
    <w:pPr>
      <w:spacing w:after="0" w:line="240" w:lineRule="auto"/>
    </w:pPr>
    <w:rPr>
      <w:sz w:val="12"/>
      <w:szCs w:val="12"/>
    </w:rPr>
  </w:style>
  <w:style w:type="paragraph" w:customStyle="1" w:styleId="Formtableheading">
    <w:name w:val="*Form table heading"/>
    <w:basedOn w:val="Formtext"/>
    <w:qFormat/>
    <w:rsid w:val="000B2944"/>
    <w:pPr>
      <w:spacing w:before="120"/>
    </w:pPr>
    <w:rPr>
      <w:b/>
      <w:sz w:val="20"/>
    </w:rPr>
  </w:style>
  <w:style w:type="paragraph" w:customStyle="1" w:styleId="Formtabletext">
    <w:name w:val="*Form table text"/>
    <w:basedOn w:val="Formtext"/>
    <w:qFormat/>
    <w:rsid w:val="000B2944"/>
    <w:pPr>
      <w:spacing w:before="40" w:after="40"/>
    </w:pPr>
    <w:rPr>
      <w:sz w:val="20"/>
    </w:rPr>
  </w:style>
  <w:style w:type="paragraph" w:customStyle="1" w:styleId="Formtextbullet">
    <w:name w:val="*Form text bullet"/>
    <w:basedOn w:val="Formtext"/>
    <w:qFormat/>
    <w:rsid w:val="000B2944"/>
    <w:pPr>
      <w:numPr>
        <w:numId w:val="70"/>
      </w:numPr>
    </w:pPr>
  </w:style>
  <w:style w:type="paragraph" w:customStyle="1" w:styleId="Formtextbulletnumbered">
    <w:name w:val="*Form text bullet numbered"/>
    <w:basedOn w:val="Formtext"/>
    <w:qFormat/>
    <w:rsid w:val="000B2944"/>
    <w:pPr>
      <w:numPr>
        <w:numId w:val="71"/>
      </w:numPr>
    </w:pPr>
  </w:style>
  <w:style w:type="paragraph" w:customStyle="1" w:styleId="Formtitle">
    <w:name w:val="*Form title"/>
    <w:basedOn w:val="Formtext"/>
    <w:qFormat/>
    <w:rsid w:val="000B2944"/>
    <w:pPr>
      <w:spacing w:after="0"/>
    </w:pPr>
    <w:rPr>
      <w:b/>
      <w:sz w:val="32"/>
      <w:szCs w:val="32"/>
    </w:rPr>
  </w:style>
  <w:style w:type="paragraph" w:customStyle="1" w:styleId="Formvoteheading">
    <w:name w:val="*Form vote heading"/>
    <w:basedOn w:val="Formtext"/>
    <w:qFormat/>
    <w:rsid w:val="000B2944"/>
    <w:pPr>
      <w:spacing w:before="60" w:after="0"/>
    </w:pPr>
    <w:rPr>
      <w:b/>
    </w:rPr>
  </w:style>
  <w:style w:type="paragraph" w:customStyle="1" w:styleId="Formvotenote">
    <w:name w:val="*Form vote note"/>
    <w:basedOn w:val="Formtext"/>
    <w:qFormat/>
    <w:rsid w:val="000B2944"/>
    <w:pPr>
      <w:spacing w:before="60" w:after="60"/>
    </w:pPr>
    <w:rPr>
      <w:sz w:val="18"/>
    </w:rPr>
  </w:style>
  <w:style w:type="paragraph" w:customStyle="1" w:styleId="Formvotetext">
    <w:name w:val="*Form vote text"/>
    <w:basedOn w:val="Formtext"/>
    <w:qFormat/>
    <w:rsid w:val="000B2944"/>
    <w:pPr>
      <w:spacing w:after="0"/>
    </w:pPr>
    <w:rPr>
      <w:sz w:val="20"/>
    </w:rPr>
  </w:style>
  <w:style w:type="paragraph" w:customStyle="1" w:styleId="Headerdoctitle">
    <w:name w:val="*Header doc title"/>
    <w:qFormat/>
    <w:rsid w:val="000B2944"/>
    <w:pPr>
      <w:spacing w:after="120" w:line="380" w:lineRule="exact"/>
    </w:pPr>
    <w:rPr>
      <w:rFonts w:ascii="Providence" w:hAnsi="Providence"/>
      <w:b/>
      <w:noProof/>
      <w:color w:val="003359"/>
      <w:sz w:val="32"/>
      <w:szCs w:val="32"/>
      <w:lang w:eastAsia="en-AU"/>
    </w:rPr>
  </w:style>
  <w:style w:type="paragraph" w:customStyle="1" w:styleId="HeaderFPAAvision">
    <w:name w:val="*Header FPAA vision"/>
    <w:basedOn w:val="Header"/>
    <w:qFormat/>
    <w:rsid w:val="000B2944"/>
    <w:pPr>
      <w:spacing w:line="276" w:lineRule="auto"/>
    </w:pPr>
    <w:rPr>
      <w:rFonts w:ascii="HelveticaNeue-Light" w:hAnsi="HelveticaNeue-Light"/>
      <w:i/>
    </w:rPr>
  </w:style>
  <w:style w:type="paragraph" w:customStyle="1" w:styleId="Headerspace">
    <w:name w:val="*Header space"/>
    <w:basedOn w:val="Header"/>
    <w:qFormat/>
    <w:rsid w:val="000B2944"/>
    <w:pPr>
      <w:contextualSpacing/>
    </w:pPr>
    <w:rPr>
      <w:rFonts w:ascii="HelveticaNeue-Light" w:hAnsi="HelveticaNeue-Light"/>
    </w:rPr>
  </w:style>
  <w:style w:type="paragraph" w:customStyle="1" w:styleId="Listingtext">
    <w:name w:val="*Listing text"/>
    <w:basedOn w:val="Body"/>
    <w:qFormat/>
    <w:rsid w:val="000B2944"/>
    <w:pPr>
      <w:spacing w:before="120"/>
    </w:pPr>
  </w:style>
  <w:style w:type="paragraph" w:customStyle="1" w:styleId="Listingcaption">
    <w:name w:val="*Listing caption"/>
    <w:basedOn w:val="Listingtext"/>
    <w:qFormat/>
    <w:rsid w:val="000B2944"/>
    <w:pPr>
      <w:spacing w:before="0" w:after="0" w:line="240" w:lineRule="auto"/>
    </w:pPr>
    <w:rPr>
      <w:b/>
      <w:sz w:val="16"/>
      <w:szCs w:val="16"/>
    </w:rPr>
  </w:style>
  <w:style w:type="paragraph" w:customStyle="1" w:styleId="Listingcolumnheader">
    <w:name w:val="*Listing column header"/>
    <w:basedOn w:val="Listingtext"/>
    <w:qFormat/>
    <w:rsid w:val="000B2944"/>
    <w:rPr>
      <w:b/>
    </w:rPr>
  </w:style>
  <w:style w:type="paragraph" w:customStyle="1" w:styleId="Listingdiagram">
    <w:name w:val="*Listing diagram"/>
    <w:basedOn w:val="Listingtext"/>
    <w:qFormat/>
    <w:rsid w:val="000B2944"/>
    <w:pPr>
      <w:spacing w:before="160" w:after="160" w:line="240" w:lineRule="auto"/>
    </w:pPr>
  </w:style>
  <w:style w:type="paragraph" w:customStyle="1" w:styleId="Listingheading1">
    <w:name w:val="*Listing heading 1"/>
    <w:basedOn w:val="Listingtext"/>
    <w:qFormat/>
    <w:rsid w:val="000B2944"/>
    <w:pPr>
      <w:spacing w:before="240"/>
      <w:jc w:val="center"/>
    </w:pPr>
    <w:rPr>
      <w:b/>
      <w:color w:val="8A2B7E"/>
      <w:sz w:val="56"/>
      <w:szCs w:val="56"/>
    </w:rPr>
  </w:style>
  <w:style w:type="paragraph" w:customStyle="1" w:styleId="Listingheading2">
    <w:name w:val="*Listing heading 2"/>
    <w:basedOn w:val="Listingtext"/>
    <w:qFormat/>
    <w:rsid w:val="000B2944"/>
    <w:pPr>
      <w:spacing w:before="240"/>
      <w:jc w:val="center"/>
    </w:pPr>
    <w:rPr>
      <w:b/>
      <w:color w:val="0000FF"/>
      <w:sz w:val="40"/>
      <w:szCs w:val="40"/>
    </w:rPr>
  </w:style>
  <w:style w:type="paragraph" w:customStyle="1" w:styleId="Noteheader">
    <w:name w:val="*Note header"/>
    <w:basedOn w:val="Body"/>
    <w:qFormat/>
    <w:rsid w:val="000B2944"/>
    <w:pPr>
      <w:spacing w:before="120"/>
    </w:pPr>
    <w:rPr>
      <w:b/>
      <w:sz w:val="20"/>
      <w:u w:val="single"/>
    </w:rPr>
  </w:style>
  <w:style w:type="paragraph" w:customStyle="1" w:styleId="Notetext">
    <w:name w:val="*Note text"/>
    <w:basedOn w:val="Body"/>
    <w:qFormat/>
    <w:rsid w:val="000B2944"/>
    <w:rPr>
      <w:sz w:val="20"/>
    </w:rPr>
  </w:style>
  <w:style w:type="paragraph" w:customStyle="1" w:styleId="Tabletext">
    <w:name w:val="*Table text"/>
    <w:basedOn w:val="Body"/>
    <w:qFormat/>
    <w:rsid w:val="000B2944"/>
    <w:pPr>
      <w:spacing w:before="60" w:line="240" w:lineRule="auto"/>
    </w:pPr>
    <w:rPr>
      <w:sz w:val="18"/>
    </w:rPr>
  </w:style>
  <w:style w:type="paragraph" w:customStyle="1" w:styleId="Tablecolumnheader">
    <w:name w:val="*Table column header"/>
    <w:basedOn w:val="Tabletext"/>
    <w:qFormat/>
    <w:rsid w:val="000B2944"/>
    <w:pPr>
      <w:spacing w:before="120" w:after="60"/>
    </w:pPr>
    <w:rPr>
      <w:b/>
    </w:rPr>
  </w:style>
  <w:style w:type="paragraph" w:customStyle="1" w:styleId="Tablerowheader">
    <w:name w:val="*Table row header"/>
    <w:basedOn w:val="Tabletext"/>
    <w:qFormat/>
    <w:rsid w:val="000B2944"/>
    <w:rPr>
      <w:b/>
    </w:rPr>
  </w:style>
  <w:style w:type="paragraph" w:customStyle="1" w:styleId="Tabletextnote">
    <w:name w:val="*Table text note"/>
    <w:basedOn w:val="Tabletext"/>
    <w:qFormat/>
    <w:rsid w:val="000B2944"/>
    <w:rPr>
      <w:sz w:val="16"/>
      <w:szCs w:val="16"/>
    </w:rPr>
  </w:style>
  <w:style w:type="paragraph" w:customStyle="1" w:styleId="Textboxheading">
    <w:name w:val="*Text box heading"/>
    <w:basedOn w:val="Body"/>
    <w:qFormat/>
    <w:rsid w:val="000B2944"/>
    <w:pPr>
      <w:spacing w:before="120"/>
    </w:pPr>
    <w:rPr>
      <w:rFonts w:ascii="Providence" w:hAnsi="Providence"/>
      <w:b/>
      <w:sz w:val="28"/>
      <w:szCs w:val="28"/>
    </w:rPr>
  </w:style>
  <w:style w:type="paragraph" w:customStyle="1" w:styleId="BodyCopy">
    <w:name w:val="Body Copy"/>
    <w:basedOn w:val="Normal"/>
    <w:link w:val="BodyCopyChar1"/>
    <w:qFormat/>
    <w:rsid w:val="000B2944"/>
    <w:pPr>
      <w:spacing w:after="120"/>
      <w:ind w:left="720"/>
      <w:jc w:val="both"/>
    </w:pPr>
    <w:rPr>
      <w:rFonts w:ascii="HelveticaNeue-Light" w:eastAsia="Calibri" w:hAnsi="HelveticaNeue-Light" w:cs="Arial"/>
    </w:rPr>
  </w:style>
  <w:style w:type="character" w:customStyle="1" w:styleId="BodyCopyChar1">
    <w:name w:val="Body Copy Char1"/>
    <w:link w:val="BodyCopy"/>
    <w:rsid w:val="000B2944"/>
    <w:rPr>
      <w:rFonts w:ascii="HelveticaNeue-Light" w:eastAsia="Calibri" w:hAnsi="HelveticaNeue-Light" w:cs="Arial"/>
    </w:rPr>
  </w:style>
  <w:style w:type="paragraph" w:customStyle="1" w:styleId="BodyCopybulletnumbered">
    <w:name w:val="Body Copy bullet numbered"/>
    <w:basedOn w:val="Normal"/>
    <w:rsid w:val="000B2944"/>
    <w:pPr>
      <w:numPr>
        <w:numId w:val="73"/>
      </w:numPr>
      <w:spacing w:after="120" w:line="240" w:lineRule="auto"/>
      <w:jc w:val="both"/>
    </w:pPr>
    <w:rPr>
      <w:rFonts w:ascii="HelveticaNeue-Light" w:eastAsia="Calibri" w:hAnsi="HelveticaNeue-Light" w:cs="Arial"/>
    </w:rPr>
  </w:style>
  <w:style w:type="paragraph" w:customStyle="1" w:styleId="BodyCopybulletedabc">
    <w:name w:val="Body Copy bulleted abc"/>
    <w:basedOn w:val="BodyCopy"/>
    <w:rsid w:val="000B2944"/>
    <w:pPr>
      <w:numPr>
        <w:numId w:val="74"/>
      </w:numPr>
      <w:tabs>
        <w:tab w:val="num" w:pos="360"/>
      </w:tabs>
      <w:spacing w:after="60"/>
      <w:ind w:left="720"/>
    </w:pPr>
  </w:style>
  <w:style w:type="paragraph" w:customStyle="1" w:styleId="BodyCopyindented1">
    <w:name w:val="Body Copy indented 1"/>
    <w:basedOn w:val="Normal"/>
    <w:rsid w:val="000B2944"/>
    <w:pPr>
      <w:spacing w:after="120"/>
      <w:ind w:left="1440"/>
      <w:jc w:val="both"/>
    </w:pPr>
    <w:rPr>
      <w:rFonts w:ascii="HelveticaNeue-Light" w:eastAsia="Calibri" w:hAnsi="HelveticaNeue-Light" w:cs="Arial"/>
    </w:rPr>
  </w:style>
  <w:style w:type="paragraph" w:customStyle="1" w:styleId="BodyCopyindented1beforelist">
    <w:name w:val="Body Copy indented 1 before list"/>
    <w:basedOn w:val="BodyCopyindented1"/>
    <w:rsid w:val="000B2944"/>
    <w:pPr>
      <w:spacing w:after="60"/>
    </w:pPr>
  </w:style>
  <w:style w:type="paragraph" w:customStyle="1" w:styleId="BodyCopyindented1bulletednumbered">
    <w:name w:val="Body Copy indented 1 bulleted numbered"/>
    <w:basedOn w:val="Normal"/>
    <w:rsid w:val="000B2944"/>
    <w:pPr>
      <w:numPr>
        <w:numId w:val="75"/>
      </w:numPr>
      <w:spacing w:after="120" w:line="240" w:lineRule="auto"/>
      <w:jc w:val="both"/>
    </w:pPr>
    <w:rPr>
      <w:rFonts w:ascii="HelveticaNeue-Light" w:eastAsia="Calibri" w:hAnsi="HelveticaNeue-Light" w:cs="Arial"/>
    </w:rPr>
  </w:style>
  <w:style w:type="paragraph" w:customStyle="1" w:styleId="BodyCopyindented1numbered">
    <w:name w:val="Body Copy indented 1 numbered"/>
    <w:basedOn w:val="Normal"/>
    <w:rsid w:val="000B2944"/>
    <w:pPr>
      <w:numPr>
        <w:numId w:val="76"/>
      </w:numPr>
      <w:spacing w:after="0" w:line="240" w:lineRule="auto"/>
      <w:jc w:val="both"/>
    </w:pPr>
    <w:rPr>
      <w:rFonts w:ascii="HelveticaNeue-Light" w:eastAsia="Calibri" w:hAnsi="HelveticaNeue-Light" w:cs="Arial"/>
    </w:rPr>
  </w:style>
  <w:style w:type="paragraph" w:customStyle="1" w:styleId="Coversubheading1">
    <w:name w:val="Cover sub heading 1"/>
    <w:basedOn w:val="Normal"/>
    <w:rsid w:val="000B2944"/>
    <w:pPr>
      <w:spacing w:after="0" w:line="320" w:lineRule="exact"/>
      <w:jc w:val="right"/>
    </w:pPr>
    <w:rPr>
      <w:rFonts w:ascii="HelveticaNeue-Light" w:eastAsia="Cambria" w:hAnsi="HelveticaNeue-Light" w:cs="Times New Roman"/>
      <w:b/>
      <w:color w:val="626464"/>
      <w:sz w:val="32"/>
      <w:szCs w:val="24"/>
      <w:lang w:val="en-US"/>
    </w:rPr>
  </w:style>
  <w:style w:type="paragraph" w:customStyle="1" w:styleId="Coversubheading2">
    <w:name w:val="Cover sub heading 2"/>
    <w:basedOn w:val="Normal"/>
    <w:rsid w:val="000B2944"/>
    <w:pPr>
      <w:spacing w:after="0" w:line="320" w:lineRule="exact"/>
      <w:jc w:val="right"/>
    </w:pPr>
    <w:rPr>
      <w:rFonts w:ascii="HelveticaNeue-Light" w:eastAsia="Cambria" w:hAnsi="HelveticaNeue-Light" w:cs="Times New Roman"/>
      <w:color w:val="626464"/>
      <w:sz w:val="18"/>
      <w:szCs w:val="24"/>
      <w:lang w:val="en-US"/>
    </w:rPr>
  </w:style>
  <w:style w:type="paragraph" w:styleId="Date">
    <w:name w:val="Date"/>
    <w:basedOn w:val="Normal"/>
    <w:next w:val="Normal"/>
    <w:link w:val="DateChar"/>
    <w:uiPriority w:val="99"/>
    <w:unhideWhenUsed/>
    <w:rsid w:val="000B2944"/>
    <w:pPr>
      <w:spacing w:after="0" w:line="240" w:lineRule="auto"/>
    </w:pPr>
    <w:rPr>
      <w:rFonts w:asciiTheme="minorHAnsi" w:hAnsiTheme="minorHAnsi"/>
    </w:rPr>
  </w:style>
  <w:style w:type="character" w:customStyle="1" w:styleId="DateChar">
    <w:name w:val="Date Char"/>
    <w:basedOn w:val="DefaultParagraphFont"/>
    <w:link w:val="Date"/>
    <w:uiPriority w:val="99"/>
    <w:rsid w:val="000B2944"/>
  </w:style>
  <w:style w:type="paragraph" w:customStyle="1" w:styleId="footertext">
    <w:name w:val="footer text"/>
    <w:basedOn w:val="Normal"/>
    <w:qFormat/>
    <w:rsid w:val="000B2944"/>
    <w:pPr>
      <w:spacing w:after="0" w:line="240" w:lineRule="auto"/>
      <w:jc w:val="right"/>
    </w:pPr>
    <w:rPr>
      <w:rFonts w:ascii="Providence" w:eastAsia="Cambria" w:hAnsi="Providence" w:cs="Times New Roman"/>
      <w:color w:val="FFFFFF"/>
      <w:sz w:val="18"/>
      <w:szCs w:val="24"/>
      <w:lang w:val="en-US"/>
    </w:rPr>
  </w:style>
  <w:style w:type="paragraph" w:customStyle="1" w:styleId="FooterTitle">
    <w:name w:val="Footer Title"/>
    <w:basedOn w:val="Normal"/>
    <w:rsid w:val="000B2944"/>
    <w:pPr>
      <w:spacing w:line="240" w:lineRule="auto"/>
    </w:pPr>
    <w:rPr>
      <w:rFonts w:ascii="Providence" w:eastAsia="Cambria" w:hAnsi="Providence" w:cs="Times New Roman"/>
      <w:color w:val="FFFFFF"/>
      <w:sz w:val="24"/>
      <w:szCs w:val="24"/>
      <w:lang w:val="en-US"/>
    </w:rPr>
  </w:style>
  <w:style w:type="paragraph" w:customStyle="1" w:styleId="Headerdocumenttitle">
    <w:name w:val="Header document title"/>
    <w:rsid w:val="000B2944"/>
    <w:pPr>
      <w:spacing w:after="120" w:line="380" w:lineRule="exact"/>
    </w:pPr>
    <w:rPr>
      <w:rFonts w:ascii="Providence" w:eastAsia="Times New Roman" w:hAnsi="Providence" w:cs="Times New Roman"/>
      <w:b/>
      <w:bCs/>
      <w:color w:val="D95121"/>
      <w:sz w:val="32"/>
      <w:szCs w:val="32"/>
      <w:lang w:val="en-US"/>
    </w:rPr>
  </w:style>
  <w:style w:type="paragraph" w:customStyle="1" w:styleId="HeaderFPAAvision0">
    <w:name w:val="Header FPAA vision"/>
    <w:basedOn w:val="BodyCopy"/>
    <w:rsid w:val="000B2944"/>
    <w:pPr>
      <w:spacing w:after="0"/>
      <w:ind w:left="0"/>
      <w:jc w:val="left"/>
    </w:pPr>
    <w:rPr>
      <w:i/>
      <w:color w:val="626464"/>
    </w:rPr>
  </w:style>
  <w:style w:type="paragraph" w:customStyle="1" w:styleId="Headerspace0">
    <w:name w:val="Header space"/>
    <w:basedOn w:val="BodyCopy"/>
    <w:rsid w:val="000B2944"/>
    <w:pPr>
      <w:ind w:left="0"/>
      <w:contextualSpacing/>
    </w:pPr>
  </w:style>
  <w:style w:type="numbering" w:customStyle="1" w:styleId="Liststyle1">
    <w:name w:val="List style 1"/>
    <w:rsid w:val="000B2944"/>
    <w:pPr>
      <w:numPr>
        <w:numId w:val="77"/>
      </w:numPr>
    </w:pPr>
  </w:style>
  <w:style w:type="numbering" w:customStyle="1" w:styleId="NoList1">
    <w:name w:val="No List1"/>
    <w:next w:val="NoList"/>
    <w:uiPriority w:val="99"/>
    <w:semiHidden/>
    <w:unhideWhenUsed/>
    <w:rsid w:val="000B2944"/>
  </w:style>
  <w:style w:type="character" w:styleId="PageNumber">
    <w:name w:val="page number"/>
    <w:rsid w:val="000B2944"/>
    <w:rPr>
      <w:rFonts w:ascii="Providence" w:hAnsi="Providence"/>
      <w:color w:val="FFFFFF"/>
      <w:sz w:val="16"/>
    </w:rPr>
  </w:style>
  <w:style w:type="character" w:styleId="PlaceholderText">
    <w:name w:val="Placeholder Text"/>
    <w:basedOn w:val="DefaultParagraphFont"/>
    <w:uiPriority w:val="99"/>
    <w:semiHidden/>
    <w:rsid w:val="000B2944"/>
    <w:rPr>
      <w:color w:val="808080"/>
    </w:rPr>
  </w:style>
  <w:style w:type="table" w:customStyle="1" w:styleId="TableGrid1">
    <w:name w:val="Table Grid1"/>
    <w:basedOn w:val="TableNormal"/>
    <w:next w:val="TableGrid"/>
    <w:uiPriority w:val="59"/>
    <w:rsid w:val="000B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29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2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0B2944"/>
    <w:pPr>
      <w:spacing w:before="120" w:after="60" w:line="240" w:lineRule="auto"/>
    </w:pPr>
    <w:rPr>
      <w:rFonts w:ascii="Providence" w:eastAsia="Calibri" w:hAnsi="Providence" w:cs="Arial"/>
      <w:b/>
      <w:sz w:val="20"/>
      <w:szCs w:val="28"/>
    </w:rPr>
  </w:style>
  <w:style w:type="paragraph" w:customStyle="1" w:styleId="Tabletext0">
    <w:name w:val="Table text"/>
    <w:rsid w:val="000B2944"/>
    <w:pPr>
      <w:spacing w:before="60" w:after="120" w:line="240" w:lineRule="auto"/>
    </w:pPr>
    <w:rPr>
      <w:rFonts w:ascii="HelveticaNeue-Light" w:eastAsia="Calibri" w:hAnsi="HelveticaNeue-Light" w:cs="Arial"/>
      <w:sz w:val="20"/>
    </w:rPr>
  </w:style>
  <w:style w:type="paragraph" w:customStyle="1" w:styleId="Bodyindent2bulletcont">
    <w:name w:val="*Body indent 2 bullet (cont)"/>
    <w:basedOn w:val="Bodyindent2"/>
    <w:qFormat/>
    <w:rsid w:val="000B2944"/>
    <w:pPr>
      <w:ind w:left="2880"/>
    </w:pPr>
  </w:style>
  <w:style w:type="paragraph" w:customStyle="1" w:styleId="FPAASpecificationHeading1">
    <w:name w:val="*FPAA Specification Heading 1"/>
    <w:basedOn w:val="ListParagraph"/>
    <w:qFormat/>
    <w:rsid w:val="000B2944"/>
    <w:pPr>
      <w:numPr>
        <w:numId w:val="78"/>
      </w:numPr>
      <w:spacing w:before="340" w:after="120" w:line="240" w:lineRule="auto"/>
      <w:contextualSpacing w:val="0"/>
      <w:outlineLvl w:val="0"/>
    </w:pPr>
    <w:rPr>
      <w:rFonts w:ascii="Providence" w:hAnsi="Providence"/>
      <w:b/>
      <w:color w:val="003359"/>
      <w:sz w:val="32"/>
      <w:szCs w:val="32"/>
    </w:rPr>
  </w:style>
  <w:style w:type="paragraph" w:customStyle="1" w:styleId="FPAASpecificationHeading2">
    <w:name w:val="*FPAA Specification Heading 2"/>
    <w:basedOn w:val="ListParagraph"/>
    <w:qFormat/>
    <w:rsid w:val="000B2944"/>
    <w:pPr>
      <w:numPr>
        <w:ilvl w:val="1"/>
        <w:numId w:val="78"/>
      </w:numPr>
      <w:spacing w:before="340" w:after="120" w:line="240" w:lineRule="auto"/>
      <w:contextualSpacing w:val="0"/>
      <w:outlineLvl w:val="1"/>
    </w:pPr>
    <w:rPr>
      <w:rFonts w:ascii="HelveticaNeue-Light" w:hAnsi="HelveticaNeue-Light"/>
      <w:b/>
      <w:sz w:val="28"/>
    </w:rPr>
  </w:style>
  <w:style w:type="paragraph" w:customStyle="1" w:styleId="FPAASpecificationHeading3">
    <w:name w:val="*FPAA Specification Heading 3"/>
    <w:basedOn w:val="ListParagraph"/>
    <w:qFormat/>
    <w:rsid w:val="000B2944"/>
    <w:pPr>
      <w:numPr>
        <w:ilvl w:val="2"/>
        <w:numId w:val="78"/>
      </w:numPr>
      <w:spacing w:before="340" w:after="120" w:line="240" w:lineRule="auto"/>
      <w:contextualSpacing w:val="0"/>
      <w:outlineLvl w:val="2"/>
    </w:pPr>
    <w:rPr>
      <w:rFonts w:ascii="HelveticaNeue-Light" w:hAnsi="HelveticaNeue-Light"/>
      <w:b/>
    </w:rPr>
  </w:style>
  <w:style w:type="paragraph" w:customStyle="1" w:styleId="FPAASpecificationHeading4">
    <w:name w:val="*FPAA Specification Heading 4"/>
    <w:basedOn w:val="ListParagraph"/>
    <w:qFormat/>
    <w:rsid w:val="000B2944"/>
    <w:pPr>
      <w:numPr>
        <w:ilvl w:val="3"/>
        <w:numId w:val="78"/>
      </w:numPr>
      <w:spacing w:before="340" w:after="120" w:line="240" w:lineRule="auto"/>
      <w:contextualSpacing w:val="0"/>
      <w:outlineLvl w:val="3"/>
    </w:pPr>
    <w:rPr>
      <w:rFonts w:ascii="HelveticaNeue-Light" w:hAnsi="HelveticaNeue-Light"/>
      <w:i/>
    </w:rPr>
  </w:style>
  <w:style w:type="paragraph" w:styleId="TOC4">
    <w:name w:val="toc 4"/>
    <w:basedOn w:val="Normal"/>
    <w:next w:val="Normal"/>
    <w:autoRedefine/>
    <w:uiPriority w:val="39"/>
    <w:rsid w:val="000B2944"/>
    <w:pPr>
      <w:spacing w:after="100" w:line="240" w:lineRule="auto"/>
      <w:ind w:left="660"/>
    </w:pPr>
    <w:rPr>
      <w:rFonts w:asciiTheme="minorHAnsi" w:hAnsiTheme="minorHAnsi"/>
    </w:rPr>
  </w:style>
  <w:style w:type="character" w:styleId="FollowedHyperlink">
    <w:name w:val="FollowedHyperlink"/>
    <w:basedOn w:val="DefaultParagraphFont"/>
    <w:uiPriority w:val="99"/>
    <w:semiHidden/>
    <w:unhideWhenUsed/>
    <w:rsid w:val="005A6118"/>
    <w:rPr>
      <w:color w:val="954F72" w:themeColor="followedHyperlink"/>
      <w:u w:val="single"/>
    </w:rPr>
  </w:style>
  <w:style w:type="table" w:styleId="GridTable5Dark-Accent5">
    <w:name w:val="Grid Table 5 Dark Accent 5"/>
    <w:basedOn w:val="TableNormal"/>
    <w:uiPriority w:val="50"/>
    <w:rsid w:val="00FB7C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lainText">
    <w:name w:val="Plain Text"/>
    <w:basedOn w:val="Normal"/>
    <w:link w:val="PlainTextChar"/>
    <w:uiPriority w:val="99"/>
    <w:semiHidden/>
    <w:unhideWhenUsed/>
    <w:rsid w:val="00603D5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3D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800">
      <w:bodyDiv w:val="1"/>
      <w:marLeft w:val="0"/>
      <w:marRight w:val="0"/>
      <w:marTop w:val="0"/>
      <w:marBottom w:val="0"/>
      <w:divBdr>
        <w:top w:val="none" w:sz="0" w:space="0" w:color="auto"/>
        <w:left w:val="none" w:sz="0" w:space="0" w:color="auto"/>
        <w:bottom w:val="none" w:sz="0" w:space="0" w:color="auto"/>
        <w:right w:val="none" w:sz="0" w:space="0" w:color="auto"/>
      </w:divBdr>
    </w:div>
    <w:div w:id="13119037">
      <w:bodyDiv w:val="1"/>
      <w:marLeft w:val="0"/>
      <w:marRight w:val="0"/>
      <w:marTop w:val="0"/>
      <w:marBottom w:val="0"/>
      <w:divBdr>
        <w:top w:val="none" w:sz="0" w:space="0" w:color="auto"/>
        <w:left w:val="none" w:sz="0" w:space="0" w:color="auto"/>
        <w:bottom w:val="none" w:sz="0" w:space="0" w:color="auto"/>
        <w:right w:val="none" w:sz="0" w:space="0" w:color="auto"/>
      </w:divBdr>
    </w:div>
    <w:div w:id="29108553">
      <w:bodyDiv w:val="1"/>
      <w:marLeft w:val="0"/>
      <w:marRight w:val="0"/>
      <w:marTop w:val="0"/>
      <w:marBottom w:val="0"/>
      <w:divBdr>
        <w:top w:val="none" w:sz="0" w:space="0" w:color="auto"/>
        <w:left w:val="none" w:sz="0" w:space="0" w:color="auto"/>
        <w:bottom w:val="none" w:sz="0" w:space="0" w:color="auto"/>
        <w:right w:val="none" w:sz="0" w:space="0" w:color="auto"/>
      </w:divBdr>
    </w:div>
    <w:div w:id="71315757">
      <w:bodyDiv w:val="1"/>
      <w:marLeft w:val="0"/>
      <w:marRight w:val="0"/>
      <w:marTop w:val="0"/>
      <w:marBottom w:val="0"/>
      <w:divBdr>
        <w:top w:val="none" w:sz="0" w:space="0" w:color="auto"/>
        <w:left w:val="none" w:sz="0" w:space="0" w:color="auto"/>
        <w:bottom w:val="none" w:sz="0" w:space="0" w:color="auto"/>
        <w:right w:val="none" w:sz="0" w:space="0" w:color="auto"/>
      </w:divBdr>
    </w:div>
    <w:div w:id="72509576">
      <w:bodyDiv w:val="1"/>
      <w:marLeft w:val="0"/>
      <w:marRight w:val="0"/>
      <w:marTop w:val="0"/>
      <w:marBottom w:val="0"/>
      <w:divBdr>
        <w:top w:val="none" w:sz="0" w:space="0" w:color="auto"/>
        <w:left w:val="none" w:sz="0" w:space="0" w:color="auto"/>
        <w:bottom w:val="none" w:sz="0" w:space="0" w:color="auto"/>
        <w:right w:val="none" w:sz="0" w:space="0" w:color="auto"/>
      </w:divBdr>
    </w:div>
    <w:div w:id="74133443">
      <w:bodyDiv w:val="1"/>
      <w:marLeft w:val="0"/>
      <w:marRight w:val="0"/>
      <w:marTop w:val="0"/>
      <w:marBottom w:val="0"/>
      <w:divBdr>
        <w:top w:val="none" w:sz="0" w:space="0" w:color="auto"/>
        <w:left w:val="none" w:sz="0" w:space="0" w:color="auto"/>
        <w:bottom w:val="none" w:sz="0" w:space="0" w:color="auto"/>
        <w:right w:val="none" w:sz="0" w:space="0" w:color="auto"/>
      </w:divBdr>
    </w:div>
    <w:div w:id="114566595">
      <w:bodyDiv w:val="1"/>
      <w:marLeft w:val="0"/>
      <w:marRight w:val="0"/>
      <w:marTop w:val="0"/>
      <w:marBottom w:val="0"/>
      <w:divBdr>
        <w:top w:val="none" w:sz="0" w:space="0" w:color="auto"/>
        <w:left w:val="none" w:sz="0" w:space="0" w:color="auto"/>
        <w:bottom w:val="none" w:sz="0" w:space="0" w:color="auto"/>
        <w:right w:val="none" w:sz="0" w:space="0" w:color="auto"/>
      </w:divBdr>
    </w:div>
    <w:div w:id="181818110">
      <w:bodyDiv w:val="1"/>
      <w:marLeft w:val="0"/>
      <w:marRight w:val="0"/>
      <w:marTop w:val="0"/>
      <w:marBottom w:val="0"/>
      <w:divBdr>
        <w:top w:val="none" w:sz="0" w:space="0" w:color="auto"/>
        <w:left w:val="none" w:sz="0" w:space="0" w:color="auto"/>
        <w:bottom w:val="none" w:sz="0" w:space="0" w:color="auto"/>
        <w:right w:val="none" w:sz="0" w:space="0" w:color="auto"/>
      </w:divBdr>
    </w:div>
    <w:div w:id="226721235">
      <w:bodyDiv w:val="1"/>
      <w:marLeft w:val="0"/>
      <w:marRight w:val="0"/>
      <w:marTop w:val="0"/>
      <w:marBottom w:val="0"/>
      <w:divBdr>
        <w:top w:val="none" w:sz="0" w:space="0" w:color="auto"/>
        <w:left w:val="none" w:sz="0" w:space="0" w:color="auto"/>
        <w:bottom w:val="none" w:sz="0" w:space="0" w:color="auto"/>
        <w:right w:val="none" w:sz="0" w:space="0" w:color="auto"/>
      </w:divBdr>
    </w:div>
    <w:div w:id="238097183">
      <w:bodyDiv w:val="1"/>
      <w:marLeft w:val="0"/>
      <w:marRight w:val="0"/>
      <w:marTop w:val="0"/>
      <w:marBottom w:val="0"/>
      <w:divBdr>
        <w:top w:val="none" w:sz="0" w:space="0" w:color="auto"/>
        <w:left w:val="none" w:sz="0" w:space="0" w:color="auto"/>
        <w:bottom w:val="none" w:sz="0" w:space="0" w:color="auto"/>
        <w:right w:val="none" w:sz="0" w:space="0" w:color="auto"/>
      </w:divBdr>
    </w:div>
    <w:div w:id="255286043">
      <w:bodyDiv w:val="1"/>
      <w:marLeft w:val="0"/>
      <w:marRight w:val="0"/>
      <w:marTop w:val="0"/>
      <w:marBottom w:val="0"/>
      <w:divBdr>
        <w:top w:val="none" w:sz="0" w:space="0" w:color="auto"/>
        <w:left w:val="none" w:sz="0" w:space="0" w:color="auto"/>
        <w:bottom w:val="none" w:sz="0" w:space="0" w:color="auto"/>
        <w:right w:val="none" w:sz="0" w:space="0" w:color="auto"/>
      </w:divBdr>
    </w:div>
    <w:div w:id="268657962">
      <w:bodyDiv w:val="1"/>
      <w:marLeft w:val="0"/>
      <w:marRight w:val="0"/>
      <w:marTop w:val="0"/>
      <w:marBottom w:val="0"/>
      <w:divBdr>
        <w:top w:val="none" w:sz="0" w:space="0" w:color="auto"/>
        <w:left w:val="none" w:sz="0" w:space="0" w:color="auto"/>
        <w:bottom w:val="none" w:sz="0" w:space="0" w:color="auto"/>
        <w:right w:val="none" w:sz="0" w:space="0" w:color="auto"/>
      </w:divBdr>
    </w:div>
    <w:div w:id="389310022">
      <w:bodyDiv w:val="1"/>
      <w:marLeft w:val="0"/>
      <w:marRight w:val="0"/>
      <w:marTop w:val="0"/>
      <w:marBottom w:val="0"/>
      <w:divBdr>
        <w:top w:val="none" w:sz="0" w:space="0" w:color="auto"/>
        <w:left w:val="none" w:sz="0" w:space="0" w:color="auto"/>
        <w:bottom w:val="none" w:sz="0" w:space="0" w:color="auto"/>
        <w:right w:val="none" w:sz="0" w:space="0" w:color="auto"/>
      </w:divBdr>
    </w:div>
    <w:div w:id="390006044">
      <w:bodyDiv w:val="1"/>
      <w:marLeft w:val="0"/>
      <w:marRight w:val="0"/>
      <w:marTop w:val="0"/>
      <w:marBottom w:val="0"/>
      <w:divBdr>
        <w:top w:val="none" w:sz="0" w:space="0" w:color="auto"/>
        <w:left w:val="none" w:sz="0" w:space="0" w:color="auto"/>
        <w:bottom w:val="none" w:sz="0" w:space="0" w:color="auto"/>
        <w:right w:val="none" w:sz="0" w:space="0" w:color="auto"/>
      </w:divBdr>
    </w:div>
    <w:div w:id="394354357">
      <w:bodyDiv w:val="1"/>
      <w:marLeft w:val="0"/>
      <w:marRight w:val="0"/>
      <w:marTop w:val="0"/>
      <w:marBottom w:val="0"/>
      <w:divBdr>
        <w:top w:val="none" w:sz="0" w:space="0" w:color="auto"/>
        <w:left w:val="none" w:sz="0" w:space="0" w:color="auto"/>
        <w:bottom w:val="none" w:sz="0" w:space="0" w:color="auto"/>
        <w:right w:val="none" w:sz="0" w:space="0" w:color="auto"/>
      </w:divBdr>
    </w:div>
    <w:div w:id="430970828">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437068051">
      <w:bodyDiv w:val="1"/>
      <w:marLeft w:val="0"/>
      <w:marRight w:val="0"/>
      <w:marTop w:val="0"/>
      <w:marBottom w:val="0"/>
      <w:divBdr>
        <w:top w:val="none" w:sz="0" w:space="0" w:color="auto"/>
        <w:left w:val="none" w:sz="0" w:space="0" w:color="auto"/>
        <w:bottom w:val="none" w:sz="0" w:space="0" w:color="auto"/>
        <w:right w:val="none" w:sz="0" w:space="0" w:color="auto"/>
      </w:divBdr>
    </w:div>
    <w:div w:id="473179015">
      <w:bodyDiv w:val="1"/>
      <w:marLeft w:val="0"/>
      <w:marRight w:val="0"/>
      <w:marTop w:val="0"/>
      <w:marBottom w:val="0"/>
      <w:divBdr>
        <w:top w:val="none" w:sz="0" w:space="0" w:color="auto"/>
        <w:left w:val="none" w:sz="0" w:space="0" w:color="auto"/>
        <w:bottom w:val="none" w:sz="0" w:space="0" w:color="auto"/>
        <w:right w:val="none" w:sz="0" w:space="0" w:color="auto"/>
      </w:divBdr>
    </w:div>
    <w:div w:id="519440333">
      <w:bodyDiv w:val="1"/>
      <w:marLeft w:val="0"/>
      <w:marRight w:val="0"/>
      <w:marTop w:val="0"/>
      <w:marBottom w:val="0"/>
      <w:divBdr>
        <w:top w:val="none" w:sz="0" w:space="0" w:color="auto"/>
        <w:left w:val="none" w:sz="0" w:space="0" w:color="auto"/>
        <w:bottom w:val="none" w:sz="0" w:space="0" w:color="auto"/>
        <w:right w:val="none" w:sz="0" w:space="0" w:color="auto"/>
      </w:divBdr>
    </w:div>
    <w:div w:id="530731052">
      <w:bodyDiv w:val="1"/>
      <w:marLeft w:val="0"/>
      <w:marRight w:val="0"/>
      <w:marTop w:val="0"/>
      <w:marBottom w:val="0"/>
      <w:divBdr>
        <w:top w:val="none" w:sz="0" w:space="0" w:color="auto"/>
        <w:left w:val="none" w:sz="0" w:space="0" w:color="auto"/>
        <w:bottom w:val="none" w:sz="0" w:space="0" w:color="auto"/>
        <w:right w:val="none" w:sz="0" w:space="0" w:color="auto"/>
      </w:divBdr>
    </w:div>
    <w:div w:id="541939370">
      <w:bodyDiv w:val="1"/>
      <w:marLeft w:val="0"/>
      <w:marRight w:val="0"/>
      <w:marTop w:val="0"/>
      <w:marBottom w:val="0"/>
      <w:divBdr>
        <w:top w:val="none" w:sz="0" w:space="0" w:color="auto"/>
        <w:left w:val="none" w:sz="0" w:space="0" w:color="auto"/>
        <w:bottom w:val="none" w:sz="0" w:space="0" w:color="auto"/>
        <w:right w:val="none" w:sz="0" w:space="0" w:color="auto"/>
      </w:divBdr>
    </w:div>
    <w:div w:id="542135697">
      <w:bodyDiv w:val="1"/>
      <w:marLeft w:val="0"/>
      <w:marRight w:val="0"/>
      <w:marTop w:val="0"/>
      <w:marBottom w:val="0"/>
      <w:divBdr>
        <w:top w:val="none" w:sz="0" w:space="0" w:color="auto"/>
        <w:left w:val="none" w:sz="0" w:space="0" w:color="auto"/>
        <w:bottom w:val="none" w:sz="0" w:space="0" w:color="auto"/>
        <w:right w:val="none" w:sz="0" w:space="0" w:color="auto"/>
      </w:divBdr>
    </w:div>
    <w:div w:id="570118164">
      <w:bodyDiv w:val="1"/>
      <w:marLeft w:val="0"/>
      <w:marRight w:val="0"/>
      <w:marTop w:val="0"/>
      <w:marBottom w:val="0"/>
      <w:divBdr>
        <w:top w:val="none" w:sz="0" w:space="0" w:color="auto"/>
        <w:left w:val="none" w:sz="0" w:space="0" w:color="auto"/>
        <w:bottom w:val="none" w:sz="0" w:space="0" w:color="auto"/>
        <w:right w:val="none" w:sz="0" w:space="0" w:color="auto"/>
      </w:divBdr>
    </w:div>
    <w:div w:id="590427269">
      <w:bodyDiv w:val="1"/>
      <w:marLeft w:val="0"/>
      <w:marRight w:val="0"/>
      <w:marTop w:val="0"/>
      <w:marBottom w:val="0"/>
      <w:divBdr>
        <w:top w:val="none" w:sz="0" w:space="0" w:color="auto"/>
        <w:left w:val="none" w:sz="0" w:space="0" w:color="auto"/>
        <w:bottom w:val="none" w:sz="0" w:space="0" w:color="auto"/>
        <w:right w:val="none" w:sz="0" w:space="0" w:color="auto"/>
      </w:divBdr>
    </w:div>
    <w:div w:id="607202450">
      <w:bodyDiv w:val="1"/>
      <w:marLeft w:val="0"/>
      <w:marRight w:val="0"/>
      <w:marTop w:val="0"/>
      <w:marBottom w:val="0"/>
      <w:divBdr>
        <w:top w:val="none" w:sz="0" w:space="0" w:color="auto"/>
        <w:left w:val="none" w:sz="0" w:space="0" w:color="auto"/>
        <w:bottom w:val="none" w:sz="0" w:space="0" w:color="auto"/>
        <w:right w:val="none" w:sz="0" w:space="0" w:color="auto"/>
      </w:divBdr>
    </w:div>
    <w:div w:id="608897210">
      <w:bodyDiv w:val="1"/>
      <w:marLeft w:val="0"/>
      <w:marRight w:val="0"/>
      <w:marTop w:val="0"/>
      <w:marBottom w:val="0"/>
      <w:divBdr>
        <w:top w:val="none" w:sz="0" w:space="0" w:color="auto"/>
        <w:left w:val="none" w:sz="0" w:space="0" w:color="auto"/>
        <w:bottom w:val="none" w:sz="0" w:space="0" w:color="auto"/>
        <w:right w:val="none" w:sz="0" w:space="0" w:color="auto"/>
      </w:divBdr>
    </w:div>
    <w:div w:id="622461743">
      <w:bodyDiv w:val="1"/>
      <w:marLeft w:val="0"/>
      <w:marRight w:val="0"/>
      <w:marTop w:val="0"/>
      <w:marBottom w:val="0"/>
      <w:divBdr>
        <w:top w:val="none" w:sz="0" w:space="0" w:color="auto"/>
        <w:left w:val="none" w:sz="0" w:space="0" w:color="auto"/>
        <w:bottom w:val="none" w:sz="0" w:space="0" w:color="auto"/>
        <w:right w:val="none" w:sz="0" w:space="0" w:color="auto"/>
      </w:divBdr>
    </w:div>
    <w:div w:id="625233237">
      <w:bodyDiv w:val="1"/>
      <w:marLeft w:val="0"/>
      <w:marRight w:val="0"/>
      <w:marTop w:val="0"/>
      <w:marBottom w:val="0"/>
      <w:divBdr>
        <w:top w:val="none" w:sz="0" w:space="0" w:color="auto"/>
        <w:left w:val="none" w:sz="0" w:space="0" w:color="auto"/>
        <w:bottom w:val="none" w:sz="0" w:space="0" w:color="auto"/>
        <w:right w:val="none" w:sz="0" w:space="0" w:color="auto"/>
      </w:divBdr>
    </w:div>
    <w:div w:id="639310349">
      <w:bodyDiv w:val="1"/>
      <w:marLeft w:val="0"/>
      <w:marRight w:val="0"/>
      <w:marTop w:val="0"/>
      <w:marBottom w:val="0"/>
      <w:divBdr>
        <w:top w:val="none" w:sz="0" w:space="0" w:color="auto"/>
        <w:left w:val="none" w:sz="0" w:space="0" w:color="auto"/>
        <w:bottom w:val="none" w:sz="0" w:space="0" w:color="auto"/>
        <w:right w:val="none" w:sz="0" w:space="0" w:color="auto"/>
      </w:divBdr>
    </w:div>
    <w:div w:id="654184216">
      <w:bodyDiv w:val="1"/>
      <w:marLeft w:val="0"/>
      <w:marRight w:val="0"/>
      <w:marTop w:val="0"/>
      <w:marBottom w:val="0"/>
      <w:divBdr>
        <w:top w:val="none" w:sz="0" w:space="0" w:color="auto"/>
        <w:left w:val="none" w:sz="0" w:space="0" w:color="auto"/>
        <w:bottom w:val="none" w:sz="0" w:space="0" w:color="auto"/>
        <w:right w:val="none" w:sz="0" w:space="0" w:color="auto"/>
      </w:divBdr>
    </w:div>
    <w:div w:id="682971760">
      <w:bodyDiv w:val="1"/>
      <w:marLeft w:val="0"/>
      <w:marRight w:val="0"/>
      <w:marTop w:val="0"/>
      <w:marBottom w:val="0"/>
      <w:divBdr>
        <w:top w:val="none" w:sz="0" w:space="0" w:color="auto"/>
        <w:left w:val="none" w:sz="0" w:space="0" w:color="auto"/>
        <w:bottom w:val="none" w:sz="0" w:space="0" w:color="auto"/>
        <w:right w:val="none" w:sz="0" w:space="0" w:color="auto"/>
      </w:divBdr>
    </w:div>
    <w:div w:id="686099797">
      <w:bodyDiv w:val="1"/>
      <w:marLeft w:val="0"/>
      <w:marRight w:val="0"/>
      <w:marTop w:val="0"/>
      <w:marBottom w:val="0"/>
      <w:divBdr>
        <w:top w:val="none" w:sz="0" w:space="0" w:color="auto"/>
        <w:left w:val="none" w:sz="0" w:space="0" w:color="auto"/>
        <w:bottom w:val="none" w:sz="0" w:space="0" w:color="auto"/>
        <w:right w:val="none" w:sz="0" w:space="0" w:color="auto"/>
      </w:divBdr>
    </w:div>
    <w:div w:id="741951319">
      <w:bodyDiv w:val="1"/>
      <w:marLeft w:val="0"/>
      <w:marRight w:val="0"/>
      <w:marTop w:val="0"/>
      <w:marBottom w:val="0"/>
      <w:divBdr>
        <w:top w:val="none" w:sz="0" w:space="0" w:color="auto"/>
        <w:left w:val="none" w:sz="0" w:space="0" w:color="auto"/>
        <w:bottom w:val="none" w:sz="0" w:space="0" w:color="auto"/>
        <w:right w:val="none" w:sz="0" w:space="0" w:color="auto"/>
      </w:divBdr>
    </w:div>
    <w:div w:id="776562107">
      <w:bodyDiv w:val="1"/>
      <w:marLeft w:val="0"/>
      <w:marRight w:val="0"/>
      <w:marTop w:val="0"/>
      <w:marBottom w:val="0"/>
      <w:divBdr>
        <w:top w:val="none" w:sz="0" w:space="0" w:color="auto"/>
        <w:left w:val="none" w:sz="0" w:space="0" w:color="auto"/>
        <w:bottom w:val="none" w:sz="0" w:space="0" w:color="auto"/>
        <w:right w:val="none" w:sz="0" w:space="0" w:color="auto"/>
      </w:divBdr>
    </w:div>
    <w:div w:id="785466585">
      <w:bodyDiv w:val="1"/>
      <w:marLeft w:val="0"/>
      <w:marRight w:val="0"/>
      <w:marTop w:val="0"/>
      <w:marBottom w:val="0"/>
      <w:divBdr>
        <w:top w:val="none" w:sz="0" w:space="0" w:color="auto"/>
        <w:left w:val="none" w:sz="0" w:space="0" w:color="auto"/>
        <w:bottom w:val="none" w:sz="0" w:space="0" w:color="auto"/>
        <w:right w:val="none" w:sz="0" w:space="0" w:color="auto"/>
      </w:divBdr>
    </w:div>
    <w:div w:id="807088751">
      <w:bodyDiv w:val="1"/>
      <w:marLeft w:val="0"/>
      <w:marRight w:val="0"/>
      <w:marTop w:val="0"/>
      <w:marBottom w:val="0"/>
      <w:divBdr>
        <w:top w:val="none" w:sz="0" w:space="0" w:color="auto"/>
        <w:left w:val="none" w:sz="0" w:space="0" w:color="auto"/>
        <w:bottom w:val="none" w:sz="0" w:space="0" w:color="auto"/>
        <w:right w:val="none" w:sz="0" w:space="0" w:color="auto"/>
      </w:divBdr>
    </w:div>
    <w:div w:id="811874980">
      <w:bodyDiv w:val="1"/>
      <w:marLeft w:val="0"/>
      <w:marRight w:val="0"/>
      <w:marTop w:val="0"/>
      <w:marBottom w:val="0"/>
      <w:divBdr>
        <w:top w:val="none" w:sz="0" w:space="0" w:color="auto"/>
        <w:left w:val="none" w:sz="0" w:space="0" w:color="auto"/>
        <w:bottom w:val="none" w:sz="0" w:space="0" w:color="auto"/>
        <w:right w:val="none" w:sz="0" w:space="0" w:color="auto"/>
      </w:divBdr>
    </w:div>
    <w:div w:id="825971581">
      <w:bodyDiv w:val="1"/>
      <w:marLeft w:val="0"/>
      <w:marRight w:val="0"/>
      <w:marTop w:val="0"/>
      <w:marBottom w:val="0"/>
      <w:divBdr>
        <w:top w:val="none" w:sz="0" w:space="0" w:color="auto"/>
        <w:left w:val="none" w:sz="0" w:space="0" w:color="auto"/>
        <w:bottom w:val="none" w:sz="0" w:space="0" w:color="auto"/>
        <w:right w:val="none" w:sz="0" w:space="0" w:color="auto"/>
      </w:divBdr>
    </w:div>
    <w:div w:id="848254151">
      <w:bodyDiv w:val="1"/>
      <w:marLeft w:val="0"/>
      <w:marRight w:val="0"/>
      <w:marTop w:val="0"/>
      <w:marBottom w:val="0"/>
      <w:divBdr>
        <w:top w:val="none" w:sz="0" w:space="0" w:color="auto"/>
        <w:left w:val="none" w:sz="0" w:space="0" w:color="auto"/>
        <w:bottom w:val="none" w:sz="0" w:space="0" w:color="auto"/>
        <w:right w:val="none" w:sz="0" w:space="0" w:color="auto"/>
      </w:divBdr>
    </w:div>
    <w:div w:id="857624892">
      <w:bodyDiv w:val="1"/>
      <w:marLeft w:val="0"/>
      <w:marRight w:val="0"/>
      <w:marTop w:val="0"/>
      <w:marBottom w:val="0"/>
      <w:divBdr>
        <w:top w:val="none" w:sz="0" w:space="0" w:color="auto"/>
        <w:left w:val="none" w:sz="0" w:space="0" w:color="auto"/>
        <w:bottom w:val="none" w:sz="0" w:space="0" w:color="auto"/>
        <w:right w:val="none" w:sz="0" w:space="0" w:color="auto"/>
      </w:divBdr>
    </w:div>
    <w:div w:id="859323230">
      <w:bodyDiv w:val="1"/>
      <w:marLeft w:val="0"/>
      <w:marRight w:val="0"/>
      <w:marTop w:val="0"/>
      <w:marBottom w:val="0"/>
      <w:divBdr>
        <w:top w:val="none" w:sz="0" w:space="0" w:color="auto"/>
        <w:left w:val="none" w:sz="0" w:space="0" w:color="auto"/>
        <w:bottom w:val="none" w:sz="0" w:space="0" w:color="auto"/>
        <w:right w:val="none" w:sz="0" w:space="0" w:color="auto"/>
      </w:divBdr>
    </w:div>
    <w:div w:id="861476388">
      <w:bodyDiv w:val="1"/>
      <w:marLeft w:val="0"/>
      <w:marRight w:val="0"/>
      <w:marTop w:val="0"/>
      <w:marBottom w:val="0"/>
      <w:divBdr>
        <w:top w:val="none" w:sz="0" w:space="0" w:color="auto"/>
        <w:left w:val="none" w:sz="0" w:space="0" w:color="auto"/>
        <w:bottom w:val="none" w:sz="0" w:space="0" w:color="auto"/>
        <w:right w:val="none" w:sz="0" w:space="0" w:color="auto"/>
      </w:divBdr>
    </w:div>
    <w:div w:id="878513788">
      <w:bodyDiv w:val="1"/>
      <w:marLeft w:val="0"/>
      <w:marRight w:val="0"/>
      <w:marTop w:val="0"/>
      <w:marBottom w:val="0"/>
      <w:divBdr>
        <w:top w:val="none" w:sz="0" w:space="0" w:color="auto"/>
        <w:left w:val="none" w:sz="0" w:space="0" w:color="auto"/>
        <w:bottom w:val="none" w:sz="0" w:space="0" w:color="auto"/>
        <w:right w:val="none" w:sz="0" w:space="0" w:color="auto"/>
      </w:divBdr>
    </w:div>
    <w:div w:id="944583638">
      <w:bodyDiv w:val="1"/>
      <w:marLeft w:val="0"/>
      <w:marRight w:val="0"/>
      <w:marTop w:val="0"/>
      <w:marBottom w:val="0"/>
      <w:divBdr>
        <w:top w:val="none" w:sz="0" w:space="0" w:color="auto"/>
        <w:left w:val="none" w:sz="0" w:space="0" w:color="auto"/>
        <w:bottom w:val="none" w:sz="0" w:space="0" w:color="auto"/>
        <w:right w:val="none" w:sz="0" w:space="0" w:color="auto"/>
      </w:divBdr>
    </w:div>
    <w:div w:id="955407272">
      <w:bodyDiv w:val="1"/>
      <w:marLeft w:val="0"/>
      <w:marRight w:val="0"/>
      <w:marTop w:val="0"/>
      <w:marBottom w:val="0"/>
      <w:divBdr>
        <w:top w:val="none" w:sz="0" w:space="0" w:color="auto"/>
        <w:left w:val="none" w:sz="0" w:space="0" w:color="auto"/>
        <w:bottom w:val="none" w:sz="0" w:space="0" w:color="auto"/>
        <w:right w:val="none" w:sz="0" w:space="0" w:color="auto"/>
      </w:divBdr>
    </w:div>
    <w:div w:id="957566797">
      <w:bodyDiv w:val="1"/>
      <w:marLeft w:val="0"/>
      <w:marRight w:val="0"/>
      <w:marTop w:val="0"/>
      <w:marBottom w:val="0"/>
      <w:divBdr>
        <w:top w:val="none" w:sz="0" w:space="0" w:color="auto"/>
        <w:left w:val="none" w:sz="0" w:space="0" w:color="auto"/>
        <w:bottom w:val="none" w:sz="0" w:space="0" w:color="auto"/>
        <w:right w:val="none" w:sz="0" w:space="0" w:color="auto"/>
      </w:divBdr>
    </w:div>
    <w:div w:id="967931859">
      <w:bodyDiv w:val="1"/>
      <w:marLeft w:val="0"/>
      <w:marRight w:val="0"/>
      <w:marTop w:val="0"/>
      <w:marBottom w:val="0"/>
      <w:divBdr>
        <w:top w:val="none" w:sz="0" w:space="0" w:color="auto"/>
        <w:left w:val="none" w:sz="0" w:space="0" w:color="auto"/>
        <w:bottom w:val="none" w:sz="0" w:space="0" w:color="auto"/>
        <w:right w:val="none" w:sz="0" w:space="0" w:color="auto"/>
      </w:divBdr>
    </w:div>
    <w:div w:id="986325191">
      <w:bodyDiv w:val="1"/>
      <w:marLeft w:val="0"/>
      <w:marRight w:val="0"/>
      <w:marTop w:val="0"/>
      <w:marBottom w:val="0"/>
      <w:divBdr>
        <w:top w:val="none" w:sz="0" w:space="0" w:color="auto"/>
        <w:left w:val="none" w:sz="0" w:space="0" w:color="auto"/>
        <w:bottom w:val="none" w:sz="0" w:space="0" w:color="auto"/>
        <w:right w:val="none" w:sz="0" w:space="0" w:color="auto"/>
      </w:divBdr>
    </w:div>
    <w:div w:id="997223739">
      <w:bodyDiv w:val="1"/>
      <w:marLeft w:val="0"/>
      <w:marRight w:val="0"/>
      <w:marTop w:val="0"/>
      <w:marBottom w:val="0"/>
      <w:divBdr>
        <w:top w:val="none" w:sz="0" w:space="0" w:color="auto"/>
        <w:left w:val="none" w:sz="0" w:space="0" w:color="auto"/>
        <w:bottom w:val="none" w:sz="0" w:space="0" w:color="auto"/>
        <w:right w:val="none" w:sz="0" w:space="0" w:color="auto"/>
      </w:divBdr>
    </w:div>
    <w:div w:id="1011761995">
      <w:bodyDiv w:val="1"/>
      <w:marLeft w:val="0"/>
      <w:marRight w:val="0"/>
      <w:marTop w:val="0"/>
      <w:marBottom w:val="0"/>
      <w:divBdr>
        <w:top w:val="none" w:sz="0" w:space="0" w:color="auto"/>
        <w:left w:val="none" w:sz="0" w:space="0" w:color="auto"/>
        <w:bottom w:val="none" w:sz="0" w:space="0" w:color="auto"/>
        <w:right w:val="none" w:sz="0" w:space="0" w:color="auto"/>
      </w:divBdr>
    </w:div>
    <w:div w:id="1038891572">
      <w:bodyDiv w:val="1"/>
      <w:marLeft w:val="0"/>
      <w:marRight w:val="0"/>
      <w:marTop w:val="0"/>
      <w:marBottom w:val="0"/>
      <w:divBdr>
        <w:top w:val="none" w:sz="0" w:space="0" w:color="auto"/>
        <w:left w:val="none" w:sz="0" w:space="0" w:color="auto"/>
        <w:bottom w:val="none" w:sz="0" w:space="0" w:color="auto"/>
        <w:right w:val="none" w:sz="0" w:space="0" w:color="auto"/>
      </w:divBdr>
    </w:div>
    <w:div w:id="1041975604">
      <w:bodyDiv w:val="1"/>
      <w:marLeft w:val="0"/>
      <w:marRight w:val="0"/>
      <w:marTop w:val="0"/>
      <w:marBottom w:val="0"/>
      <w:divBdr>
        <w:top w:val="none" w:sz="0" w:space="0" w:color="auto"/>
        <w:left w:val="none" w:sz="0" w:space="0" w:color="auto"/>
        <w:bottom w:val="none" w:sz="0" w:space="0" w:color="auto"/>
        <w:right w:val="none" w:sz="0" w:space="0" w:color="auto"/>
      </w:divBdr>
    </w:div>
    <w:div w:id="1109818564">
      <w:bodyDiv w:val="1"/>
      <w:marLeft w:val="0"/>
      <w:marRight w:val="0"/>
      <w:marTop w:val="0"/>
      <w:marBottom w:val="0"/>
      <w:divBdr>
        <w:top w:val="none" w:sz="0" w:space="0" w:color="auto"/>
        <w:left w:val="none" w:sz="0" w:space="0" w:color="auto"/>
        <w:bottom w:val="none" w:sz="0" w:space="0" w:color="auto"/>
        <w:right w:val="none" w:sz="0" w:space="0" w:color="auto"/>
      </w:divBdr>
    </w:div>
    <w:div w:id="1140728731">
      <w:bodyDiv w:val="1"/>
      <w:marLeft w:val="0"/>
      <w:marRight w:val="0"/>
      <w:marTop w:val="0"/>
      <w:marBottom w:val="0"/>
      <w:divBdr>
        <w:top w:val="none" w:sz="0" w:space="0" w:color="auto"/>
        <w:left w:val="none" w:sz="0" w:space="0" w:color="auto"/>
        <w:bottom w:val="none" w:sz="0" w:space="0" w:color="auto"/>
        <w:right w:val="none" w:sz="0" w:space="0" w:color="auto"/>
      </w:divBdr>
    </w:div>
    <w:div w:id="1220751765">
      <w:bodyDiv w:val="1"/>
      <w:marLeft w:val="0"/>
      <w:marRight w:val="0"/>
      <w:marTop w:val="0"/>
      <w:marBottom w:val="0"/>
      <w:divBdr>
        <w:top w:val="none" w:sz="0" w:space="0" w:color="auto"/>
        <w:left w:val="none" w:sz="0" w:space="0" w:color="auto"/>
        <w:bottom w:val="none" w:sz="0" w:space="0" w:color="auto"/>
        <w:right w:val="none" w:sz="0" w:space="0" w:color="auto"/>
      </w:divBdr>
    </w:div>
    <w:div w:id="1256864649">
      <w:bodyDiv w:val="1"/>
      <w:marLeft w:val="0"/>
      <w:marRight w:val="0"/>
      <w:marTop w:val="0"/>
      <w:marBottom w:val="0"/>
      <w:divBdr>
        <w:top w:val="none" w:sz="0" w:space="0" w:color="auto"/>
        <w:left w:val="none" w:sz="0" w:space="0" w:color="auto"/>
        <w:bottom w:val="none" w:sz="0" w:space="0" w:color="auto"/>
        <w:right w:val="none" w:sz="0" w:space="0" w:color="auto"/>
      </w:divBdr>
    </w:div>
    <w:div w:id="1284849320">
      <w:bodyDiv w:val="1"/>
      <w:marLeft w:val="0"/>
      <w:marRight w:val="0"/>
      <w:marTop w:val="0"/>
      <w:marBottom w:val="0"/>
      <w:divBdr>
        <w:top w:val="none" w:sz="0" w:space="0" w:color="auto"/>
        <w:left w:val="none" w:sz="0" w:space="0" w:color="auto"/>
        <w:bottom w:val="none" w:sz="0" w:space="0" w:color="auto"/>
        <w:right w:val="none" w:sz="0" w:space="0" w:color="auto"/>
      </w:divBdr>
    </w:div>
    <w:div w:id="1294599825">
      <w:bodyDiv w:val="1"/>
      <w:marLeft w:val="0"/>
      <w:marRight w:val="0"/>
      <w:marTop w:val="0"/>
      <w:marBottom w:val="0"/>
      <w:divBdr>
        <w:top w:val="none" w:sz="0" w:space="0" w:color="auto"/>
        <w:left w:val="none" w:sz="0" w:space="0" w:color="auto"/>
        <w:bottom w:val="none" w:sz="0" w:space="0" w:color="auto"/>
        <w:right w:val="none" w:sz="0" w:space="0" w:color="auto"/>
      </w:divBdr>
    </w:div>
    <w:div w:id="1320574934">
      <w:bodyDiv w:val="1"/>
      <w:marLeft w:val="0"/>
      <w:marRight w:val="0"/>
      <w:marTop w:val="0"/>
      <w:marBottom w:val="0"/>
      <w:divBdr>
        <w:top w:val="none" w:sz="0" w:space="0" w:color="auto"/>
        <w:left w:val="none" w:sz="0" w:space="0" w:color="auto"/>
        <w:bottom w:val="none" w:sz="0" w:space="0" w:color="auto"/>
        <w:right w:val="none" w:sz="0" w:space="0" w:color="auto"/>
      </w:divBdr>
    </w:div>
    <w:div w:id="1333797899">
      <w:bodyDiv w:val="1"/>
      <w:marLeft w:val="0"/>
      <w:marRight w:val="0"/>
      <w:marTop w:val="0"/>
      <w:marBottom w:val="0"/>
      <w:divBdr>
        <w:top w:val="none" w:sz="0" w:space="0" w:color="auto"/>
        <w:left w:val="none" w:sz="0" w:space="0" w:color="auto"/>
        <w:bottom w:val="none" w:sz="0" w:space="0" w:color="auto"/>
        <w:right w:val="none" w:sz="0" w:space="0" w:color="auto"/>
      </w:divBdr>
    </w:div>
    <w:div w:id="1349986483">
      <w:bodyDiv w:val="1"/>
      <w:marLeft w:val="0"/>
      <w:marRight w:val="0"/>
      <w:marTop w:val="0"/>
      <w:marBottom w:val="0"/>
      <w:divBdr>
        <w:top w:val="none" w:sz="0" w:space="0" w:color="auto"/>
        <w:left w:val="none" w:sz="0" w:space="0" w:color="auto"/>
        <w:bottom w:val="none" w:sz="0" w:space="0" w:color="auto"/>
        <w:right w:val="none" w:sz="0" w:space="0" w:color="auto"/>
      </w:divBdr>
    </w:div>
    <w:div w:id="1353452542">
      <w:bodyDiv w:val="1"/>
      <w:marLeft w:val="0"/>
      <w:marRight w:val="0"/>
      <w:marTop w:val="0"/>
      <w:marBottom w:val="0"/>
      <w:divBdr>
        <w:top w:val="none" w:sz="0" w:space="0" w:color="auto"/>
        <w:left w:val="none" w:sz="0" w:space="0" w:color="auto"/>
        <w:bottom w:val="none" w:sz="0" w:space="0" w:color="auto"/>
        <w:right w:val="none" w:sz="0" w:space="0" w:color="auto"/>
      </w:divBdr>
    </w:div>
    <w:div w:id="1387680608">
      <w:bodyDiv w:val="1"/>
      <w:marLeft w:val="0"/>
      <w:marRight w:val="0"/>
      <w:marTop w:val="0"/>
      <w:marBottom w:val="0"/>
      <w:divBdr>
        <w:top w:val="none" w:sz="0" w:space="0" w:color="auto"/>
        <w:left w:val="none" w:sz="0" w:space="0" w:color="auto"/>
        <w:bottom w:val="none" w:sz="0" w:space="0" w:color="auto"/>
        <w:right w:val="none" w:sz="0" w:space="0" w:color="auto"/>
      </w:divBdr>
    </w:div>
    <w:div w:id="1403597350">
      <w:bodyDiv w:val="1"/>
      <w:marLeft w:val="0"/>
      <w:marRight w:val="0"/>
      <w:marTop w:val="0"/>
      <w:marBottom w:val="0"/>
      <w:divBdr>
        <w:top w:val="none" w:sz="0" w:space="0" w:color="auto"/>
        <w:left w:val="none" w:sz="0" w:space="0" w:color="auto"/>
        <w:bottom w:val="none" w:sz="0" w:space="0" w:color="auto"/>
        <w:right w:val="none" w:sz="0" w:space="0" w:color="auto"/>
      </w:divBdr>
    </w:div>
    <w:div w:id="1409963681">
      <w:bodyDiv w:val="1"/>
      <w:marLeft w:val="0"/>
      <w:marRight w:val="0"/>
      <w:marTop w:val="0"/>
      <w:marBottom w:val="0"/>
      <w:divBdr>
        <w:top w:val="none" w:sz="0" w:space="0" w:color="auto"/>
        <w:left w:val="none" w:sz="0" w:space="0" w:color="auto"/>
        <w:bottom w:val="none" w:sz="0" w:space="0" w:color="auto"/>
        <w:right w:val="none" w:sz="0" w:space="0" w:color="auto"/>
      </w:divBdr>
    </w:div>
    <w:div w:id="1446728083">
      <w:bodyDiv w:val="1"/>
      <w:marLeft w:val="0"/>
      <w:marRight w:val="0"/>
      <w:marTop w:val="0"/>
      <w:marBottom w:val="0"/>
      <w:divBdr>
        <w:top w:val="none" w:sz="0" w:space="0" w:color="auto"/>
        <w:left w:val="none" w:sz="0" w:space="0" w:color="auto"/>
        <w:bottom w:val="none" w:sz="0" w:space="0" w:color="auto"/>
        <w:right w:val="none" w:sz="0" w:space="0" w:color="auto"/>
      </w:divBdr>
    </w:div>
    <w:div w:id="1461611876">
      <w:bodyDiv w:val="1"/>
      <w:marLeft w:val="0"/>
      <w:marRight w:val="0"/>
      <w:marTop w:val="0"/>
      <w:marBottom w:val="0"/>
      <w:divBdr>
        <w:top w:val="none" w:sz="0" w:space="0" w:color="auto"/>
        <w:left w:val="none" w:sz="0" w:space="0" w:color="auto"/>
        <w:bottom w:val="none" w:sz="0" w:space="0" w:color="auto"/>
        <w:right w:val="none" w:sz="0" w:space="0" w:color="auto"/>
      </w:divBdr>
    </w:div>
    <w:div w:id="1513296355">
      <w:bodyDiv w:val="1"/>
      <w:marLeft w:val="0"/>
      <w:marRight w:val="0"/>
      <w:marTop w:val="0"/>
      <w:marBottom w:val="0"/>
      <w:divBdr>
        <w:top w:val="none" w:sz="0" w:space="0" w:color="auto"/>
        <w:left w:val="none" w:sz="0" w:space="0" w:color="auto"/>
        <w:bottom w:val="none" w:sz="0" w:space="0" w:color="auto"/>
        <w:right w:val="none" w:sz="0" w:space="0" w:color="auto"/>
      </w:divBdr>
    </w:div>
    <w:div w:id="1514032352">
      <w:bodyDiv w:val="1"/>
      <w:marLeft w:val="0"/>
      <w:marRight w:val="0"/>
      <w:marTop w:val="0"/>
      <w:marBottom w:val="0"/>
      <w:divBdr>
        <w:top w:val="none" w:sz="0" w:space="0" w:color="auto"/>
        <w:left w:val="none" w:sz="0" w:space="0" w:color="auto"/>
        <w:bottom w:val="none" w:sz="0" w:space="0" w:color="auto"/>
        <w:right w:val="none" w:sz="0" w:space="0" w:color="auto"/>
      </w:divBdr>
    </w:div>
    <w:div w:id="1543708055">
      <w:bodyDiv w:val="1"/>
      <w:marLeft w:val="0"/>
      <w:marRight w:val="0"/>
      <w:marTop w:val="0"/>
      <w:marBottom w:val="0"/>
      <w:divBdr>
        <w:top w:val="none" w:sz="0" w:space="0" w:color="auto"/>
        <w:left w:val="none" w:sz="0" w:space="0" w:color="auto"/>
        <w:bottom w:val="none" w:sz="0" w:space="0" w:color="auto"/>
        <w:right w:val="none" w:sz="0" w:space="0" w:color="auto"/>
      </w:divBdr>
    </w:div>
    <w:div w:id="1593201713">
      <w:bodyDiv w:val="1"/>
      <w:marLeft w:val="0"/>
      <w:marRight w:val="0"/>
      <w:marTop w:val="0"/>
      <w:marBottom w:val="0"/>
      <w:divBdr>
        <w:top w:val="none" w:sz="0" w:space="0" w:color="auto"/>
        <w:left w:val="none" w:sz="0" w:space="0" w:color="auto"/>
        <w:bottom w:val="none" w:sz="0" w:space="0" w:color="auto"/>
        <w:right w:val="none" w:sz="0" w:space="0" w:color="auto"/>
      </w:divBdr>
    </w:div>
    <w:div w:id="1668285097">
      <w:bodyDiv w:val="1"/>
      <w:marLeft w:val="0"/>
      <w:marRight w:val="0"/>
      <w:marTop w:val="0"/>
      <w:marBottom w:val="0"/>
      <w:divBdr>
        <w:top w:val="none" w:sz="0" w:space="0" w:color="auto"/>
        <w:left w:val="none" w:sz="0" w:space="0" w:color="auto"/>
        <w:bottom w:val="none" w:sz="0" w:space="0" w:color="auto"/>
        <w:right w:val="none" w:sz="0" w:space="0" w:color="auto"/>
      </w:divBdr>
    </w:div>
    <w:div w:id="1711496173">
      <w:bodyDiv w:val="1"/>
      <w:marLeft w:val="0"/>
      <w:marRight w:val="0"/>
      <w:marTop w:val="0"/>
      <w:marBottom w:val="0"/>
      <w:divBdr>
        <w:top w:val="none" w:sz="0" w:space="0" w:color="auto"/>
        <w:left w:val="none" w:sz="0" w:space="0" w:color="auto"/>
        <w:bottom w:val="none" w:sz="0" w:space="0" w:color="auto"/>
        <w:right w:val="none" w:sz="0" w:space="0" w:color="auto"/>
      </w:divBdr>
    </w:div>
    <w:div w:id="1743798755">
      <w:bodyDiv w:val="1"/>
      <w:marLeft w:val="0"/>
      <w:marRight w:val="0"/>
      <w:marTop w:val="0"/>
      <w:marBottom w:val="0"/>
      <w:divBdr>
        <w:top w:val="none" w:sz="0" w:space="0" w:color="auto"/>
        <w:left w:val="none" w:sz="0" w:space="0" w:color="auto"/>
        <w:bottom w:val="none" w:sz="0" w:space="0" w:color="auto"/>
        <w:right w:val="none" w:sz="0" w:space="0" w:color="auto"/>
      </w:divBdr>
    </w:div>
    <w:div w:id="1801000271">
      <w:bodyDiv w:val="1"/>
      <w:marLeft w:val="0"/>
      <w:marRight w:val="0"/>
      <w:marTop w:val="0"/>
      <w:marBottom w:val="0"/>
      <w:divBdr>
        <w:top w:val="none" w:sz="0" w:space="0" w:color="auto"/>
        <w:left w:val="none" w:sz="0" w:space="0" w:color="auto"/>
        <w:bottom w:val="none" w:sz="0" w:space="0" w:color="auto"/>
        <w:right w:val="none" w:sz="0" w:space="0" w:color="auto"/>
      </w:divBdr>
    </w:div>
    <w:div w:id="1801264057">
      <w:bodyDiv w:val="1"/>
      <w:marLeft w:val="0"/>
      <w:marRight w:val="0"/>
      <w:marTop w:val="0"/>
      <w:marBottom w:val="0"/>
      <w:divBdr>
        <w:top w:val="none" w:sz="0" w:space="0" w:color="auto"/>
        <w:left w:val="none" w:sz="0" w:space="0" w:color="auto"/>
        <w:bottom w:val="none" w:sz="0" w:space="0" w:color="auto"/>
        <w:right w:val="none" w:sz="0" w:space="0" w:color="auto"/>
      </w:divBdr>
    </w:div>
    <w:div w:id="1819346156">
      <w:bodyDiv w:val="1"/>
      <w:marLeft w:val="0"/>
      <w:marRight w:val="0"/>
      <w:marTop w:val="0"/>
      <w:marBottom w:val="0"/>
      <w:divBdr>
        <w:top w:val="none" w:sz="0" w:space="0" w:color="auto"/>
        <w:left w:val="none" w:sz="0" w:space="0" w:color="auto"/>
        <w:bottom w:val="none" w:sz="0" w:space="0" w:color="auto"/>
        <w:right w:val="none" w:sz="0" w:space="0" w:color="auto"/>
      </w:divBdr>
    </w:div>
    <w:div w:id="1883904061">
      <w:bodyDiv w:val="1"/>
      <w:marLeft w:val="0"/>
      <w:marRight w:val="0"/>
      <w:marTop w:val="0"/>
      <w:marBottom w:val="0"/>
      <w:divBdr>
        <w:top w:val="none" w:sz="0" w:space="0" w:color="auto"/>
        <w:left w:val="none" w:sz="0" w:space="0" w:color="auto"/>
        <w:bottom w:val="none" w:sz="0" w:space="0" w:color="auto"/>
        <w:right w:val="none" w:sz="0" w:space="0" w:color="auto"/>
      </w:divBdr>
    </w:div>
    <w:div w:id="1915159669">
      <w:bodyDiv w:val="1"/>
      <w:marLeft w:val="0"/>
      <w:marRight w:val="0"/>
      <w:marTop w:val="0"/>
      <w:marBottom w:val="0"/>
      <w:divBdr>
        <w:top w:val="none" w:sz="0" w:space="0" w:color="auto"/>
        <w:left w:val="none" w:sz="0" w:space="0" w:color="auto"/>
        <w:bottom w:val="none" w:sz="0" w:space="0" w:color="auto"/>
        <w:right w:val="none" w:sz="0" w:space="0" w:color="auto"/>
      </w:divBdr>
    </w:div>
    <w:div w:id="1922524787">
      <w:bodyDiv w:val="1"/>
      <w:marLeft w:val="0"/>
      <w:marRight w:val="0"/>
      <w:marTop w:val="0"/>
      <w:marBottom w:val="0"/>
      <w:divBdr>
        <w:top w:val="none" w:sz="0" w:space="0" w:color="auto"/>
        <w:left w:val="none" w:sz="0" w:space="0" w:color="auto"/>
        <w:bottom w:val="none" w:sz="0" w:space="0" w:color="auto"/>
        <w:right w:val="none" w:sz="0" w:space="0" w:color="auto"/>
      </w:divBdr>
    </w:div>
    <w:div w:id="1951888873">
      <w:bodyDiv w:val="1"/>
      <w:marLeft w:val="0"/>
      <w:marRight w:val="0"/>
      <w:marTop w:val="0"/>
      <w:marBottom w:val="0"/>
      <w:divBdr>
        <w:top w:val="none" w:sz="0" w:space="0" w:color="auto"/>
        <w:left w:val="none" w:sz="0" w:space="0" w:color="auto"/>
        <w:bottom w:val="none" w:sz="0" w:space="0" w:color="auto"/>
        <w:right w:val="none" w:sz="0" w:space="0" w:color="auto"/>
      </w:divBdr>
    </w:div>
    <w:div w:id="1953124815">
      <w:bodyDiv w:val="1"/>
      <w:marLeft w:val="0"/>
      <w:marRight w:val="0"/>
      <w:marTop w:val="0"/>
      <w:marBottom w:val="0"/>
      <w:divBdr>
        <w:top w:val="none" w:sz="0" w:space="0" w:color="auto"/>
        <w:left w:val="none" w:sz="0" w:space="0" w:color="auto"/>
        <w:bottom w:val="none" w:sz="0" w:space="0" w:color="auto"/>
        <w:right w:val="none" w:sz="0" w:space="0" w:color="auto"/>
      </w:divBdr>
    </w:div>
    <w:div w:id="2044860297">
      <w:bodyDiv w:val="1"/>
      <w:marLeft w:val="0"/>
      <w:marRight w:val="0"/>
      <w:marTop w:val="0"/>
      <w:marBottom w:val="0"/>
      <w:divBdr>
        <w:top w:val="none" w:sz="0" w:space="0" w:color="auto"/>
        <w:left w:val="none" w:sz="0" w:space="0" w:color="auto"/>
        <w:bottom w:val="none" w:sz="0" w:space="0" w:color="auto"/>
        <w:right w:val="none" w:sz="0" w:space="0" w:color="auto"/>
      </w:divBdr>
    </w:div>
    <w:div w:id="2066828248">
      <w:bodyDiv w:val="1"/>
      <w:marLeft w:val="0"/>
      <w:marRight w:val="0"/>
      <w:marTop w:val="0"/>
      <w:marBottom w:val="0"/>
      <w:divBdr>
        <w:top w:val="none" w:sz="0" w:space="0" w:color="auto"/>
        <w:left w:val="none" w:sz="0" w:space="0" w:color="auto"/>
        <w:bottom w:val="none" w:sz="0" w:space="0" w:color="auto"/>
        <w:right w:val="none" w:sz="0" w:space="0" w:color="auto"/>
      </w:divBdr>
    </w:div>
    <w:div w:id="2101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nc-nd/4.0/legalcod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b.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cc@abcb.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cb.gov.a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bcb.gov.au/Resources/Publications/Corporate/Inter-Governmental-Agreement" TargetMode="External"/><Relationship Id="rId1" Type="http://schemas.openxmlformats.org/officeDocument/2006/relationships/hyperlink" Target="http://www.pc.gov.au/research/ongoing/report-on-government-services/2017/emergency-management/fire-servic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ochub/div/australianbuildingcodesboard/businessfunctions/consultation/regulationimpactanalysis/docs/Class%202%20and%203%20tasks%20and%20stat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ochub/div/australianbuildingcodesboard/businessfunctions/consultation/regulationimpactanalysis/docs/Class%202%20and%203%20tasks%20and%20statu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'Effectiveness from EFT 2575'!$M$1</c:f>
              <c:strCache>
                <c:ptCount val="1"/>
                <c:pt idx="0">
                  <c:v>Fatalities/1000 fires </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2BA9-4D40-86EE-8B76F22623EA}"/>
              </c:ext>
            </c:extLst>
          </c:dPt>
          <c:cat>
            <c:strRef>
              <c:f>'Effectiveness from EFT 2575'!$J$3:$J$8</c:f>
              <c:strCache>
                <c:ptCount val="6"/>
                <c:pt idx="0">
                  <c:v>Hardwired alarm and wet pipe sprinkler system</c:v>
                </c:pt>
                <c:pt idx="1">
                  <c:v>Any smoke alarm and automatic extinguishing system</c:v>
                </c:pt>
                <c:pt idx="2">
                  <c:v>Hardwired Alarm only</c:v>
                </c:pt>
                <c:pt idx="3">
                  <c:v>Any alarm only</c:v>
                </c:pt>
                <c:pt idx="4">
                  <c:v>Battery alarm only </c:v>
                </c:pt>
                <c:pt idx="5">
                  <c:v>No alarm or sprinklers</c:v>
                </c:pt>
              </c:strCache>
            </c:strRef>
          </c:cat>
          <c:val>
            <c:numRef>
              <c:f>'Effectiveness from EFT 2575'!$M$3:$M$8</c:f>
              <c:numCache>
                <c:formatCode>General</c:formatCode>
                <c:ptCount val="6"/>
                <c:pt idx="0">
                  <c:v>0.16</c:v>
                </c:pt>
                <c:pt idx="1">
                  <c:v>0.19</c:v>
                </c:pt>
                <c:pt idx="2">
                  <c:v>0.47</c:v>
                </c:pt>
                <c:pt idx="3">
                  <c:v>0.73</c:v>
                </c:pt>
                <c:pt idx="4">
                  <c:v>0.86</c:v>
                </c:pt>
                <c:pt idx="5">
                  <c:v>1</c:v>
                </c:pt>
              </c:numCache>
            </c:numRef>
          </c:val>
          <c:extLst>
            <c:ext xmlns:c16="http://schemas.microsoft.com/office/drawing/2014/chart" uri="{C3380CC4-5D6E-409C-BE32-E72D297353CC}">
              <c16:uniqueId val="{00000002-2BA9-4D40-86EE-8B76F22623EA}"/>
            </c:ext>
          </c:extLst>
        </c:ser>
        <c:dLbls>
          <c:showLegendKey val="0"/>
          <c:showVal val="0"/>
          <c:showCatName val="0"/>
          <c:showSerName val="0"/>
          <c:showPercent val="0"/>
          <c:showBubbleSize val="0"/>
        </c:dLbls>
        <c:gapWidth val="219"/>
        <c:overlap val="-27"/>
        <c:axId val="851752496"/>
        <c:axId val="851751320"/>
      </c:barChart>
      <c:catAx>
        <c:axId val="85175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751320"/>
        <c:crosses val="autoZero"/>
        <c:auto val="1"/>
        <c:lblAlgn val="ctr"/>
        <c:lblOffset val="100"/>
        <c:noMultiLvlLbl val="0"/>
      </c:catAx>
      <c:valAx>
        <c:axId val="8517513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752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1169383853128"/>
          <c:y val="3.5294117647058823E-2"/>
          <c:w val="0.75206033318942178"/>
          <c:h val="0.83743832020997377"/>
        </c:manualLayout>
      </c:layout>
      <c:lineChart>
        <c:grouping val="standard"/>
        <c:varyColors val="0"/>
        <c:ser>
          <c:idx val="0"/>
          <c:order val="0"/>
          <c:tx>
            <c:strRef>
              <c:f>'Rate of Fire &amp; Fataility 00-15'!$B$1</c:f>
              <c:strCache>
                <c:ptCount val="1"/>
                <c:pt idx="0">
                  <c:v>Fatalities (LHS)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'Rate of Fire &amp; Fataility 00-15'!$A$2:$A$16</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'Rate of Fire &amp; Fataility 00-15'!$B$2:$B$16</c:f>
              <c:numCache>
                <c:formatCode>General</c:formatCode>
                <c:ptCount val="15"/>
                <c:pt idx="0">
                  <c:v>5</c:v>
                </c:pt>
                <c:pt idx="1">
                  <c:v>3</c:v>
                </c:pt>
                <c:pt idx="2">
                  <c:v>4</c:v>
                </c:pt>
                <c:pt idx="3">
                  <c:v>4</c:v>
                </c:pt>
                <c:pt idx="4">
                  <c:v>3</c:v>
                </c:pt>
                <c:pt idx="5">
                  <c:v>4</c:v>
                </c:pt>
                <c:pt idx="6">
                  <c:v>1</c:v>
                </c:pt>
                <c:pt idx="7">
                  <c:v>2</c:v>
                </c:pt>
                <c:pt idx="8">
                  <c:v>3</c:v>
                </c:pt>
                <c:pt idx="9">
                  <c:v>3</c:v>
                </c:pt>
                <c:pt idx="10">
                  <c:v>3</c:v>
                </c:pt>
                <c:pt idx="11">
                  <c:v>0</c:v>
                </c:pt>
                <c:pt idx="12">
                  <c:v>2</c:v>
                </c:pt>
                <c:pt idx="13">
                  <c:v>5</c:v>
                </c:pt>
                <c:pt idx="14">
                  <c:v>1</c:v>
                </c:pt>
              </c:numCache>
            </c:numRef>
          </c:val>
          <c:smooth val="0"/>
          <c:extLst>
            <c:ext xmlns:c16="http://schemas.microsoft.com/office/drawing/2014/chart" uri="{C3380CC4-5D6E-409C-BE32-E72D297353CC}">
              <c16:uniqueId val="{00000001-9B82-4196-99F2-E43794D63719}"/>
            </c:ext>
          </c:extLst>
        </c:ser>
        <c:dLbls>
          <c:showLegendKey val="0"/>
          <c:showVal val="0"/>
          <c:showCatName val="0"/>
          <c:showSerName val="0"/>
          <c:showPercent val="0"/>
          <c:showBubbleSize val="0"/>
        </c:dLbls>
        <c:marker val="1"/>
        <c:smooth val="0"/>
        <c:axId val="659140768"/>
        <c:axId val="659139984"/>
      </c:lineChart>
      <c:lineChart>
        <c:grouping val="standard"/>
        <c:varyColors val="0"/>
        <c:ser>
          <c:idx val="1"/>
          <c:order val="1"/>
          <c:tx>
            <c:strRef>
              <c:f>'Rate of Fire &amp; Fataility 00-15'!$C$1</c:f>
              <c:strCache>
                <c:ptCount val="1"/>
                <c:pt idx="0">
                  <c:v>Rate of fire (RHS)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'Rate of Fire &amp; Fataility 00-15'!$A$2:$A$16</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'Rate of Fire &amp; Fataility 00-15'!$C$2:$C$16</c:f>
              <c:numCache>
                <c:formatCode>General</c:formatCode>
                <c:ptCount val="15"/>
                <c:pt idx="0">
                  <c:v>#N/A</c:v>
                </c:pt>
                <c:pt idx="1">
                  <c:v>#N/A</c:v>
                </c:pt>
                <c:pt idx="2">
                  <c:v>#N/A</c:v>
                </c:pt>
                <c:pt idx="3">
                  <c:v>#N/A</c:v>
                </c:pt>
                <c:pt idx="4">
                  <c:v>#N/A</c:v>
                </c:pt>
                <c:pt idx="5">
                  <c:v>106.1</c:v>
                </c:pt>
                <c:pt idx="6">
                  <c:v>108.8</c:v>
                </c:pt>
                <c:pt idx="7">
                  <c:v>106.8</c:v>
                </c:pt>
                <c:pt idx="8">
                  <c:v>104.8</c:v>
                </c:pt>
                <c:pt idx="9">
                  <c:v>100.8</c:v>
                </c:pt>
                <c:pt idx="10">
                  <c:v>97.8</c:v>
                </c:pt>
                <c:pt idx="11">
                  <c:v>97</c:v>
                </c:pt>
                <c:pt idx="12">
                  <c:v>88.1</c:v>
                </c:pt>
                <c:pt idx="13">
                  <c:v>84.5</c:v>
                </c:pt>
                <c:pt idx="14">
                  <c:v>81.900000000000006</c:v>
                </c:pt>
              </c:numCache>
            </c:numRef>
          </c:val>
          <c:smooth val="0"/>
          <c:extLst>
            <c:ext xmlns:c16="http://schemas.microsoft.com/office/drawing/2014/chart" uri="{C3380CC4-5D6E-409C-BE32-E72D297353CC}">
              <c16:uniqueId val="{00000003-9B82-4196-99F2-E43794D63719}"/>
            </c:ext>
          </c:extLst>
        </c:ser>
        <c:dLbls>
          <c:showLegendKey val="0"/>
          <c:showVal val="0"/>
          <c:showCatName val="0"/>
          <c:showSerName val="0"/>
          <c:showPercent val="0"/>
          <c:showBubbleSize val="0"/>
        </c:dLbls>
        <c:marker val="1"/>
        <c:smooth val="0"/>
        <c:axId val="850489168"/>
        <c:axId val="850489560"/>
      </c:lineChart>
      <c:valAx>
        <c:axId val="659139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fire related fatalities in Class 2 and Class</a:t>
                </a:r>
                <a:r>
                  <a:rPr lang="en-US" baseline="0"/>
                  <a:t> 3</a:t>
                </a:r>
                <a:r>
                  <a:rPr lang="en-US"/>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140768"/>
        <c:crosses val="autoZero"/>
        <c:crossBetween val="between"/>
      </c:valAx>
      <c:catAx>
        <c:axId val="659140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139984"/>
        <c:crosses val="autoZero"/>
        <c:auto val="1"/>
        <c:lblAlgn val="ctr"/>
        <c:lblOffset val="100"/>
        <c:noMultiLvlLbl val="0"/>
      </c:catAx>
      <c:valAx>
        <c:axId val="85048956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Accidential</a:t>
                </a:r>
                <a:r>
                  <a:rPr lang="en-US" baseline="0"/>
                  <a:t> residential structure fires per 100,000 households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489168"/>
        <c:crosses val="max"/>
        <c:crossBetween val="between"/>
      </c:valAx>
      <c:catAx>
        <c:axId val="850489168"/>
        <c:scaling>
          <c:orientation val="minMax"/>
        </c:scaling>
        <c:delete val="1"/>
        <c:axPos val="b"/>
        <c:numFmt formatCode="General" sourceLinked="1"/>
        <c:majorTickMark val="out"/>
        <c:minorTickMark val="none"/>
        <c:tickLblPos val="nextTo"/>
        <c:crossAx val="850489560"/>
        <c:crosses val="autoZero"/>
        <c:auto val="1"/>
        <c:lblAlgn val="ctr"/>
        <c:lblOffset val="100"/>
        <c:noMultiLvlLbl val="0"/>
      </c:cat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NRC05</b:Tag>
    <b:SourceType>BookSection</b:SourceType>
    <b:Guid>{79A987FD-3F18-42F6-92A7-15E128B10801}</b:Guid>
    <b:Title>International Fire Engineering Guidelines</b:Title>
    <b:Year>2005</b:Year>
    <b:Publisher>Australian Building Codes Board</b:Publisher>
    <b:Author>
      <b:Author>
        <b:NameList>
          <b:Person>
            <b:Last>NRC</b:Last>
            <b:First>ICC,</b:First>
            <b:Middle>DBH and ABCB</b:Middle>
          </b:Person>
        </b:NameList>
      </b:Author>
    </b:Author>
    <b:BookTitle>Occupant Evacuation and Control Sub-System E</b:BookTitle>
    <b:Pages>1.8-1,1.8-15</b:Pages>
    <b:RefOrder>2</b:RefOrder>
  </b:Source>
</b:Sources>
</file>

<file path=customXml/itemProps1.xml><?xml version="1.0" encoding="utf-8"?>
<ds:datastoreItem xmlns:ds="http://schemas.openxmlformats.org/officeDocument/2006/customXml" ds:itemID="{DF7745B3-800E-429E-97B7-48C97F1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16061</Words>
  <Characters>91549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Decision RIS: Fire safety in Class 2 and 3 residential buildings</dc:title>
  <dc:subject/>
  <dc:creator/>
  <cp:keywords/>
  <dc:description/>
  <cp:lastModifiedBy/>
  <cp:revision>1</cp:revision>
  <dcterms:created xsi:type="dcterms:W3CDTF">2018-12-17T05:01:00Z</dcterms:created>
  <dcterms:modified xsi:type="dcterms:W3CDTF">2018-12-17T05:10:00Z</dcterms:modified>
</cp:coreProperties>
</file>