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792" w:rsidRDefault="00BC2783" w:rsidP="00F02722">
      <w:pPr>
        <w:rPr>
          <w:rFonts w:eastAsia="Calibri" w:cs="Arial"/>
          <w:szCs w:val="20"/>
        </w:rPr>
        <w:sectPr w:rsidR="00E55792" w:rsidSect="00ED08A5">
          <w:footerReference w:type="default" r:id="rId8"/>
          <w:pgSz w:w="11906" w:h="16838" w:code="9"/>
          <w:pgMar w:top="1418" w:right="1418" w:bottom="1418" w:left="1418" w:header="567" w:footer="567" w:gutter="0"/>
          <w:pgNumType w:start="1"/>
          <w:cols w:space="708"/>
          <w:docGrid w:linePitch="360"/>
        </w:sectPr>
      </w:pPr>
      <w:r w:rsidRPr="00BC2783">
        <w:rPr>
          <w:rFonts w:eastAsia="Calibri" w:cs="Arial"/>
          <w:noProof/>
          <w:szCs w:val="20"/>
          <w:lang w:eastAsia="en-AU"/>
        </w:rPr>
        <w:drawing>
          <wp:inline distT="0" distB="0" distL="0" distR="0" wp14:anchorId="1141A76C" wp14:editId="69E463F4">
            <wp:extent cx="6254969" cy="88631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254969" cy="8863130"/>
                    </a:xfrm>
                    <a:prstGeom prst="rect">
                      <a:avLst/>
                    </a:prstGeom>
                    <a:noFill/>
                    <a:ln>
                      <a:noFill/>
                    </a:ln>
                  </pic:spPr>
                </pic:pic>
              </a:graphicData>
            </a:graphic>
          </wp:inline>
        </w:drawing>
      </w:r>
    </w:p>
    <w:p w:rsidR="00E4642F" w:rsidRPr="00315CC1" w:rsidRDefault="00E4642F" w:rsidP="00F02722">
      <w:pPr>
        <w:rPr>
          <w:rFonts w:eastAsia="Calibri" w:cs="Arial"/>
          <w:szCs w:val="20"/>
        </w:rPr>
      </w:pPr>
      <w:r w:rsidRPr="00315CC1">
        <w:rPr>
          <w:rFonts w:eastAsia="Calibri" w:cs="Arial"/>
          <w:szCs w:val="20"/>
        </w:rPr>
        <w:lastRenderedPageBreak/>
        <w:t xml:space="preserve">The Australian Building Codes Board has developed this </w:t>
      </w:r>
      <w:r w:rsidR="00F56855">
        <w:rPr>
          <w:rFonts w:eastAsia="Calibri" w:cs="Arial"/>
          <w:szCs w:val="20"/>
        </w:rPr>
        <w:t>Decision</w:t>
      </w:r>
      <w:r w:rsidR="006E3E41">
        <w:rPr>
          <w:rFonts w:eastAsia="Calibri" w:cs="Arial"/>
          <w:szCs w:val="20"/>
        </w:rPr>
        <w:t xml:space="preserve"> </w:t>
      </w:r>
      <w:r w:rsidRPr="00315CC1">
        <w:rPr>
          <w:rFonts w:eastAsia="Calibri" w:cs="Arial"/>
          <w:szCs w:val="20"/>
        </w:rPr>
        <w:t xml:space="preserve">Regulation Impact Statement, which accords with the requirements of </w:t>
      </w:r>
      <w:r w:rsidRPr="00315CC1">
        <w:rPr>
          <w:rFonts w:eastAsia="Calibri" w:cs="Arial"/>
          <w:i/>
          <w:szCs w:val="20"/>
        </w:rPr>
        <w:t>Best Practice Regulation: A Guide for Ministerial Councils and National Standard Setting Bodies</w:t>
      </w:r>
      <w:r w:rsidRPr="00315CC1">
        <w:rPr>
          <w:rFonts w:eastAsia="Calibri" w:cs="Arial"/>
          <w:szCs w:val="20"/>
        </w:rPr>
        <w:t>, as endorsed by the Council of Australian Governments in 2007. Its purpose is to inform interested parties and to assist the Australian Building Codes Board in its decision making on proposed amendments to the National Construction Code.</w:t>
      </w:r>
    </w:p>
    <w:p w:rsidR="00E4642F" w:rsidRPr="004B6216" w:rsidRDefault="00E4642F" w:rsidP="00AE3C78">
      <w:pPr>
        <w:pStyle w:val="Heading1"/>
        <w:spacing w:before="360" w:after="0"/>
      </w:pPr>
      <w:bookmarkStart w:id="0" w:name="_Toc33098405"/>
      <w:bookmarkStart w:id="1" w:name="_Toc33098864"/>
      <w:r w:rsidRPr="004B6216">
        <w:t>The Australian Building Codes Board</w:t>
      </w:r>
      <w:bookmarkEnd w:id="0"/>
      <w:bookmarkEnd w:id="1"/>
    </w:p>
    <w:p w:rsidR="00E4642F" w:rsidRPr="00ED08A5" w:rsidRDefault="00E4642F" w:rsidP="00B8031E">
      <w:pPr>
        <w:spacing w:before="0" w:after="120"/>
      </w:pPr>
      <w:r w:rsidRPr="00ED08A5">
        <w:t xml:space="preserve">The Australian Building Codes Board (ABCB) is a joint initiative of all levels of government in Australia, together with the building industry. Its objective is to oversee issues relating to safety, </w:t>
      </w:r>
      <w:r w:rsidRPr="00ED08A5">
        <w:rPr>
          <w:rFonts w:eastAsiaTheme="minorEastAsia"/>
        </w:rPr>
        <w:t xml:space="preserve">health, amenity, </w:t>
      </w:r>
      <w:r w:rsidRPr="00ED08A5">
        <w:t>accessibility and sustainability in building. The ABCB promotes efficie</w:t>
      </w:r>
      <w:r w:rsidR="005955CC" w:rsidRPr="00ED08A5">
        <w:t xml:space="preserve">ncy in the design, construction, </w:t>
      </w:r>
      <w:r w:rsidRPr="00ED08A5">
        <w:t xml:space="preserve">performance and liveability of buildings through the National Construction Code (NCC), and the development of effective regulatory and non-regulatory approaches. The Board aims to establish effective and proportional codes, standards and regulatory systems that are consistent between States and Territories. For more information see </w:t>
      </w:r>
      <w:hyperlink r:id="rId10" w:history="1">
        <w:r w:rsidRPr="00ED08A5">
          <w:t>the ABCB website</w:t>
        </w:r>
      </w:hyperlink>
      <w:r w:rsidRPr="00ED08A5">
        <w:t xml:space="preserve"> (abcb.gov.au).</w:t>
      </w:r>
    </w:p>
    <w:p w:rsidR="00375CD3" w:rsidRDefault="00375CD3" w:rsidP="00B8031E">
      <w:pPr>
        <w:spacing w:before="120" w:after="120"/>
        <w:rPr>
          <w:rFonts w:eastAsia="Times New Roman" w:cs="Times"/>
          <w:b/>
          <w:color w:val="FFFFFF"/>
          <w:szCs w:val="24"/>
        </w:rPr>
      </w:pPr>
      <w:bookmarkStart w:id="2" w:name="QuickMark"/>
      <w:r>
        <w:br w:type="page"/>
      </w:r>
    </w:p>
    <w:p w:rsidR="00375CD3" w:rsidRPr="00315CC1" w:rsidRDefault="00375CD3" w:rsidP="00375CD3">
      <w:pPr>
        <w:pStyle w:val="Heading-Legal"/>
        <w:rPr>
          <w:rFonts w:cs="Arial"/>
          <w:sz w:val="20"/>
          <w:szCs w:val="20"/>
        </w:rPr>
      </w:pPr>
      <w:r w:rsidRPr="00315CC1">
        <w:rPr>
          <w:rFonts w:cs="Arial"/>
          <w:sz w:val="20"/>
          <w:szCs w:val="20"/>
        </w:rPr>
        <w:lastRenderedPageBreak/>
        <w:t xml:space="preserve">Copyright </w:t>
      </w:r>
    </w:p>
    <w:p w:rsidR="00375CD3" w:rsidRPr="00315CC1" w:rsidRDefault="00375CD3" w:rsidP="00375CD3">
      <w:pPr>
        <w:spacing w:after="120" w:line="240" w:lineRule="auto"/>
        <w:rPr>
          <w:rFonts w:cs="Arial"/>
          <w:b/>
          <w:bCs/>
          <w:sz w:val="20"/>
          <w:szCs w:val="20"/>
        </w:rPr>
      </w:pPr>
      <w:r w:rsidRPr="00315CC1">
        <w:rPr>
          <w:rFonts w:cs="Arial"/>
          <w:b/>
          <w:bCs/>
          <w:sz w:val="20"/>
          <w:szCs w:val="20"/>
        </w:rPr>
        <w:t>© Commonwealth of Australia and States and Territories of Australia 20</w:t>
      </w:r>
      <w:r w:rsidR="002A3465" w:rsidRPr="00315CC1">
        <w:rPr>
          <w:rFonts w:cs="Arial"/>
          <w:b/>
          <w:bCs/>
          <w:sz w:val="20"/>
          <w:szCs w:val="20"/>
        </w:rPr>
        <w:t>20</w:t>
      </w:r>
      <w:r w:rsidRPr="00315CC1">
        <w:rPr>
          <w:rFonts w:cs="Arial"/>
          <w:b/>
          <w:bCs/>
          <w:sz w:val="20"/>
          <w:szCs w:val="20"/>
        </w:rPr>
        <w:t>, published by the Australian Building Codes Board.</w:t>
      </w:r>
    </w:p>
    <w:p w:rsidR="00375CD3" w:rsidRPr="00315CC1" w:rsidRDefault="00375CD3" w:rsidP="00375CD3">
      <w:pPr>
        <w:spacing w:before="120" w:after="120" w:line="240" w:lineRule="auto"/>
        <w:jc w:val="center"/>
        <w:rPr>
          <w:rFonts w:cs="Arial"/>
          <w:b/>
          <w:bCs/>
          <w:sz w:val="20"/>
          <w:szCs w:val="20"/>
        </w:rPr>
      </w:pPr>
      <w:r w:rsidRPr="00315CC1">
        <w:rPr>
          <w:rFonts w:cs="Arial"/>
          <w:b/>
          <w:bCs/>
          <w:noProof/>
          <w:sz w:val="20"/>
          <w:szCs w:val="20"/>
          <w:lang w:eastAsia="en-AU"/>
        </w:rPr>
        <w:drawing>
          <wp:inline distT="0" distB="0" distL="0" distR="0" wp14:anchorId="2DEAF53B" wp14:editId="29CEB45F">
            <wp:extent cx="1024000" cy="360000"/>
            <wp:effectExtent l="0" t="0" r="5080" b="2540"/>
            <wp:docPr id="5" name="Picture 5" descr="Visual representation of the CC B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12px-CC-BY_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4000" cy="360000"/>
                    </a:xfrm>
                    <a:prstGeom prst="rect">
                      <a:avLst/>
                    </a:prstGeom>
                  </pic:spPr>
                </pic:pic>
              </a:graphicData>
            </a:graphic>
          </wp:inline>
        </w:drawing>
      </w:r>
    </w:p>
    <w:p w:rsidR="00375CD3" w:rsidRPr="00315CC1" w:rsidRDefault="00375CD3" w:rsidP="00375CD3">
      <w:pPr>
        <w:spacing w:after="120" w:line="240" w:lineRule="auto"/>
        <w:rPr>
          <w:rFonts w:cs="Arial"/>
          <w:sz w:val="20"/>
          <w:szCs w:val="20"/>
        </w:rPr>
        <w:sectPr w:rsidR="00375CD3" w:rsidRPr="00315CC1" w:rsidSect="00ED08A5">
          <w:headerReference w:type="default" r:id="rId12"/>
          <w:pgSz w:w="11906" w:h="16838" w:code="9"/>
          <w:pgMar w:top="1418" w:right="1418" w:bottom="1418" w:left="1418" w:header="567" w:footer="567" w:gutter="0"/>
          <w:pgNumType w:start="1"/>
          <w:cols w:space="708"/>
          <w:docGrid w:linePitch="360"/>
        </w:sectPr>
      </w:pPr>
    </w:p>
    <w:p w:rsidR="00375CD3" w:rsidRPr="00315CC1" w:rsidRDefault="00375CD3" w:rsidP="00375CD3">
      <w:pPr>
        <w:spacing w:before="120" w:after="120" w:line="240" w:lineRule="auto"/>
        <w:rPr>
          <w:rFonts w:cs="Arial"/>
          <w:sz w:val="20"/>
          <w:szCs w:val="20"/>
        </w:rPr>
      </w:pPr>
      <w:r w:rsidRPr="00315CC1">
        <w:rPr>
          <w:rFonts w:cs="Arial"/>
          <w:sz w:val="20"/>
          <w:szCs w:val="20"/>
        </w:rPr>
        <w:t>The material in this publication is licensed under a Creative Commons Attribution-</w:t>
      </w:r>
      <w:r w:rsidR="00AE3C78">
        <w:rPr>
          <w:rFonts w:cs="Arial"/>
          <w:sz w:val="20"/>
          <w:szCs w:val="20"/>
        </w:rPr>
        <w:t>No Derivatives-</w:t>
      </w:r>
      <w:r w:rsidRPr="00315CC1">
        <w:rPr>
          <w:rFonts w:cs="Arial"/>
          <w:sz w:val="20"/>
          <w:szCs w:val="20"/>
        </w:rPr>
        <w:t>4.0 International licence, with the exception of</w:t>
      </w:r>
    </w:p>
    <w:p w:rsidR="00375CD3" w:rsidRPr="00315CC1" w:rsidRDefault="00375CD3" w:rsidP="00FF3BDF">
      <w:pPr>
        <w:numPr>
          <w:ilvl w:val="0"/>
          <w:numId w:val="13"/>
        </w:numPr>
        <w:spacing w:before="0" w:after="0" w:line="240" w:lineRule="auto"/>
        <w:ind w:left="425" w:hanging="357"/>
        <w:rPr>
          <w:rFonts w:cs="Arial"/>
          <w:sz w:val="20"/>
          <w:szCs w:val="20"/>
        </w:rPr>
      </w:pPr>
      <w:r w:rsidRPr="00315CC1">
        <w:rPr>
          <w:rFonts w:cs="Arial"/>
          <w:sz w:val="20"/>
          <w:szCs w:val="20"/>
        </w:rPr>
        <w:t>Any third party material</w:t>
      </w:r>
    </w:p>
    <w:p w:rsidR="00375CD3" w:rsidRPr="00315CC1" w:rsidRDefault="00375CD3" w:rsidP="00FF3BDF">
      <w:pPr>
        <w:numPr>
          <w:ilvl w:val="0"/>
          <w:numId w:val="13"/>
        </w:numPr>
        <w:spacing w:before="0" w:after="0" w:line="240" w:lineRule="auto"/>
        <w:ind w:left="425" w:hanging="357"/>
        <w:rPr>
          <w:rFonts w:cs="Arial"/>
          <w:sz w:val="20"/>
          <w:szCs w:val="20"/>
        </w:rPr>
      </w:pPr>
      <w:r w:rsidRPr="00315CC1">
        <w:rPr>
          <w:rFonts w:cs="Arial"/>
          <w:sz w:val="20"/>
          <w:szCs w:val="20"/>
        </w:rPr>
        <w:t xml:space="preserve">Any </w:t>
      </w:r>
      <w:r w:rsidR="002A3465" w:rsidRPr="00315CC1">
        <w:rPr>
          <w:rFonts w:cs="Arial"/>
          <w:sz w:val="20"/>
          <w:szCs w:val="20"/>
        </w:rPr>
        <w:t>trademarks</w:t>
      </w:r>
      <w:r w:rsidRPr="00315CC1">
        <w:rPr>
          <w:rFonts w:cs="Arial"/>
          <w:sz w:val="20"/>
          <w:szCs w:val="20"/>
        </w:rPr>
        <w:t xml:space="preserve">, and </w:t>
      </w:r>
    </w:p>
    <w:p w:rsidR="00375CD3" w:rsidRPr="00315CC1" w:rsidRDefault="00375CD3" w:rsidP="00FF3BDF">
      <w:pPr>
        <w:numPr>
          <w:ilvl w:val="0"/>
          <w:numId w:val="13"/>
        </w:numPr>
        <w:spacing w:before="0" w:after="120" w:line="240" w:lineRule="auto"/>
        <w:ind w:left="425" w:hanging="357"/>
        <w:rPr>
          <w:rFonts w:cs="Arial"/>
          <w:sz w:val="20"/>
          <w:szCs w:val="20"/>
        </w:rPr>
      </w:pPr>
      <w:r w:rsidRPr="00315CC1">
        <w:rPr>
          <w:rFonts w:cs="Arial"/>
          <w:sz w:val="20"/>
          <w:szCs w:val="20"/>
        </w:rPr>
        <w:t>Any images or photographs.</w:t>
      </w:r>
    </w:p>
    <w:p w:rsidR="00375CD3" w:rsidRPr="00315CC1" w:rsidRDefault="00375CD3" w:rsidP="00375CD3">
      <w:pPr>
        <w:spacing w:before="120" w:line="240" w:lineRule="auto"/>
        <w:rPr>
          <w:rFonts w:cs="Arial"/>
          <w:sz w:val="20"/>
          <w:szCs w:val="20"/>
        </w:rPr>
      </w:pPr>
      <w:r w:rsidRPr="00315CC1">
        <w:rPr>
          <w:rFonts w:cs="Arial"/>
          <w:sz w:val="20"/>
          <w:szCs w:val="20"/>
        </w:rPr>
        <w:t>More information on this CC BY licence is set out at the Creative Commons website</w:t>
      </w:r>
      <w:r w:rsidRPr="00315CC1">
        <w:rPr>
          <w:rFonts w:cs="Arial"/>
          <w:sz w:val="20"/>
          <w:szCs w:val="20"/>
          <w:u w:val="single"/>
        </w:rPr>
        <w:t xml:space="preserve"> </w:t>
      </w:r>
      <w:r w:rsidRPr="00315CC1">
        <w:rPr>
          <w:rFonts w:cs="Arial"/>
          <w:color w:val="0000FF"/>
          <w:sz w:val="20"/>
          <w:szCs w:val="20"/>
          <w:u w:val="single"/>
        </w:rPr>
        <w:t>(</w:t>
      </w:r>
      <w:hyperlink r:id="rId13" w:tooltip="Creative Commons website" w:history="1">
        <w:r w:rsidRPr="00315CC1">
          <w:rPr>
            <w:rFonts w:cs="Arial"/>
            <w:color w:val="0000FF"/>
            <w:sz w:val="20"/>
            <w:szCs w:val="20"/>
            <w:u w:val="single"/>
          </w:rPr>
          <w:t>creativecommons.org/licenses/by/4.0</w:t>
        </w:r>
      </w:hyperlink>
      <w:r w:rsidRPr="00315CC1">
        <w:rPr>
          <w:rFonts w:cs="Arial"/>
          <w:color w:val="0000FF"/>
          <w:sz w:val="20"/>
          <w:szCs w:val="20"/>
          <w:u w:val="single"/>
        </w:rPr>
        <w:t>)</w:t>
      </w:r>
      <w:r w:rsidRPr="00315CC1">
        <w:rPr>
          <w:rFonts w:cs="Arial"/>
          <w:sz w:val="20"/>
          <w:szCs w:val="20"/>
        </w:rPr>
        <w:t xml:space="preserve">. </w:t>
      </w:r>
    </w:p>
    <w:p w:rsidR="00375CD3" w:rsidRPr="00315CC1" w:rsidRDefault="00375CD3" w:rsidP="00375CD3">
      <w:pPr>
        <w:spacing w:before="120" w:line="240" w:lineRule="auto"/>
        <w:rPr>
          <w:rFonts w:cs="Arial"/>
          <w:sz w:val="20"/>
          <w:szCs w:val="20"/>
        </w:rPr>
      </w:pPr>
      <w:r w:rsidRPr="00315CC1">
        <w:rPr>
          <w:rFonts w:cs="Arial"/>
          <w:sz w:val="20"/>
          <w:szCs w:val="20"/>
        </w:rPr>
        <w:t>Enquiries about this publication can be sent to:</w:t>
      </w:r>
    </w:p>
    <w:p w:rsidR="00375CD3" w:rsidRPr="00315CC1" w:rsidRDefault="00375CD3" w:rsidP="002F192A">
      <w:pPr>
        <w:tabs>
          <w:tab w:val="left" w:pos="1418"/>
          <w:tab w:val="left" w:pos="5245"/>
        </w:tabs>
        <w:spacing w:after="0" w:line="240" w:lineRule="auto"/>
        <w:jc w:val="left"/>
        <w:rPr>
          <w:rFonts w:cs="Arial"/>
          <w:sz w:val="20"/>
          <w:szCs w:val="20"/>
        </w:rPr>
      </w:pPr>
      <w:r w:rsidRPr="00315CC1">
        <w:rPr>
          <w:rFonts w:cs="Arial"/>
          <w:sz w:val="20"/>
          <w:szCs w:val="20"/>
        </w:rPr>
        <w:t>Australian Building Codes Board</w:t>
      </w:r>
      <w:r w:rsidR="00315CC1">
        <w:rPr>
          <w:rFonts w:cs="Arial"/>
          <w:sz w:val="20"/>
          <w:szCs w:val="20"/>
        </w:rPr>
        <w:br/>
      </w:r>
      <w:r w:rsidRPr="00315CC1">
        <w:rPr>
          <w:rFonts w:cs="Arial"/>
          <w:sz w:val="20"/>
          <w:szCs w:val="20"/>
        </w:rPr>
        <w:t>GPO Box 2013</w:t>
      </w:r>
      <w:r w:rsidR="00315CC1">
        <w:rPr>
          <w:rFonts w:cs="Arial"/>
          <w:sz w:val="20"/>
          <w:szCs w:val="20"/>
        </w:rPr>
        <w:br/>
      </w:r>
      <w:r w:rsidRPr="00315CC1">
        <w:rPr>
          <w:rFonts w:cs="Arial"/>
          <w:sz w:val="20"/>
          <w:szCs w:val="20"/>
        </w:rPr>
        <w:t>CANBERRA ACT 2601</w:t>
      </w:r>
    </w:p>
    <w:p w:rsidR="00375CD3" w:rsidRPr="00315CC1" w:rsidRDefault="00375CD3" w:rsidP="002F192A">
      <w:pPr>
        <w:tabs>
          <w:tab w:val="left" w:pos="1418"/>
          <w:tab w:val="left" w:pos="5245"/>
        </w:tabs>
        <w:spacing w:after="0" w:line="240" w:lineRule="auto"/>
        <w:jc w:val="left"/>
        <w:rPr>
          <w:rFonts w:cs="Arial"/>
          <w:sz w:val="20"/>
          <w:szCs w:val="20"/>
        </w:rPr>
      </w:pPr>
      <w:r w:rsidRPr="00315CC1">
        <w:rPr>
          <w:rFonts w:cs="Arial"/>
          <w:sz w:val="20"/>
          <w:szCs w:val="20"/>
        </w:rPr>
        <w:t>Phone: 1300 134 631</w:t>
      </w:r>
    </w:p>
    <w:p w:rsidR="00375CD3" w:rsidRPr="00315CC1" w:rsidRDefault="00375CD3" w:rsidP="002F192A">
      <w:pPr>
        <w:tabs>
          <w:tab w:val="left" w:pos="1418"/>
          <w:tab w:val="left" w:pos="5245"/>
        </w:tabs>
        <w:spacing w:after="0" w:line="240" w:lineRule="auto"/>
        <w:jc w:val="left"/>
        <w:rPr>
          <w:rFonts w:cs="Arial"/>
          <w:color w:val="0000FF"/>
          <w:sz w:val="20"/>
          <w:szCs w:val="20"/>
          <w:u w:val="single"/>
        </w:rPr>
      </w:pPr>
      <w:r w:rsidRPr="00315CC1">
        <w:rPr>
          <w:rFonts w:cs="Arial"/>
          <w:sz w:val="20"/>
          <w:szCs w:val="20"/>
        </w:rPr>
        <w:t xml:space="preserve">Email: </w:t>
      </w:r>
      <w:hyperlink r:id="rId14" w:history="1">
        <w:r w:rsidRPr="00315CC1">
          <w:rPr>
            <w:rFonts w:cs="Arial"/>
            <w:color w:val="0000FF"/>
            <w:sz w:val="20"/>
            <w:szCs w:val="20"/>
            <w:u w:val="single"/>
          </w:rPr>
          <w:t>ncc@abcb.gov.au</w:t>
        </w:r>
      </w:hyperlink>
      <w:r w:rsidR="00315CC1">
        <w:rPr>
          <w:rFonts w:cs="Arial"/>
          <w:color w:val="0000FF"/>
          <w:sz w:val="20"/>
          <w:szCs w:val="20"/>
          <w:u w:val="single"/>
        </w:rPr>
        <w:br/>
      </w:r>
      <w:r w:rsidRPr="00315CC1">
        <w:rPr>
          <w:rFonts w:cs="Arial"/>
          <w:sz w:val="20"/>
          <w:szCs w:val="20"/>
        </w:rPr>
        <w:t xml:space="preserve">Web: </w:t>
      </w:r>
      <w:hyperlink r:id="rId15" w:tooltip="ABCB Website" w:history="1">
        <w:r w:rsidRPr="00315CC1">
          <w:rPr>
            <w:rFonts w:cs="Arial"/>
            <w:color w:val="0000FF"/>
            <w:sz w:val="20"/>
            <w:szCs w:val="20"/>
            <w:u w:val="single"/>
          </w:rPr>
          <w:t>abcb.gov.au</w:t>
        </w:r>
      </w:hyperlink>
    </w:p>
    <w:p w:rsidR="00375CD3" w:rsidRPr="00315CC1" w:rsidRDefault="00375CD3" w:rsidP="00375CD3">
      <w:pPr>
        <w:keepLines/>
        <w:pBdr>
          <w:top w:val="single" w:sz="18" w:space="1" w:color="000000" w:themeColor="text1"/>
          <w:bottom w:val="single" w:sz="18" w:space="1" w:color="000000" w:themeColor="text1"/>
        </w:pBdr>
        <w:shd w:val="clear" w:color="auto" w:fill="17365F"/>
        <w:spacing w:line="240" w:lineRule="auto"/>
        <w:ind w:firstLine="284"/>
        <w:rPr>
          <w:rFonts w:cs="Arial"/>
          <w:b/>
          <w:color w:val="FFFFFF"/>
          <w:sz w:val="20"/>
          <w:szCs w:val="20"/>
        </w:rPr>
        <w:sectPr w:rsidR="00375CD3" w:rsidRPr="00315CC1" w:rsidSect="00493105">
          <w:type w:val="continuous"/>
          <w:pgSz w:w="11906" w:h="16838" w:code="9"/>
          <w:pgMar w:top="1418" w:right="1418" w:bottom="1418" w:left="1418" w:header="567" w:footer="567" w:gutter="0"/>
          <w:cols w:num="2" w:space="708"/>
          <w:docGrid w:linePitch="360"/>
        </w:sectPr>
      </w:pPr>
    </w:p>
    <w:p w:rsidR="00375CD3" w:rsidRPr="00315CC1" w:rsidRDefault="00375CD3" w:rsidP="00375CD3">
      <w:pPr>
        <w:pStyle w:val="Heading-Legal"/>
        <w:rPr>
          <w:rFonts w:cs="Arial"/>
          <w:sz w:val="20"/>
          <w:szCs w:val="20"/>
        </w:rPr>
      </w:pPr>
      <w:r w:rsidRPr="00315CC1">
        <w:rPr>
          <w:rFonts w:cs="Arial"/>
          <w:sz w:val="20"/>
          <w:szCs w:val="20"/>
        </w:rPr>
        <w:t xml:space="preserve">Attribution </w:t>
      </w:r>
    </w:p>
    <w:p w:rsidR="00375CD3" w:rsidRPr="00315CC1" w:rsidRDefault="00375CD3" w:rsidP="00375CD3">
      <w:pPr>
        <w:spacing w:before="120" w:after="120" w:line="240" w:lineRule="auto"/>
        <w:rPr>
          <w:rFonts w:cs="Arial"/>
          <w:sz w:val="20"/>
          <w:szCs w:val="20"/>
        </w:rPr>
      </w:pPr>
      <w:r w:rsidRPr="00315CC1">
        <w:rPr>
          <w:rFonts w:cs="Arial"/>
          <w:sz w:val="20"/>
          <w:szCs w:val="20"/>
        </w:rPr>
        <w:t>Use of all or part of this publication must include the following attribution:</w:t>
      </w:r>
    </w:p>
    <w:p w:rsidR="00375CD3" w:rsidRPr="00315CC1" w:rsidRDefault="00375CD3" w:rsidP="00375CD3">
      <w:pPr>
        <w:spacing w:after="120" w:line="240" w:lineRule="auto"/>
        <w:rPr>
          <w:rFonts w:cs="Arial"/>
          <w:b/>
          <w:bCs/>
          <w:sz w:val="20"/>
          <w:szCs w:val="20"/>
        </w:rPr>
      </w:pPr>
      <w:r w:rsidRPr="00315CC1">
        <w:rPr>
          <w:rFonts w:cs="Arial"/>
          <w:b/>
          <w:bCs/>
          <w:sz w:val="20"/>
          <w:szCs w:val="20"/>
        </w:rPr>
        <w:t xml:space="preserve">© Commonwealth of Australia and States and Territories </w:t>
      </w:r>
      <w:r w:rsidR="002A3465" w:rsidRPr="00315CC1">
        <w:rPr>
          <w:rFonts w:cs="Arial"/>
          <w:b/>
          <w:bCs/>
          <w:sz w:val="20"/>
          <w:szCs w:val="20"/>
        </w:rPr>
        <w:t>2020</w:t>
      </w:r>
      <w:r w:rsidRPr="00315CC1">
        <w:rPr>
          <w:rFonts w:cs="Arial"/>
          <w:b/>
          <w:bCs/>
          <w:sz w:val="20"/>
          <w:szCs w:val="20"/>
        </w:rPr>
        <w:t>, published by the Australian Building Codes Board.</w:t>
      </w:r>
    </w:p>
    <w:p w:rsidR="00375CD3" w:rsidRPr="00315CC1" w:rsidRDefault="00375CD3" w:rsidP="00375CD3">
      <w:pPr>
        <w:pStyle w:val="Heading-Legal"/>
        <w:rPr>
          <w:rFonts w:cs="Arial"/>
          <w:sz w:val="20"/>
          <w:szCs w:val="20"/>
        </w:rPr>
      </w:pPr>
      <w:r w:rsidRPr="00315CC1">
        <w:rPr>
          <w:rFonts w:cs="Arial"/>
          <w:sz w:val="20"/>
          <w:szCs w:val="20"/>
        </w:rPr>
        <w:t xml:space="preserve">Disclaimer </w:t>
      </w:r>
    </w:p>
    <w:p w:rsidR="00375CD3" w:rsidRPr="00315CC1" w:rsidRDefault="00375CD3" w:rsidP="00375CD3">
      <w:pPr>
        <w:spacing w:before="120" w:after="120" w:line="240" w:lineRule="auto"/>
        <w:rPr>
          <w:rFonts w:cs="Arial"/>
          <w:sz w:val="20"/>
          <w:szCs w:val="20"/>
        </w:rPr>
      </w:pPr>
      <w:r w:rsidRPr="00315CC1">
        <w:rPr>
          <w:rFonts w:cs="Arial"/>
          <w:sz w:val="20"/>
          <w:szCs w:val="20"/>
        </w:rPr>
        <w:t xml:space="preserve">By accessing or using this publication, you agree to the following: </w:t>
      </w:r>
    </w:p>
    <w:p w:rsidR="00375CD3" w:rsidRPr="00315CC1" w:rsidRDefault="00375CD3" w:rsidP="00375CD3">
      <w:pPr>
        <w:spacing w:before="120" w:after="120" w:line="240" w:lineRule="auto"/>
        <w:rPr>
          <w:rFonts w:cs="Arial"/>
          <w:sz w:val="20"/>
          <w:szCs w:val="20"/>
        </w:rPr>
      </w:pPr>
      <w:r w:rsidRPr="00315CC1">
        <w:rPr>
          <w:rFonts w:cs="Arial"/>
          <w:sz w:val="20"/>
          <w:szCs w:val="20"/>
        </w:rPr>
        <w:t>While care has been taken in the preparation of this publication, it may not be complete or up-to-date. You can ensure that you are using a complete and up-to-date version by checking the Australian Building Codes Board website (</w:t>
      </w:r>
      <w:hyperlink r:id="rId16" w:tooltip="ABCB website" w:history="1">
        <w:r w:rsidRPr="00315CC1">
          <w:rPr>
            <w:rFonts w:cs="Arial"/>
            <w:color w:val="0000FF"/>
            <w:sz w:val="20"/>
            <w:szCs w:val="20"/>
            <w:u w:val="single"/>
          </w:rPr>
          <w:t>abcb.gov.au</w:t>
        </w:r>
      </w:hyperlink>
      <w:r w:rsidRPr="00315CC1">
        <w:rPr>
          <w:rFonts w:cs="Arial"/>
          <w:sz w:val="20"/>
          <w:szCs w:val="20"/>
        </w:rPr>
        <w:t xml:space="preserve">). </w:t>
      </w:r>
    </w:p>
    <w:p w:rsidR="00375CD3" w:rsidRPr="00315CC1" w:rsidRDefault="00375CD3" w:rsidP="00375CD3">
      <w:pPr>
        <w:spacing w:before="120" w:after="120" w:line="240" w:lineRule="auto"/>
        <w:rPr>
          <w:rFonts w:cs="Arial"/>
          <w:sz w:val="20"/>
          <w:szCs w:val="20"/>
        </w:rPr>
      </w:pPr>
      <w:r w:rsidRPr="00315CC1">
        <w:rPr>
          <w:rFonts w:cs="Arial"/>
          <w:sz w:val="20"/>
          <w:szCs w:val="20"/>
        </w:rPr>
        <w:t xml:space="preserve">The Australian Building Codes Board, the Commonwealth of Australia and States and Territories of Australia do not accept any liability, including liability for negligence, for any loss (howsoever caused), damage, injury, expense or cost incurred by any person as a result of accessing, using or relying upon this publication, to the maximum extent permitted by law. No representation or warranty is made or given as to the currency, accuracy, reliability, merchantability, fitness for any purpose or completeness of this publication or any information which may appear on any linked websites, or in other linked information sources, and all such representations and warranties are excluded to the extent permitted by law. </w:t>
      </w:r>
    </w:p>
    <w:p w:rsidR="00375CD3" w:rsidRPr="00315CC1" w:rsidRDefault="00375CD3" w:rsidP="00375CD3">
      <w:pPr>
        <w:spacing w:before="120" w:after="120" w:line="240" w:lineRule="auto"/>
        <w:rPr>
          <w:rFonts w:cs="Arial"/>
          <w:sz w:val="20"/>
          <w:szCs w:val="20"/>
        </w:rPr>
      </w:pPr>
      <w:r w:rsidRPr="00315CC1">
        <w:rPr>
          <w:rFonts w:cs="Arial"/>
          <w:sz w:val="20"/>
          <w:szCs w:val="20"/>
        </w:rPr>
        <w:t xml:space="preserve">This publication is not legal or professional advice. Persons rely upon this publication entirely at their own risk and must take responsibility for assessing the relevance and accuracy of the information in relation to their particular circumstances. </w:t>
      </w:r>
    </w:p>
    <w:p w:rsidR="00375CD3" w:rsidRPr="00315CC1" w:rsidRDefault="00375CD3" w:rsidP="00375CD3">
      <w:pPr>
        <w:pStyle w:val="Heading-Legal"/>
        <w:rPr>
          <w:rFonts w:cs="Arial"/>
          <w:sz w:val="20"/>
          <w:szCs w:val="20"/>
        </w:rPr>
      </w:pPr>
      <w:r w:rsidRPr="00315CC1">
        <w:rPr>
          <w:rFonts w:cs="Arial"/>
          <w:sz w:val="20"/>
          <w:szCs w:val="20"/>
        </w:rPr>
        <w:t>Version history</w:t>
      </w:r>
    </w:p>
    <w:p w:rsidR="00375CD3" w:rsidRPr="00315CC1" w:rsidRDefault="00375CD3" w:rsidP="00375CD3">
      <w:pPr>
        <w:pStyle w:val="Heading-Legal"/>
        <w:rPr>
          <w:rFonts w:cs="Arial"/>
          <w:sz w:val="20"/>
          <w:szCs w:val="20"/>
        </w:rPr>
        <w:sectPr w:rsidR="00375CD3" w:rsidRPr="00315CC1" w:rsidSect="00493105">
          <w:type w:val="continuous"/>
          <w:pgSz w:w="11906" w:h="16838" w:code="9"/>
          <w:pgMar w:top="1418" w:right="1418" w:bottom="1418" w:left="1418" w:header="567" w:footer="567" w:gutter="0"/>
          <w:cols w:space="708"/>
          <w:docGrid w:linePitch="360"/>
        </w:sectPr>
      </w:pPr>
    </w:p>
    <w:p w:rsidR="00375CD3" w:rsidRPr="00315CC1" w:rsidRDefault="00375CD3" w:rsidP="00243B58">
      <w:pPr>
        <w:spacing w:before="120" w:after="120" w:line="240" w:lineRule="auto"/>
        <w:jc w:val="left"/>
        <w:rPr>
          <w:rFonts w:cs="Arial"/>
          <w:sz w:val="20"/>
          <w:szCs w:val="20"/>
        </w:rPr>
      </w:pPr>
      <w:r w:rsidRPr="00315CC1">
        <w:rPr>
          <w:rFonts w:cs="Arial"/>
          <w:sz w:val="20"/>
          <w:szCs w:val="20"/>
        </w:rPr>
        <w:t xml:space="preserve">Original </w:t>
      </w:r>
    </w:p>
    <w:p w:rsidR="00375CD3" w:rsidRPr="00315CC1" w:rsidRDefault="00375CD3" w:rsidP="00243B58">
      <w:pPr>
        <w:spacing w:before="120" w:after="120" w:line="240" w:lineRule="auto"/>
        <w:ind w:right="-1"/>
        <w:jc w:val="left"/>
        <w:rPr>
          <w:rFonts w:cs="Arial"/>
          <w:sz w:val="20"/>
          <w:szCs w:val="20"/>
        </w:rPr>
        <w:sectPr w:rsidR="00375CD3" w:rsidRPr="00315CC1" w:rsidSect="00493105">
          <w:type w:val="continuous"/>
          <w:pgSz w:w="11906" w:h="16838" w:code="9"/>
          <w:pgMar w:top="1418" w:right="1418" w:bottom="1418" w:left="1418" w:header="567" w:footer="567" w:gutter="0"/>
          <w:cols w:num="2" w:space="0"/>
          <w:formProt w:val="0"/>
          <w:docGrid w:linePitch="360"/>
        </w:sectPr>
      </w:pPr>
      <w:r w:rsidRPr="00315CC1">
        <w:rPr>
          <w:rFonts w:cs="Arial"/>
          <w:sz w:val="20"/>
          <w:szCs w:val="20"/>
        </w:rPr>
        <w:t xml:space="preserve">Publish date: </w:t>
      </w:r>
      <w:r w:rsidR="00340BFA">
        <w:rPr>
          <w:rFonts w:cs="Arial"/>
          <w:sz w:val="20"/>
          <w:szCs w:val="20"/>
        </w:rPr>
        <w:t>May</w:t>
      </w:r>
      <w:r w:rsidR="00340BFA" w:rsidRPr="00315CC1">
        <w:rPr>
          <w:rFonts w:cs="Arial"/>
          <w:sz w:val="20"/>
          <w:szCs w:val="20"/>
        </w:rPr>
        <w:t xml:space="preserve"> </w:t>
      </w:r>
      <w:r w:rsidR="002A3465" w:rsidRPr="00315CC1">
        <w:rPr>
          <w:rFonts w:cs="Arial"/>
          <w:sz w:val="20"/>
          <w:szCs w:val="20"/>
        </w:rPr>
        <w:t>2020</w:t>
      </w:r>
      <w:r w:rsidRPr="00315CC1">
        <w:rPr>
          <w:rFonts w:cs="Arial"/>
          <w:sz w:val="20"/>
          <w:szCs w:val="20"/>
        </w:rPr>
        <w:br/>
        <w:t>Print version: 1.0</w:t>
      </w:r>
    </w:p>
    <w:bookmarkEnd w:id="2" w:displacedByCustomXml="next"/>
    <w:bookmarkStart w:id="3" w:name="_Toc33098866" w:displacedByCustomXml="next"/>
    <w:bookmarkStart w:id="4" w:name="_Toc33098407" w:displacedByCustomXml="next"/>
    <w:sdt>
      <w:sdtPr>
        <w:rPr>
          <w:rFonts w:asciiTheme="minorHAnsi" w:eastAsiaTheme="minorHAnsi" w:hAnsiTheme="minorHAnsi" w:cstheme="minorBidi"/>
          <w:b w:val="0"/>
          <w:bCs w:val="0"/>
          <w:color w:val="auto"/>
          <w:sz w:val="22"/>
          <w:szCs w:val="22"/>
        </w:rPr>
        <w:id w:val="1531755008"/>
        <w:docPartObj>
          <w:docPartGallery w:val="Table of Contents"/>
          <w:docPartUnique/>
        </w:docPartObj>
      </w:sdtPr>
      <w:sdtEndPr>
        <w:rPr>
          <w:rFonts w:ascii="Arial" w:hAnsi="Arial" w:cs="Arial"/>
          <w:noProof/>
          <w:sz w:val="24"/>
        </w:rPr>
      </w:sdtEndPr>
      <w:sdtContent>
        <w:p w:rsidR="00E4642F" w:rsidRDefault="00E4642F" w:rsidP="00315CC1">
          <w:pPr>
            <w:pStyle w:val="Heading1"/>
          </w:pPr>
          <w:r>
            <w:t>Contents</w:t>
          </w:r>
          <w:bookmarkEnd w:id="4"/>
          <w:bookmarkEnd w:id="3"/>
        </w:p>
        <w:p w:rsidR="00DA1ADD" w:rsidRDefault="00E4642F">
          <w:pPr>
            <w:pStyle w:val="TOC1"/>
            <w:tabs>
              <w:tab w:val="right" w:leader="dot" w:pos="9016"/>
            </w:tabs>
            <w:rPr>
              <w:rFonts w:asciiTheme="minorHAnsi" w:eastAsiaTheme="minorEastAsia" w:hAnsiTheme="minorHAnsi"/>
              <w:noProof/>
              <w:sz w:val="22"/>
              <w:lang w:eastAsia="en-AU"/>
            </w:rPr>
          </w:pPr>
          <w:r w:rsidRPr="00315CC1">
            <w:rPr>
              <w:rFonts w:cs="Arial"/>
            </w:rPr>
            <w:fldChar w:fldCharType="begin"/>
          </w:r>
          <w:r w:rsidRPr="00315CC1">
            <w:rPr>
              <w:rFonts w:cs="Arial"/>
            </w:rPr>
            <w:instrText xml:space="preserve"> TOC \o "1-3" \h \z \u </w:instrText>
          </w:r>
          <w:r w:rsidRPr="00315CC1">
            <w:rPr>
              <w:rFonts w:cs="Arial"/>
            </w:rPr>
            <w:fldChar w:fldCharType="separate"/>
          </w:r>
          <w:hyperlink w:anchor="_Toc33098869" w:history="1">
            <w:r w:rsidR="00DA1ADD" w:rsidRPr="00407E9D">
              <w:rPr>
                <w:rStyle w:val="Hyperlink"/>
                <w:noProof/>
              </w:rPr>
              <w:t>Introduction</w:t>
            </w:r>
            <w:r w:rsidR="00DA1ADD">
              <w:rPr>
                <w:noProof/>
                <w:webHidden/>
              </w:rPr>
              <w:tab/>
            </w:r>
            <w:r w:rsidR="00DA1ADD">
              <w:rPr>
                <w:noProof/>
                <w:webHidden/>
              </w:rPr>
              <w:fldChar w:fldCharType="begin"/>
            </w:r>
            <w:r w:rsidR="00DA1ADD">
              <w:rPr>
                <w:noProof/>
                <w:webHidden/>
              </w:rPr>
              <w:instrText xml:space="preserve"> PAGEREF _Toc33098869 \h </w:instrText>
            </w:r>
            <w:r w:rsidR="00DA1ADD">
              <w:rPr>
                <w:noProof/>
                <w:webHidden/>
              </w:rPr>
            </w:r>
            <w:r w:rsidR="00DA1ADD">
              <w:rPr>
                <w:noProof/>
                <w:webHidden/>
              </w:rPr>
              <w:fldChar w:fldCharType="separate"/>
            </w:r>
            <w:r w:rsidR="003C1421">
              <w:rPr>
                <w:noProof/>
                <w:webHidden/>
              </w:rPr>
              <w:t>3</w:t>
            </w:r>
            <w:r w:rsidR="00DA1ADD">
              <w:rPr>
                <w:noProof/>
                <w:webHidden/>
              </w:rPr>
              <w:fldChar w:fldCharType="end"/>
            </w:r>
          </w:hyperlink>
        </w:p>
        <w:p w:rsidR="00DA1ADD" w:rsidRDefault="001C6A93">
          <w:pPr>
            <w:pStyle w:val="TOC1"/>
            <w:tabs>
              <w:tab w:val="right" w:leader="dot" w:pos="9016"/>
            </w:tabs>
            <w:rPr>
              <w:rFonts w:asciiTheme="minorHAnsi" w:eastAsiaTheme="minorEastAsia" w:hAnsiTheme="minorHAnsi"/>
              <w:noProof/>
              <w:sz w:val="22"/>
              <w:lang w:eastAsia="en-AU"/>
            </w:rPr>
          </w:pPr>
          <w:hyperlink w:anchor="_Toc33098871" w:history="1">
            <w:r w:rsidR="00DA1ADD" w:rsidRPr="00407E9D">
              <w:rPr>
                <w:rStyle w:val="Hyperlink"/>
                <w:noProof/>
              </w:rPr>
              <w:t>Problem</w:t>
            </w:r>
            <w:r w:rsidR="00DA1ADD">
              <w:rPr>
                <w:noProof/>
                <w:webHidden/>
              </w:rPr>
              <w:tab/>
            </w:r>
            <w:r w:rsidR="00DA1ADD">
              <w:rPr>
                <w:noProof/>
                <w:webHidden/>
              </w:rPr>
              <w:fldChar w:fldCharType="begin"/>
            </w:r>
            <w:r w:rsidR="00DA1ADD">
              <w:rPr>
                <w:noProof/>
                <w:webHidden/>
              </w:rPr>
              <w:instrText xml:space="preserve"> PAGEREF _Toc33098871 \h </w:instrText>
            </w:r>
            <w:r w:rsidR="00DA1ADD">
              <w:rPr>
                <w:noProof/>
                <w:webHidden/>
              </w:rPr>
            </w:r>
            <w:r w:rsidR="00DA1ADD">
              <w:rPr>
                <w:noProof/>
                <w:webHidden/>
              </w:rPr>
              <w:fldChar w:fldCharType="separate"/>
            </w:r>
            <w:r w:rsidR="003C1421">
              <w:rPr>
                <w:noProof/>
                <w:webHidden/>
              </w:rPr>
              <w:t>14</w:t>
            </w:r>
            <w:r w:rsidR="00DA1ADD">
              <w:rPr>
                <w:noProof/>
                <w:webHidden/>
              </w:rPr>
              <w:fldChar w:fldCharType="end"/>
            </w:r>
          </w:hyperlink>
        </w:p>
        <w:p w:rsidR="00DA1ADD" w:rsidRDefault="001C6A93">
          <w:pPr>
            <w:pStyle w:val="TOC1"/>
            <w:tabs>
              <w:tab w:val="right" w:leader="dot" w:pos="9016"/>
            </w:tabs>
            <w:rPr>
              <w:rFonts w:asciiTheme="minorHAnsi" w:eastAsiaTheme="minorEastAsia" w:hAnsiTheme="minorHAnsi"/>
              <w:noProof/>
              <w:sz w:val="22"/>
              <w:lang w:eastAsia="en-AU"/>
            </w:rPr>
          </w:pPr>
          <w:hyperlink w:anchor="_Toc33098879" w:history="1">
            <w:r w:rsidR="00DA1ADD" w:rsidRPr="00407E9D">
              <w:rPr>
                <w:rStyle w:val="Hyperlink"/>
                <w:noProof/>
              </w:rPr>
              <w:t>Objectives</w:t>
            </w:r>
            <w:r w:rsidR="00DA1ADD">
              <w:rPr>
                <w:noProof/>
                <w:webHidden/>
              </w:rPr>
              <w:tab/>
            </w:r>
            <w:r w:rsidR="00DA1ADD">
              <w:rPr>
                <w:noProof/>
                <w:webHidden/>
              </w:rPr>
              <w:fldChar w:fldCharType="begin"/>
            </w:r>
            <w:r w:rsidR="00DA1ADD">
              <w:rPr>
                <w:noProof/>
                <w:webHidden/>
              </w:rPr>
              <w:instrText xml:space="preserve"> PAGEREF _Toc33098879 \h </w:instrText>
            </w:r>
            <w:r w:rsidR="00DA1ADD">
              <w:rPr>
                <w:noProof/>
                <w:webHidden/>
              </w:rPr>
            </w:r>
            <w:r w:rsidR="00DA1ADD">
              <w:rPr>
                <w:noProof/>
                <w:webHidden/>
              </w:rPr>
              <w:fldChar w:fldCharType="separate"/>
            </w:r>
            <w:r w:rsidR="003C1421">
              <w:rPr>
                <w:noProof/>
                <w:webHidden/>
              </w:rPr>
              <w:t>31</w:t>
            </w:r>
            <w:r w:rsidR="00DA1ADD">
              <w:rPr>
                <w:noProof/>
                <w:webHidden/>
              </w:rPr>
              <w:fldChar w:fldCharType="end"/>
            </w:r>
          </w:hyperlink>
        </w:p>
        <w:p w:rsidR="00DA1ADD" w:rsidRDefault="001C6A93">
          <w:pPr>
            <w:pStyle w:val="TOC1"/>
            <w:tabs>
              <w:tab w:val="right" w:leader="dot" w:pos="9016"/>
            </w:tabs>
            <w:rPr>
              <w:rFonts w:asciiTheme="minorHAnsi" w:eastAsiaTheme="minorEastAsia" w:hAnsiTheme="minorHAnsi"/>
              <w:noProof/>
              <w:sz w:val="22"/>
              <w:lang w:eastAsia="en-AU"/>
            </w:rPr>
          </w:pPr>
          <w:hyperlink w:anchor="_Toc33098880" w:history="1">
            <w:r w:rsidR="00DA1ADD" w:rsidRPr="00407E9D">
              <w:rPr>
                <w:rStyle w:val="Hyperlink"/>
                <w:noProof/>
              </w:rPr>
              <w:t>Options</w:t>
            </w:r>
            <w:r w:rsidR="00DA1ADD">
              <w:rPr>
                <w:noProof/>
                <w:webHidden/>
              </w:rPr>
              <w:tab/>
            </w:r>
            <w:r w:rsidR="00DA1ADD">
              <w:rPr>
                <w:noProof/>
                <w:webHidden/>
              </w:rPr>
              <w:fldChar w:fldCharType="begin"/>
            </w:r>
            <w:r w:rsidR="00DA1ADD">
              <w:rPr>
                <w:noProof/>
                <w:webHidden/>
              </w:rPr>
              <w:instrText xml:space="preserve"> PAGEREF _Toc33098880 \h </w:instrText>
            </w:r>
            <w:r w:rsidR="00DA1ADD">
              <w:rPr>
                <w:noProof/>
                <w:webHidden/>
              </w:rPr>
            </w:r>
            <w:r w:rsidR="00DA1ADD">
              <w:rPr>
                <w:noProof/>
                <w:webHidden/>
              </w:rPr>
              <w:fldChar w:fldCharType="separate"/>
            </w:r>
            <w:r w:rsidR="003C1421">
              <w:rPr>
                <w:noProof/>
                <w:webHidden/>
              </w:rPr>
              <w:t>32</w:t>
            </w:r>
            <w:r w:rsidR="00DA1ADD">
              <w:rPr>
                <w:noProof/>
                <w:webHidden/>
              </w:rPr>
              <w:fldChar w:fldCharType="end"/>
            </w:r>
          </w:hyperlink>
        </w:p>
        <w:p w:rsidR="00DA1ADD" w:rsidRDefault="001C6A93">
          <w:pPr>
            <w:pStyle w:val="TOC1"/>
            <w:tabs>
              <w:tab w:val="right" w:leader="dot" w:pos="9016"/>
            </w:tabs>
            <w:rPr>
              <w:rFonts w:asciiTheme="minorHAnsi" w:eastAsiaTheme="minorEastAsia" w:hAnsiTheme="minorHAnsi"/>
              <w:noProof/>
              <w:sz w:val="22"/>
              <w:lang w:eastAsia="en-AU"/>
            </w:rPr>
          </w:pPr>
          <w:hyperlink w:anchor="_Toc33098884" w:history="1">
            <w:r w:rsidR="00DA1ADD" w:rsidRPr="00407E9D">
              <w:rPr>
                <w:rStyle w:val="Hyperlink"/>
                <w:noProof/>
              </w:rPr>
              <w:t>International Approaches</w:t>
            </w:r>
            <w:r w:rsidR="00DA1ADD">
              <w:rPr>
                <w:noProof/>
                <w:webHidden/>
              </w:rPr>
              <w:tab/>
            </w:r>
            <w:r w:rsidR="00DA1ADD">
              <w:rPr>
                <w:noProof/>
                <w:webHidden/>
              </w:rPr>
              <w:fldChar w:fldCharType="begin"/>
            </w:r>
            <w:r w:rsidR="00DA1ADD">
              <w:rPr>
                <w:noProof/>
                <w:webHidden/>
              </w:rPr>
              <w:instrText xml:space="preserve"> PAGEREF _Toc33098884 \h </w:instrText>
            </w:r>
            <w:r w:rsidR="00DA1ADD">
              <w:rPr>
                <w:noProof/>
                <w:webHidden/>
              </w:rPr>
            </w:r>
            <w:r w:rsidR="00DA1ADD">
              <w:rPr>
                <w:noProof/>
                <w:webHidden/>
              </w:rPr>
              <w:fldChar w:fldCharType="separate"/>
            </w:r>
            <w:r w:rsidR="003C1421">
              <w:rPr>
                <w:noProof/>
                <w:webHidden/>
              </w:rPr>
              <w:t>34</w:t>
            </w:r>
            <w:r w:rsidR="00DA1ADD">
              <w:rPr>
                <w:noProof/>
                <w:webHidden/>
              </w:rPr>
              <w:fldChar w:fldCharType="end"/>
            </w:r>
          </w:hyperlink>
        </w:p>
        <w:p w:rsidR="00DA1ADD" w:rsidRDefault="001C6A93">
          <w:pPr>
            <w:pStyle w:val="TOC1"/>
            <w:tabs>
              <w:tab w:val="right" w:leader="dot" w:pos="9016"/>
            </w:tabs>
            <w:rPr>
              <w:rFonts w:asciiTheme="minorHAnsi" w:eastAsiaTheme="minorEastAsia" w:hAnsiTheme="minorHAnsi"/>
              <w:noProof/>
              <w:sz w:val="22"/>
              <w:lang w:eastAsia="en-AU"/>
            </w:rPr>
          </w:pPr>
          <w:hyperlink w:anchor="_Toc33098889" w:history="1">
            <w:r w:rsidR="00DA1ADD" w:rsidRPr="00407E9D">
              <w:rPr>
                <w:rStyle w:val="Hyperlink"/>
                <w:noProof/>
              </w:rPr>
              <w:t>Impact Analysis</w:t>
            </w:r>
            <w:r w:rsidR="00DA1ADD">
              <w:rPr>
                <w:noProof/>
                <w:webHidden/>
              </w:rPr>
              <w:tab/>
            </w:r>
            <w:r w:rsidR="00DA1ADD">
              <w:rPr>
                <w:noProof/>
                <w:webHidden/>
              </w:rPr>
              <w:fldChar w:fldCharType="begin"/>
            </w:r>
            <w:r w:rsidR="00DA1ADD">
              <w:rPr>
                <w:noProof/>
                <w:webHidden/>
              </w:rPr>
              <w:instrText xml:space="preserve"> PAGEREF _Toc33098889 \h </w:instrText>
            </w:r>
            <w:r w:rsidR="00DA1ADD">
              <w:rPr>
                <w:noProof/>
                <w:webHidden/>
              </w:rPr>
            </w:r>
            <w:r w:rsidR="00DA1ADD">
              <w:rPr>
                <w:noProof/>
                <w:webHidden/>
              </w:rPr>
              <w:fldChar w:fldCharType="separate"/>
            </w:r>
            <w:r w:rsidR="003C1421">
              <w:rPr>
                <w:noProof/>
                <w:webHidden/>
              </w:rPr>
              <w:t>36</w:t>
            </w:r>
            <w:r w:rsidR="00DA1ADD">
              <w:rPr>
                <w:noProof/>
                <w:webHidden/>
              </w:rPr>
              <w:fldChar w:fldCharType="end"/>
            </w:r>
          </w:hyperlink>
        </w:p>
        <w:p w:rsidR="00DA1ADD" w:rsidRDefault="001C6A93">
          <w:pPr>
            <w:pStyle w:val="TOC1"/>
            <w:tabs>
              <w:tab w:val="right" w:leader="dot" w:pos="9016"/>
            </w:tabs>
            <w:rPr>
              <w:rFonts w:asciiTheme="minorHAnsi" w:eastAsiaTheme="minorEastAsia" w:hAnsiTheme="minorHAnsi"/>
              <w:noProof/>
              <w:sz w:val="22"/>
              <w:lang w:eastAsia="en-AU"/>
            </w:rPr>
          </w:pPr>
          <w:hyperlink w:anchor="_Toc33098901" w:history="1">
            <w:r w:rsidR="00DA1ADD" w:rsidRPr="00407E9D">
              <w:rPr>
                <w:rStyle w:val="Hyperlink"/>
                <w:noProof/>
              </w:rPr>
              <w:t>Regulatory Burden</w:t>
            </w:r>
            <w:r w:rsidR="00DA1ADD">
              <w:rPr>
                <w:noProof/>
                <w:webHidden/>
              </w:rPr>
              <w:tab/>
            </w:r>
            <w:r w:rsidR="00DA1ADD">
              <w:rPr>
                <w:noProof/>
                <w:webHidden/>
              </w:rPr>
              <w:fldChar w:fldCharType="begin"/>
            </w:r>
            <w:r w:rsidR="00DA1ADD">
              <w:rPr>
                <w:noProof/>
                <w:webHidden/>
              </w:rPr>
              <w:instrText xml:space="preserve"> PAGEREF _Toc33098901 \h </w:instrText>
            </w:r>
            <w:r w:rsidR="00DA1ADD">
              <w:rPr>
                <w:noProof/>
                <w:webHidden/>
              </w:rPr>
            </w:r>
            <w:r w:rsidR="00DA1ADD">
              <w:rPr>
                <w:noProof/>
                <w:webHidden/>
              </w:rPr>
              <w:fldChar w:fldCharType="separate"/>
            </w:r>
            <w:r w:rsidR="003C1421">
              <w:rPr>
                <w:noProof/>
                <w:webHidden/>
              </w:rPr>
              <w:t>57</w:t>
            </w:r>
            <w:r w:rsidR="00DA1ADD">
              <w:rPr>
                <w:noProof/>
                <w:webHidden/>
              </w:rPr>
              <w:fldChar w:fldCharType="end"/>
            </w:r>
          </w:hyperlink>
        </w:p>
        <w:p w:rsidR="00DA1ADD" w:rsidRDefault="001C6A93">
          <w:pPr>
            <w:pStyle w:val="TOC1"/>
            <w:tabs>
              <w:tab w:val="right" w:leader="dot" w:pos="9016"/>
            </w:tabs>
            <w:rPr>
              <w:rFonts w:asciiTheme="minorHAnsi" w:eastAsiaTheme="minorEastAsia" w:hAnsiTheme="minorHAnsi"/>
              <w:noProof/>
              <w:sz w:val="22"/>
              <w:lang w:eastAsia="en-AU"/>
            </w:rPr>
          </w:pPr>
          <w:hyperlink w:anchor="_Toc33098902" w:history="1">
            <w:r w:rsidR="00DA1ADD" w:rsidRPr="00407E9D">
              <w:rPr>
                <w:rStyle w:val="Hyperlink"/>
                <w:noProof/>
              </w:rPr>
              <w:t>Consultation</w:t>
            </w:r>
            <w:r w:rsidR="00DA1ADD">
              <w:rPr>
                <w:noProof/>
                <w:webHidden/>
              </w:rPr>
              <w:tab/>
            </w:r>
            <w:r w:rsidR="00DA1ADD">
              <w:rPr>
                <w:noProof/>
                <w:webHidden/>
              </w:rPr>
              <w:fldChar w:fldCharType="begin"/>
            </w:r>
            <w:r w:rsidR="00DA1ADD">
              <w:rPr>
                <w:noProof/>
                <w:webHidden/>
              </w:rPr>
              <w:instrText xml:space="preserve"> PAGEREF _Toc33098902 \h </w:instrText>
            </w:r>
            <w:r w:rsidR="00DA1ADD">
              <w:rPr>
                <w:noProof/>
                <w:webHidden/>
              </w:rPr>
            </w:r>
            <w:r w:rsidR="00DA1ADD">
              <w:rPr>
                <w:noProof/>
                <w:webHidden/>
              </w:rPr>
              <w:fldChar w:fldCharType="separate"/>
            </w:r>
            <w:r w:rsidR="003C1421">
              <w:rPr>
                <w:noProof/>
                <w:webHidden/>
              </w:rPr>
              <w:t>59</w:t>
            </w:r>
            <w:r w:rsidR="00DA1ADD">
              <w:rPr>
                <w:noProof/>
                <w:webHidden/>
              </w:rPr>
              <w:fldChar w:fldCharType="end"/>
            </w:r>
          </w:hyperlink>
        </w:p>
        <w:p w:rsidR="00DA1ADD" w:rsidRDefault="001C6A93">
          <w:pPr>
            <w:pStyle w:val="TOC1"/>
            <w:tabs>
              <w:tab w:val="right" w:leader="dot" w:pos="9016"/>
            </w:tabs>
            <w:rPr>
              <w:rFonts w:asciiTheme="minorHAnsi" w:eastAsiaTheme="minorEastAsia" w:hAnsiTheme="minorHAnsi"/>
              <w:noProof/>
              <w:sz w:val="22"/>
              <w:lang w:eastAsia="en-AU"/>
            </w:rPr>
          </w:pPr>
          <w:hyperlink w:anchor="_Toc33098903" w:history="1">
            <w:r w:rsidR="00DA1ADD" w:rsidRPr="00407E9D">
              <w:rPr>
                <w:rStyle w:val="Hyperlink"/>
                <w:noProof/>
              </w:rPr>
              <w:t>Conclusion</w:t>
            </w:r>
            <w:r w:rsidR="00DA1ADD">
              <w:rPr>
                <w:noProof/>
                <w:webHidden/>
              </w:rPr>
              <w:tab/>
            </w:r>
            <w:r w:rsidR="00DA1ADD">
              <w:rPr>
                <w:noProof/>
                <w:webHidden/>
              </w:rPr>
              <w:fldChar w:fldCharType="begin"/>
            </w:r>
            <w:r w:rsidR="00DA1ADD">
              <w:rPr>
                <w:noProof/>
                <w:webHidden/>
              </w:rPr>
              <w:instrText xml:space="preserve"> PAGEREF _Toc33098903 \h </w:instrText>
            </w:r>
            <w:r w:rsidR="00DA1ADD">
              <w:rPr>
                <w:noProof/>
                <w:webHidden/>
              </w:rPr>
            </w:r>
            <w:r w:rsidR="00DA1ADD">
              <w:rPr>
                <w:noProof/>
                <w:webHidden/>
              </w:rPr>
              <w:fldChar w:fldCharType="separate"/>
            </w:r>
            <w:r w:rsidR="003C1421">
              <w:rPr>
                <w:noProof/>
                <w:webHidden/>
              </w:rPr>
              <w:t>68</w:t>
            </w:r>
            <w:r w:rsidR="00DA1ADD">
              <w:rPr>
                <w:noProof/>
                <w:webHidden/>
              </w:rPr>
              <w:fldChar w:fldCharType="end"/>
            </w:r>
          </w:hyperlink>
        </w:p>
        <w:p w:rsidR="00DA1ADD" w:rsidRDefault="001C6A93">
          <w:pPr>
            <w:pStyle w:val="TOC1"/>
            <w:tabs>
              <w:tab w:val="right" w:leader="dot" w:pos="9016"/>
            </w:tabs>
            <w:rPr>
              <w:rFonts w:asciiTheme="minorHAnsi" w:eastAsiaTheme="minorEastAsia" w:hAnsiTheme="minorHAnsi"/>
              <w:noProof/>
              <w:sz w:val="22"/>
              <w:lang w:eastAsia="en-AU"/>
            </w:rPr>
          </w:pPr>
          <w:hyperlink w:anchor="_Toc33098904" w:history="1">
            <w:r w:rsidR="00DA1ADD" w:rsidRPr="00407E9D">
              <w:rPr>
                <w:rStyle w:val="Hyperlink"/>
                <w:noProof/>
              </w:rPr>
              <w:t>Attachment A</w:t>
            </w:r>
            <w:r w:rsidR="00DA1ADD">
              <w:rPr>
                <w:noProof/>
                <w:webHidden/>
              </w:rPr>
              <w:tab/>
            </w:r>
            <w:r w:rsidR="00DA1ADD">
              <w:rPr>
                <w:noProof/>
                <w:webHidden/>
              </w:rPr>
              <w:fldChar w:fldCharType="begin"/>
            </w:r>
            <w:r w:rsidR="00DA1ADD">
              <w:rPr>
                <w:noProof/>
                <w:webHidden/>
              </w:rPr>
              <w:instrText xml:space="preserve"> PAGEREF _Toc33098904 \h </w:instrText>
            </w:r>
            <w:r w:rsidR="00DA1ADD">
              <w:rPr>
                <w:noProof/>
                <w:webHidden/>
              </w:rPr>
            </w:r>
            <w:r w:rsidR="00DA1ADD">
              <w:rPr>
                <w:noProof/>
                <w:webHidden/>
              </w:rPr>
              <w:fldChar w:fldCharType="separate"/>
            </w:r>
            <w:r w:rsidR="003C1421">
              <w:rPr>
                <w:noProof/>
                <w:webHidden/>
              </w:rPr>
              <w:t>71</w:t>
            </w:r>
            <w:r w:rsidR="00DA1ADD">
              <w:rPr>
                <w:noProof/>
                <w:webHidden/>
              </w:rPr>
              <w:fldChar w:fldCharType="end"/>
            </w:r>
          </w:hyperlink>
        </w:p>
        <w:p w:rsidR="00E4642F" w:rsidRPr="00315CC1" w:rsidRDefault="00E4642F" w:rsidP="005E1DCB">
          <w:pPr>
            <w:pStyle w:val="TOC3"/>
            <w:tabs>
              <w:tab w:val="right" w:leader="dot" w:pos="9016"/>
            </w:tabs>
            <w:ind w:left="0"/>
            <w:rPr>
              <w:rFonts w:cs="Arial"/>
            </w:rPr>
          </w:pPr>
          <w:r w:rsidRPr="00315CC1">
            <w:rPr>
              <w:rFonts w:cs="Arial"/>
              <w:b/>
              <w:bCs/>
              <w:noProof/>
            </w:rPr>
            <w:fldChar w:fldCharType="end"/>
          </w:r>
        </w:p>
      </w:sdtContent>
    </w:sdt>
    <w:p w:rsidR="00E4642F" w:rsidRPr="00315CC1" w:rsidRDefault="00E4642F" w:rsidP="00AA7CEC">
      <w:pPr>
        <w:pStyle w:val="Heading1"/>
        <w:rPr>
          <w:rFonts w:cs="Arial"/>
        </w:rPr>
        <w:sectPr w:rsidR="00E4642F" w:rsidRPr="00315CC1" w:rsidSect="00521D7B">
          <w:footerReference w:type="first" r:id="rId17"/>
          <w:pgSz w:w="11906" w:h="16838"/>
          <w:pgMar w:top="1440" w:right="1440" w:bottom="1440" w:left="1440" w:header="708" w:footer="708" w:gutter="0"/>
          <w:cols w:space="708"/>
          <w:docGrid w:linePitch="360"/>
        </w:sectPr>
      </w:pPr>
    </w:p>
    <w:p w:rsidR="00E4642F" w:rsidRDefault="00E4642F" w:rsidP="00E95F85">
      <w:pPr>
        <w:pStyle w:val="Heading1"/>
      </w:pPr>
      <w:bookmarkStart w:id="5" w:name="_Toc32229014"/>
      <w:bookmarkStart w:id="6" w:name="_Toc33098408"/>
      <w:bookmarkStart w:id="7" w:name="_Toc33098867"/>
      <w:r>
        <w:lastRenderedPageBreak/>
        <w:t>Glossary</w:t>
      </w:r>
      <w:bookmarkEnd w:id="5"/>
      <w:bookmarkEnd w:id="6"/>
      <w:bookmarkEnd w:id="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lossary table"/>
      </w:tblPr>
      <w:tblGrid>
        <w:gridCol w:w="2502"/>
        <w:gridCol w:w="6568"/>
      </w:tblGrid>
      <w:tr w:rsidR="00E4642F" w:rsidRPr="00315CC1" w:rsidTr="00315CC1">
        <w:trPr>
          <w:tblHeader/>
        </w:trPr>
        <w:tc>
          <w:tcPr>
            <w:tcW w:w="1379" w:type="pct"/>
            <w:shd w:val="clear" w:color="auto" w:fill="184897"/>
          </w:tcPr>
          <w:p w:rsidR="00E4642F" w:rsidRPr="00315CC1" w:rsidRDefault="00E4642F" w:rsidP="00243B58">
            <w:pPr>
              <w:pStyle w:val="TableHeading"/>
            </w:pPr>
            <w:r w:rsidRPr="00315CC1">
              <w:t>Term</w:t>
            </w:r>
          </w:p>
        </w:tc>
        <w:tc>
          <w:tcPr>
            <w:tcW w:w="3621" w:type="pct"/>
            <w:shd w:val="clear" w:color="auto" w:fill="184897"/>
          </w:tcPr>
          <w:p w:rsidR="00E4642F" w:rsidRPr="00315CC1" w:rsidRDefault="00E4642F" w:rsidP="00243B58">
            <w:pPr>
              <w:pStyle w:val="TableHeading"/>
            </w:pPr>
            <w:r w:rsidRPr="00315CC1">
              <w:t>Meaning</w:t>
            </w:r>
          </w:p>
        </w:tc>
      </w:tr>
      <w:tr w:rsidR="00E4642F" w:rsidRPr="00315CC1" w:rsidTr="00315CC1">
        <w:trPr>
          <w:tblHeader/>
        </w:trPr>
        <w:tc>
          <w:tcPr>
            <w:tcW w:w="1379" w:type="pct"/>
            <w:tcBorders>
              <w:bottom w:val="single" w:sz="4" w:space="0" w:color="184897"/>
            </w:tcBorders>
          </w:tcPr>
          <w:p w:rsidR="00E4642F" w:rsidRPr="00315CC1" w:rsidRDefault="00E4642F" w:rsidP="005E1DCB">
            <w:pPr>
              <w:pStyle w:val="TableBody"/>
            </w:pPr>
            <w:r w:rsidRPr="00315CC1">
              <w:t>Deemed-to-Satisfy Provisions</w:t>
            </w:r>
          </w:p>
        </w:tc>
        <w:tc>
          <w:tcPr>
            <w:tcW w:w="3621" w:type="pct"/>
            <w:tcBorders>
              <w:bottom w:val="single" w:sz="4" w:space="0" w:color="184897"/>
            </w:tcBorders>
          </w:tcPr>
          <w:p w:rsidR="00E4642F" w:rsidRPr="00315CC1" w:rsidRDefault="00E4642F" w:rsidP="00243B58">
            <w:pPr>
              <w:pStyle w:val="TableBody"/>
            </w:pPr>
            <w:r w:rsidRPr="00315CC1">
              <w:t xml:space="preserve">Means provisions which are deemed to satisfy the Performance Requirements. </w:t>
            </w:r>
          </w:p>
        </w:tc>
      </w:tr>
      <w:tr w:rsidR="00E4642F" w:rsidRPr="00315CC1" w:rsidTr="00315CC1">
        <w:trPr>
          <w:tblHeader/>
        </w:trPr>
        <w:tc>
          <w:tcPr>
            <w:tcW w:w="1379" w:type="pct"/>
            <w:tcBorders>
              <w:top w:val="single" w:sz="4" w:space="0" w:color="184897"/>
              <w:bottom w:val="single" w:sz="4" w:space="0" w:color="184897"/>
            </w:tcBorders>
          </w:tcPr>
          <w:p w:rsidR="00E4642F" w:rsidRPr="00315CC1" w:rsidRDefault="00E4642F" w:rsidP="005E1DCB">
            <w:pPr>
              <w:pStyle w:val="TableBody"/>
            </w:pPr>
            <w:r w:rsidRPr="00315CC1">
              <w:t>Performance Requirement</w:t>
            </w:r>
          </w:p>
        </w:tc>
        <w:tc>
          <w:tcPr>
            <w:tcW w:w="3621" w:type="pct"/>
            <w:tcBorders>
              <w:top w:val="single" w:sz="4" w:space="0" w:color="184897"/>
              <w:bottom w:val="single" w:sz="4" w:space="0" w:color="184897"/>
            </w:tcBorders>
          </w:tcPr>
          <w:p w:rsidR="00E4642F" w:rsidRPr="00315CC1" w:rsidRDefault="00E4642F" w:rsidP="00243B58">
            <w:pPr>
              <w:pStyle w:val="TableBody"/>
            </w:pPr>
            <w:r w:rsidRPr="00315CC1">
              <w:t>Means a requirement which states the level of performance which a Performance Solution or Deemed-to-Satisfy Solution must meet.</w:t>
            </w:r>
          </w:p>
        </w:tc>
      </w:tr>
      <w:tr w:rsidR="005955CC" w:rsidRPr="00315CC1" w:rsidTr="00315CC1">
        <w:trPr>
          <w:tblHeader/>
        </w:trPr>
        <w:tc>
          <w:tcPr>
            <w:tcW w:w="1379" w:type="pct"/>
            <w:tcBorders>
              <w:top w:val="single" w:sz="4" w:space="0" w:color="184897"/>
              <w:bottom w:val="single" w:sz="4" w:space="0" w:color="184897"/>
            </w:tcBorders>
          </w:tcPr>
          <w:p w:rsidR="005955CC" w:rsidRPr="00315CC1" w:rsidRDefault="00180764" w:rsidP="005E1DCB">
            <w:pPr>
              <w:pStyle w:val="TableBody"/>
            </w:pPr>
            <w:r w:rsidRPr="00315CC1">
              <w:t>Performance Solution</w:t>
            </w:r>
          </w:p>
        </w:tc>
        <w:tc>
          <w:tcPr>
            <w:tcW w:w="3621" w:type="pct"/>
            <w:tcBorders>
              <w:top w:val="single" w:sz="4" w:space="0" w:color="184897"/>
              <w:bottom w:val="single" w:sz="4" w:space="0" w:color="184897"/>
            </w:tcBorders>
          </w:tcPr>
          <w:p w:rsidR="005955CC" w:rsidRPr="00315CC1" w:rsidRDefault="000D0AEE" w:rsidP="00243B58">
            <w:pPr>
              <w:pStyle w:val="TableBody"/>
            </w:pPr>
            <w:r w:rsidRPr="00315CC1">
              <w:t xml:space="preserve">Means a method of complying with the Performance Requirements other than by a Deemed-to-Satisfy Solution. </w:t>
            </w:r>
          </w:p>
        </w:tc>
      </w:tr>
    </w:tbl>
    <w:p w:rsidR="00E4642F" w:rsidRDefault="00E4642F" w:rsidP="00E95F85">
      <w:pPr>
        <w:pStyle w:val="Heading1"/>
      </w:pPr>
      <w:r>
        <w:br w:type="page"/>
      </w:r>
    </w:p>
    <w:p w:rsidR="00E4642F" w:rsidRPr="00315CC1" w:rsidRDefault="00E4642F" w:rsidP="00315CC1">
      <w:pPr>
        <w:pStyle w:val="Heading1"/>
      </w:pPr>
      <w:bookmarkStart w:id="8" w:name="_Toc32229015"/>
      <w:bookmarkStart w:id="9" w:name="_Toc33098409"/>
      <w:bookmarkStart w:id="10" w:name="_Toc33098868"/>
      <w:r w:rsidRPr="00315CC1">
        <w:lastRenderedPageBreak/>
        <w:t>Acronyms</w:t>
      </w:r>
      <w:bookmarkEnd w:id="8"/>
      <w:bookmarkEnd w:id="9"/>
      <w:bookmarkEnd w:id="10"/>
    </w:p>
    <w:tbl>
      <w:tblPr>
        <w:tblStyle w:val="TableGrid"/>
        <w:tblW w:w="47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Glossary of abbreviations used in this document."/>
      </w:tblPr>
      <w:tblGrid>
        <w:gridCol w:w="1984"/>
        <w:gridCol w:w="6569"/>
      </w:tblGrid>
      <w:tr w:rsidR="00E4642F" w:rsidRPr="00513B40" w:rsidTr="003756FF">
        <w:trPr>
          <w:tblHeader/>
        </w:trPr>
        <w:tc>
          <w:tcPr>
            <w:tcW w:w="1160" w:type="pct"/>
            <w:tcBorders>
              <w:bottom w:val="single" w:sz="4" w:space="0" w:color="184897"/>
            </w:tcBorders>
            <w:shd w:val="clear" w:color="auto" w:fill="184897"/>
          </w:tcPr>
          <w:p w:rsidR="00E4642F" w:rsidRPr="00513B40" w:rsidRDefault="00E4642F" w:rsidP="00243B58">
            <w:pPr>
              <w:pStyle w:val="TableHeading"/>
            </w:pPr>
            <w:r w:rsidRPr="00513B40">
              <w:t>Abbreviation</w:t>
            </w:r>
          </w:p>
        </w:tc>
        <w:tc>
          <w:tcPr>
            <w:tcW w:w="3840" w:type="pct"/>
            <w:tcBorders>
              <w:bottom w:val="single" w:sz="4" w:space="0" w:color="184897"/>
            </w:tcBorders>
            <w:shd w:val="clear" w:color="auto" w:fill="184897"/>
          </w:tcPr>
          <w:p w:rsidR="00E4642F" w:rsidRPr="00513B40" w:rsidRDefault="00E4642F" w:rsidP="00243B58">
            <w:pPr>
              <w:pStyle w:val="TableHeading"/>
            </w:pPr>
            <w:r w:rsidRPr="00513B40">
              <w:t>Full Name</w:t>
            </w:r>
          </w:p>
        </w:tc>
      </w:tr>
      <w:tr w:rsidR="00E4642F" w:rsidRPr="00B32C56" w:rsidTr="003756FF">
        <w:trPr>
          <w:cantSplit/>
        </w:trPr>
        <w:tc>
          <w:tcPr>
            <w:tcW w:w="1160" w:type="pct"/>
            <w:tcBorders>
              <w:top w:val="single" w:sz="4" w:space="0" w:color="184897"/>
              <w:bottom w:val="single" w:sz="4" w:space="0" w:color="184897"/>
            </w:tcBorders>
          </w:tcPr>
          <w:p w:rsidR="00E4642F" w:rsidRPr="00B32C56" w:rsidRDefault="00E4642F" w:rsidP="00243B58">
            <w:pPr>
              <w:pStyle w:val="TableBody"/>
            </w:pPr>
            <w:r w:rsidRPr="00B32C56">
              <w:t>ABCB</w:t>
            </w:r>
          </w:p>
        </w:tc>
        <w:tc>
          <w:tcPr>
            <w:tcW w:w="3840" w:type="pct"/>
            <w:tcBorders>
              <w:top w:val="single" w:sz="4" w:space="0" w:color="184897"/>
              <w:bottom w:val="single" w:sz="4" w:space="0" w:color="184897"/>
            </w:tcBorders>
          </w:tcPr>
          <w:p w:rsidR="00E4642F" w:rsidRPr="00B32C56" w:rsidRDefault="00E4642F" w:rsidP="00243B58">
            <w:pPr>
              <w:pStyle w:val="TableBody"/>
            </w:pPr>
            <w:r w:rsidRPr="00B32C56">
              <w:t>Australian Building Codes Board</w:t>
            </w:r>
          </w:p>
        </w:tc>
      </w:tr>
      <w:tr w:rsidR="00981719" w:rsidRPr="00B32C56" w:rsidTr="003756FF">
        <w:trPr>
          <w:cantSplit/>
        </w:trPr>
        <w:tc>
          <w:tcPr>
            <w:tcW w:w="1160" w:type="pct"/>
            <w:tcBorders>
              <w:top w:val="single" w:sz="4" w:space="0" w:color="184897"/>
              <w:bottom w:val="single" w:sz="4" w:space="0" w:color="184897"/>
            </w:tcBorders>
          </w:tcPr>
          <w:p w:rsidR="00981719" w:rsidRPr="00B32C56" w:rsidRDefault="00981719" w:rsidP="00243B58">
            <w:pPr>
              <w:pStyle w:val="TableBody"/>
            </w:pPr>
            <w:r>
              <w:t>AIA</w:t>
            </w:r>
          </w:p>
        </w:tc>
        <w:tc>
          <w:tcPr>
            <w:tcW w:w="3840" w:type="pct"/>
            <w:tcBorders>
              <w:top w:val="single" w:sz="4" w:space="0" w:color="184897"/>
              <w:bottom w:val="single" w:sz="4" w:space="0" w:color="184897"/>
            </w:tcBorders>
          </w:tcPr>
          <w:p w:rsidR="00981719" w:rsidRPr="00B32C56" w:rsidRDefault="00981719" w:rsidP="00243B58">
            <w:pPr>
              <w:pStyle w:val="TableBody"/>
            </w:pPr>
            <w:r>
              <w:t>Australian Institute of Architects</w:t>
            </w:r>
          </w:p>
        </w:tc>
      </w:tr>
      <w:tr w:rsidR="00981719" w:rsidRPr="00B32C56" w:rsidTr="003756FF">
        <w:trPr>
          <w:cantSplit/>
        </w:trPr>
        <w:tc>
          <w:tcPr>
            <w:tcW w:w="1160" w:type="pct"/>
            <w:tcBorders>
              <w:top w:val="single" w:sz="4" w:space="0" w:color="184897"/>
              <w:bottom w:val="single" w:sz="4" w:space="0" w:color="184897"/>
            </w:tcBorders>
          </w:tcPr>
          <w:p w:rsidR="00981719" w:rsidRPr="00B32C56" w:rsidRDefault="00981719" w:rsidP="00243B58">
            <w:pPr>
              <w:pStyle w:val="TableBody"/>
            </w:pPr>
            <w:r>
              <w:t>AIBS</w:t>
            </w:r>
          </w:p>
        </w:tc>
        <w:tc>
          <w:tcPr>
            <w:tcW w:w="3840" w:type="pct"/>
            <w:tcBorders>
              <w:top w:val="single" w:sz="4" w:space="0" w:color="184897"/>
              <w:bottom w:val="single" w:sz="4" w:space="0" w:color="184897"/>
            </w:tcBorders>
          </w:tcPr>
          <w:p w:rsidR="00981719" w:rsidRPr="00B32C56" w:rsidRDefault="00981719" w:rsidP="00243B58">
            <w:pPr>
              <w:pStyle w:val="TableBody"/>
            </w:pPr>
            <w:r>
              <w:t>Australian Institute of Building Surveyors</w:t>
            </w:r>
          </w:p>
        </w:tc>
      </w:tr>
      <w:tr w:rsidR="00981719" w:rsidRPr="00B32C56" w:rsidTr="003756FF">
        <w:trPr>
          <w:cantSplit/>
        </w:trPr>
        <w:tc>
          <w:tcPr>
            <w:tcW w:w="1160" w:type="pct"/>
            <w:tcBorders>
              <w:top w:val="single" w:sz="4" w:space="0" w:color="184897"/>
              <w:bottom w:val="single" w:sz="4" w:space="0" w:color="184897"/>
            </w:tcBorders>
          </w:tcPr>
          <w:p w:rsidR="00981719" w:rsidRDefault="00981719" w:rsidP="00243B58">
            <w:pPr>
              <w:pStyle w:val="TableBody"/>
            </w:pPr>
            <w:r>
              <w:t>AIRAH</w:t>
            </w:r>
          </w:p>
        </w:tc>
        <w:tc>
          <w:tcPr>
            <w:tcW w:w="3840" w:type="pct"/>
            <w:tcBorders>
              <w:top w:val="single" w:sz="4" w:space="0" w:color="184897"/>
              <w:bottom w:val="single" w:sz="4" w:space="0" w:color="184897"/>
            </w:tcBorders>
          </w:tcPr>
          <w:p w:rsidR="00981719" w:rsidRDefault="00981719" w:rsidP="00243B58">
            <w:pPr>
              <w:pStyle w:val="TableBody"/>
            </w:pPr>
            <w:r>
              <w:t xml:space="preserve">Australian Institute of Refrigeration, Air-Conditioning and Heating </w:t>
            </w:r>
          </w:p>
        </w:tc>
      </w:tr>
      <w:tr w:rsidR="000D0AEE" w:rsidRPr="00B32C56" w:rsidTr="003756FF">
        <w:trPr>
          <w:cantSplit/>
        </w:trPr>
        <w:tc>
          <w:tcPr>
            <w:tcW w:w="1160" w:type="pct"/>
            <w:tcBorders>
              <w:top w:val="single" w:sz="4" w:space="0" w:color="184897"/>
              <w:bottom w:val="single" w:sz="4" w:space="0" w:color="184897"/>
            </w:tcBorders>
          </w:tcPr>
          <w:p w:rsidR="000D0AEE" w:rsidRPr="00B32C56" w:rsidRDefault="000D0AEE" w:rsidP="00243B58">
            <w:pPr>
              <w:pStyle w:val="TableBody"/>
            </w:pPr>
            <w:r>
              <w:t>BCA</w:t>
            </w:r>
          </w:p>
        </w:tc>
        <w:tc>
          <w:tcPr>
            <w:tcW w:w="3840" w:type="pct"/>
            <w:tcBorders>
              <w:top w:val="single" w:sz="4" w:space="0" w:color="184897"/>
              <w:bottom w:val="single" w:sz="4" w:space="0" w:color="184897"/>
            </w:tcBorders>
          </w:tcPr>
          <w:p w:rsidR="000D0AEE" w:rsidRPr="00B32C56" w:rsidRDefault="000D0AEE" w:rsidP="00243B58">
            <w:pPr>
              <w:pStyle w:val="TableBody"/>
            </w:pPr>
            <w:r>
              <w:t>Building Code of Australia</w:t>
            </w:r>
          </w:p>
        </w:tc>
      </w:tr>
      <w:tr w:rsidR="00CF14CC" w:rsidRPr="00B32C56" w:rsidTr="003756FF">
        <w:trPr>
          <w:cantSplit/>
        </w:trPr>
        <w:tc>
          <w:tcPr>
            <w:tcW w:w="1160" w:type="pct"/>
            <w:tcBorders>
              <w:top w:val="single" w:sz="4" w:space="0" w:color="184897"/>
              <w:bottom w:val="single" w:sz="4" w:space="0" w:color="184897"/>
            </w:tcBorders>
          </w:tcPr>
          <w:p w:rsidR="00CF14CC" w:rsidRDefault="00CF14CC" w:rsidP="00243B58">
            <w:pPr>
              <w:pStyle w:val="TableBody"/>
            </w:pPr>
            <w:r>
              <w:t>BCR</w:t>
            </w:r>
          </w:p>
        </w:tc>
        <w:tc>
          <w:tcPr>
            <w:tcW w:w="3840" w:type="pct"/>
            <w:tcBorders>
              <w:top w:val="single" w:sz="4" w:space="0" w:color="184897"/>
              <w:bottom w:val="single" w:sz="4" w:space="0" w:color="184897"/>
            </w:tcBorders>
          </w:tcPr>
          <w:p w:rsidR="00CF14CC" w:rsidRDefault="00CF14CC" w:rsidP="00243B58">
            <w:pPr>
              <w:pStyle w:val="TableBody"/>
            </w:pPr>
            <w:r>
              <w:t>Building Confidence Report</w:t>
            </w:r>
          </w:p>
        </w:tc>
      </w:tr>
      <w:tr w:rsidR="00E4642F" w:rsidRPr="00B32C56" w:rsidTr="003756FF">
        <w:trPr>
          <w:cantSplit/>
        </w:trPr>
        <w:tc>
          <w:tcPr>
            <w:tcW w:w="1160" w:type="pct"/>
            <w:tcBorders>
              <w:top w:val="single" w:sz="4" w:space="0" w:color="184897"/>
              <w:bottom w:val="single" w:sz="4" w:space="0" w:color="184897"/>
            </w:tcBorders>
          </w:tcPr>
          <w:p w:rsidR="00E4642F" w:rsidRPr="00B32C56" w:rsidRDefault="00E4642F" w:rsidP="00243B58">
            <w:pPr>
              <w:pStyle w:val="TableBody"/>
            </w:pPr>
            <w:r w:rsidRPr="00B32C56">
              <w:t>COAG</w:t>
            </w:r>
          </w:p>
        </w:tc>
        <w:tc>
          <w:tcPr>
            <w:tcW w:w="3840" w:type="pct"/>
            <w:tcBorders>
              <w:top w:val="single" w:sz="4" w:space="0" w:color="184897"/>
              <w:bottom w:val="single" w:sz="4" w:space="0" w:color="184897"/>
            </w:tcBorders>
          </w:tcPr>
          <w:p w:rsidR="00E4642F" w:rsidRPr="00B32C56" w:rsidRDefault="00E4642F" w:rsidP="00243B58">
            <w:pPr>
              <w:pStyle w:val="TableBody"/>
            </w:pPr>
            <w:r w:rsidRPr="00B32C56">
              <w:t>Council of Australian Governments</w:t>
            </w:r>
          </w:p>
        </w:tc>
      </w:tr>
      <w:tr w:rsidR="00180764" w:rsidRPr="00B32C56" w:rsidTr="003756FF">
        <w:trPr>
          <w:cantSplit/>
        </w:trPr>
        <w:tc>
          <w:tcPr>
            <w:tcW w:w="1160" w:type="pct"/>
            <w:tcBorders>
              <w:top w:val="single" w:sz="4" w:space="0" w:color="184897"/>
              <w:bottom w:val="single" w:sz="4" w:space="0" w:color="184897"/>
            </w:tcBorders>
          </w:tcPr>
          <w:p w:rsidR="00180764" w:rsidRPr="00B32C56" w:rsidRDefault="00180764" w:rsidP="00243B58">
            <w:pPr>
              <w:pStyle w:val="TableBody"/>
            </w:pPr>
            <w:r>
              <w:t>D</w:t>
            </w:r>
            <w:r w:rsidR="00467D2B">
              <w:t>T</w:t>
            </w:r>
            <w:r>
              <w:t>S</w:t>
            </w:r>
          </w:p>
        </w:tc>
        <w:tc>
          <w:tcPr>
            <w:tcW w:w="3840" w:type="pct"/>
            <w:tcBorders>
              <w:top w:val="single" w:sz="4" w:space="0" w:color="184897"/>
              <w:bottom w:val="single" w:sz="4" w:space="0" w:color="184897"/>
            </w:tcBorders>
          </w:tcPr>
          <w:p w:rsidR="00180764" w:rsidRPr="00B32C56" w:rsidRDefault="00180764" w:rsidP="00B141DF">
            <w:pPr>
              <w:pStyle w:val="TableBody"/>
            </w:pPr>
            <w:r>
              <w:t>Deemed</w:t>
            </w:r>
            <w:r w:rsidR="00CF14CC">
              <w:t>-</w:t>
            </w:r>
            <w:r>
              <w:t>to</w:t>
            </w:r>
            <w:r w:rsidR="00CF14CC">
              <w:t>-</w:t>
            </w:r>
            <w:r>
              <w:t>Satisfy</w:t>
            </w:r>
          </w:p>
        </w:tc>
      </w:tr>
      <w:tr w:rsidR="00981719" w:rsidRPr="00B32C56" w:rsidTr="003756FF">
        <w:trPr>
          <w:cantSplit/>
        </w:trPr>
        <w:tc>
          <w:tcPr>
            <w:tcW w:w="1160" w:type="pct"/>
            <w:tcBorders>
              <w:top w:val="single" w:sz="4" w:space="0" w:color="184897"/>
              <w:bottom w:val="single" w:sz="4" w:space="0" w:color="184897"/>
            </w:tcBorders>
          </w:tcPr>
          <w:p w:rsidR="00981719" w:rsidRPr="00B32C56" w:rsidRDefault="00981719" w:rsidP="00243B58">
            <w:pPr>
              <w:pStyle w:val="TableBody"/>
            </w:pPr>
            <w:r>
              <w:t>EA</w:t>
            </w:r>
          </w:p>
        </w:tc>
        <w:tc>
          <w:tcPr>
            <w:tcW w:w="3840" w:type="pct"/>
            <w:tcBorders>
              <w:top w:val="single" w:sz="4" w:space="0" w:color="184897"/>
              <w:bottom w:val="single" w:sz="4" w:space="0" w:color="184897"/>
            </w:tcBorders>
          </w:tcPr>
          <w:p w:rsidR="00981719" w:rsidRPr="00B32C56" w:rsidRDefault="00981719" w:rsidP="00243B58">
            <w:pPr>
              <w:pStyle w:val="TableBody"/>
            </w:pPr>
            <w:r>
              <w:t>Engineers Australia</w:t>
            </w:r>
          </w:p>
        </w:tc>
      </w:tr>
      <w:tr w:rsidR="00981719" w:rsidRPr="00B32C56" w:rsidTr="003756FF">
        <w:trPr>
          <w:cantSplit/>
        </w:trPr>
        <w:tc>
          <w:tcPr>
            <w:tcW w:w="1160" w:type="pct"/>
            <w:tcBorders>
              <w:top w:val="single" w:sz="4" w:space="0" w:color="184897"/>
              <w:bottom w:val="single" w:sz="4" w:space="0" w:color="184897"/>
            </w:tcBorders>
          </w:tcPr>
          <w:p w:rsidR="00981719" w:rsidRDefault="00981719" w:rsidP="00243B58">
            <w:pPr>
              <w:pStyle w:val="TableBody"/>
            </w:pPr>
            <w:r>
              <w:t>HIA</w:t>
            </w:r>
          </w:p>
        </w:tc>
        <w:tc>
          <w:tcPr>
            <w:tcW w:w="3840" w:type="pct"/>
            <w:tcBorders>
              <w:top w:val="single" w:sz="4" w:space="0" w:color="184897"/>
              <w:bottom w:val="single" w:sz="4" w:space="0" w:color="184897"/>
            </w:tcBorders>
          </w:tcPr>
          <w:p w:rsidR="00981719" w:rsidRDefault="00981719" w:rsidP="00243B58">
            <w:pPr>
              <w:pStyle w:val="TableBody"/>
            </w:pPr>
            <w:r>
              <w:t>Housing Industry Association</w:t>
            </w:r>
          </w:p>
        </w:tc>
      </w:tr>
      <w:tr w:rsidR="00981719" w:rsidRPr="00B32C56" w:rsidTr="003756FF">
        <w:trPr>
          <w:cantSplit/>
        </w:trPr>
        <w:tc>
          <w:tcPr>
            <w:tcW w:w="1160" w:type="pct"/>
            <w:tcBorders>
              <w:top w:val="single" w:sz="4" w:space="0" w:color="184897"/>
              <w:bottom w:val="single" w:sz="4" w:space="0" w:color="184897"/>
            </w:tcBorders>
          </w:tcPr>
          <w:p w:rsidR="00981719" w:rsidRDefault="00981719" w:rsidP="00243B58">
            <w:pPr>
              <w:pStyle w:val="TableBody"/>
            </w:pPr>
            <w:r>
              <w:t>IFEA</w:t>
            </w:r>
          </w:p>
        </w:tc>
        <w:tc>
          <w:tcPr>
            <w:tcW w:w="3840" w:type="pct"/>
            <w:tcBorders>
              <w:top w:val="single" w:sz="4" w:space="0" w:color="184897"/>
              <w:bottom w:val="single" w:sz="4" w:space="0" w:color="184897"/>
            </w:tcBorders>
          </w:tcPr>
          <w:p w:rsidR="00981719" w:rsidRDefault="00981719" w:rsidP="00243B58">
            <w:pPr>
              <w:pStyle w:val="TableBody"/>
            </w:pPr>
            <w:r>
              <w:t>Institute of Fire Engineers Australia</w:t>
            </w:r>
          </w:p>
        </w:tc>
      </w:tr>
      <w:tr w:rsidR="007A31CE" w:rsidRPr="00B32C56" w:rsidTr="003756FF">
        <w:trPr>
          <w:cantSplit/>
        </w:trPr>
        <w:tc>
          <w:tcPr>
            <w:tcW w:w="1160" w:type="pct"/>
            <w:tcBorders>
              <w:top w:val="single" w:sz="4" w:space="0" w:color="184897"/>
              <w:bottom w:val="single" w:sz="4" w:space="0" w:color="184897"/>
            </w:tcBorders>
          </w:tcPr>
          <w:p w:rsidR="007A31CE" w:rsidRDefault="007A31CE" w:rsidP="00243B58">
            <w:pPr>
              <w:pStyle w:val="TableBody"/>
            </w:pPr>
            <w:r>
              <w:t>IFEG</w:t>
            </w:r>
          </w:p>
        </w:tc>
        <w:tc>
          <w:tcPr>
            <w:tcW w:w="3840" w:type="pct"/>
            <w:tcBorders>
              <w:top w:val="single" w:sz="4" w:space="0" w:color="184897"/>
              <w:bottom w:val="single" w:sz="4" w:space="0" w:color="184897"/>
            </w:tcBorders>
          </w:tcPr>
          <w:p w:rsidR="007A31CE" w:rsidRDefault="007A31CE" w:rsidP="00243B58">
            <w:pPr>
              <w:pStyle w:val="TableBody"/>
            </w:pPr>
            <w:r>
              <w:t>International Fire Engineering Guidelines</w:t>
            </w:r>
          </w:p>
        </w:tc>
      </w:tr>
      <w:tr w:rsidR="00D24284" w:rsidRPr="00B32C56" w:rsidTr="003756FF">
        <w:trPr>
          <w:cantSplit/>
        </w:trPr>
        <w:tc>
          <w:tcPr>
            <w:tcW w:w="1160" w:type="pct"/>
            <w:tcBorders>
              <w:top w:val="single" w:sz="4" w:space="0" w:color="184897"/>
              <w:bottom w:val="single" w:sz="4" w:space="0" w:color="184897"/>
            </w:tcBorders>
          </w:tcPr>
          <w:p w:rsidR="00D24284" w:rsidRDefault="00D24284" w:rsidP="00243B58">
            <w:pPr>
              <w:pStyle w:val="TableBody"/>
            </w:pPr>
            <w:r>
              <w:t>IRCC</w:t>
            </w:r>
          </w:p>
        </w:tc>
        <w:tc>
          <w:tcPr>
            <w:tcW w:w="3840" w:type="pct"/>
            <w:tcBorders>
              <w:top w:val="single" w:sz="4" w:space="0" w:color="184897"/>
              <w:bottom w:val="single" w:sz="4" w:space="0" w:color="184897"/>
            </w:tcBorders>
          </w:tcPr>
          <w:p w:rsidR="00D24284" w:rsidRDefault="00D24284" w:rsidP="00243B58">
            <w:pPr>
              <w:pStyle w:val="TableBody"/>
            </w:pPr>
            <w:r w:rsidRPr="00D24284">
              <w:t>Inter-jurisdictional Regulatory Collaboration Committee</w:t>
            </w:r>
          </w:p>
        </w:tc>
      </w:tr>
      <w:tr w:rsidR="00981719" w:rsidRPr="00B32C56" w:rsidTr="003756FF">
        <w:trPr>
          <w:cantSplit/>
        </w:trPr>
        <w:tc>
          <w:tcPr>
            <w:tcW w:w="1160" w:type="pct"/>
            <w:tcBorders>
              <w:top w:val="single" w:sz="4" w:space="0" w:color="184897"/>
              <w:bottom w:val="single" w:sz="4" w:space="0" w:color="184897"/>
            </w:tcBorders>
          </w:tcPr>
          <w:p w:rsidR="00981719" w:rsidRPr="00B32C56" w:rsidRDefault="00981719" w:rsidP="00243B58">
            <w:pPr>
              <w:pStyle w:val="TableBody"/>
            </w:pPr>
            <w:r>
              <w:t>MBA</w:t>
            </w:r>
          </w:p>
        </w:tc>
        <w:tc>
          <w:tcPr>
            <w:tcW w:w="3840" w:type="pct"/>
            <w:tcBorders>
              <w:top w:val="single" w:sz="4" w:space="0" w:color="184897"/>
              <w:bottom w:val="single" w:sz="4" w:space="0" w:color="184897"/>
            </w:tcBorders>
          </w:tcPr>
          <w:p w:rsidR="00981719" w:rsidRPr="00B32C56" w:rsidRDefault="00981719" w:rsidP="00243B58">
            <w:pPr>
              <w:pStyle w:val="TableBody"/>
            </w:pPr>
            <w:r>
              <w:t>Master Builders Australia</w:t>
            </w:r>
          </w:p>
        </w:tc>
      </w:tr>
      <w:tr w:rsidR="00981719" w:rsidRPr="00B32C56" w:rsidTr="003756FF">
        <w:trPr>
          <w:cantSplit/>
        </w:trPr>
        <w:tc>
          <w:tcPr>
            <w:tcW w:w="1160" w:type="pct"/>
            <w:tcBorders>
              <w:top w:val="single" w:sz="4" w:space="0" w:color="184897"/>
              <w:bottom w:val="single" w:sz="4" w:space="0" w:color="184897"/>
            </w:tcBorders>
          </w:tcPr>
          <w:p w:rsidR="00981719" w:rsidRPr="00B32C56" w:rsidRDefault="00981719" w:rsidP="00243B58">
            <w:pPr>
              <w:pStyle w:val="TableBody"/>
            </w:pPr>
            <w:r>
              <w:t>MPA</w:t>
            </w:r>
          </w:p>
        </w:tc>
        <w:tc>
          <w:tcPr>
            <w:tcW w:w="3840" w:type="pct"/>
            <w:tcBorders>
              <w:top w:val="single" w:sz="4" w:space="0" w:color="184897"/>
              <w:bottom w:val="single" w:sz="4" w:space="0" w:color="184897"/>
            </w:tcBorders>
          </w:tcPr>
          <w:p w:rsidR="00981719" w:rsidRPr="00B32C56" w:rsidRDefault="00981719" w:rsidP="00243B58">
            <w:pPr>
              <w:pStyle w:val="TableBody"/>
            </w:pPr>
            <w:r>
              <w:t>Master Plumbers Association</w:t>
            </w:r>
          </w:p>
        </w:tc>
      </w:tr>
      <w:tr w:rsidR="00E4642F" w:rsidRPr="00B32C56" w:rsidTr="003756FF">
        <w:trPr>
          <w:cantSplit/>
        </w:trPr>
        <w:tc>
          <w:tcPr>
            <w:tcW w:w="1160" w:type="pct"/>
            <w:tcBorders>
              <w:top w:val="single" w:sz="4" w:space="0" w:color="184897"/>
              <w:bottom w:val="single" w:sz="4" w:space="0" w:color="184897"/>
            </w:tcBorders>
          </w:tcPr>
          <w:p w:rsidR="00E4642F" w:rsidRPr="00B32C56" w:rsidRDefault="00E4642F" w:rsidP="00243B58">
            <w:pPr>
              <w:pStyle w:val="TableBody"/>
            </w:pPr>
            <w:r w:rsidRPr="00B32C56">
              <w:t>NCC</w:t>
            </w:r>
          </w:p>
        </w:tc>
        <w:tc>
          <w:tcPr>
            <w:tcW w:w="3840" w:type="pct"/>
            <w:tcBorders>
              <w:top w:val="single" w:sz="4" w:space="0" w:color="184897"/>
              <w:bottom w:val="single" w:sz="4" w:space="0" w:color="184897"/>
            </w:tcBorders>
          </w:tcPr>
          <w:p w:rsidR="00E4642F" w:rsidRPr="00B32C56" w:rsidRDefault="00E4642F" w:rsidP="00243B58">
            <w:pPr>
              <w:pStyle w:val="TableBody"/>
            </w:pPr>
            <w:r w:rsidRPr="00B32C56">
              <w:t>National Construction Code</w:t>
            </w:r>
          </w:p>
        </w:tc>
      </w:tr>
      <w:tr w:rsidR="00E4642F" w:rsidRPr="00B32C56" w:rsidTr="003756FF">
        <w:trPr>
          <w:cantSplit/>
        </w:trPr>
        <w:tc>
          <w:tcPr>
            <w:tcW w:w="1160" w:type="pct"/>
            <w:tcBorders>
              <w:top w:val="single" w:sz="4" w:space="0" w:color="184897"/>
              <w:bottom w:val="single" w:sz="4" w:space="0" w:color="184897"/>
            </w:tcBorders>
          </w:tcPr>
          <w:p w:rsidR="00E4642F" w:rsidRPr="00B32C56" w:rsidRDefault="00E4642F" w:rsidP="00243B58">
            <w:pPr>
              <w:pStyle w:val="TableBody"/>
            </w:pPr>
            <w:r w:rsidRPr="00B32C56">
              <w:t>OBPR</w:t>
            </w:r>
          </w:p>
        </w:tc>
        <w:tc>
          <w:tcPr>
            <w:tcW w:w="3840" w:type="pct"/>
            <w:tcBorders>
              <w:top w:val="single" w:sz="4" w:space="0" w:color="184897"/>
              <w:bottom w:val="single" w:sz="4" w:space="0" w:color="184897"/>
            </w:tcBorders>
          </w:tcPr>
          <w:p w:rsidR="00E4642F" w:rsidRPr="00B32C56" w:rsidRDefault="00E4642F" w:rsidP="00243B58">
            <w:pPr>
              <w:pStyle w:val="TableBody"/>
            </w:pPr>
            <w:r w:rsidRPr="00B32C56">
              <w:t>Office of Best Practice Regulation</w:t>
            </w:r>
          </w:p>
        </w:tc>
      </w:tr>
      <w:tr w:rsidR="00180764" w:rsidRPr="00B32C56" w:rsidTr="003756FF">
        <w:trPr>
          <w:cantSplit/>
        </w:trPr>
        <w:tc>
          <w:tcPr>
            <w:tcW w:w="1160" w:type="pct"/>
            <w:tcBorders>
              <w:top w:val="single" w:sz="4" w:space="0" w:color="184897"/>
              <w:bottom w:val="single" w:sz="4" w:space="0" w:color="184897"/>
            </w:tcBorders>
          </w:tcPr>
          <w:p w:rsidR="00180764" w:rsidRPr="00B32C56" w:rsidRDefault="00180764" w:rsidP="00243B58">
            <w:pPr>
              <w:pStyle w:val="TableBody"/>
            </w:pPr>
            <w:r>
              <w:t>PBDB</w:t>
            </w:r>
          </w:p>
        </w:tc>
        <w:tc>
          <w:tcPr>
            <w:tcW w:w="3840" w:type="pct"/>
            <w:tcBorders>
              <w:top w:val="single" w:sz="4" w:space="0" w:color="184897"/>
              <w:bottom w:val="single" w:sz="4" w:space="0" w:color="184897"/>
            </w:tcBorders>
          </w:tcPr>
          <w:p w:rsidR="00180764" w:rsidRPr="00B32C56" w:rsidRDefault="006875EC" w:rsidP="00243B58">
            <w:pPr>
              <w:pStyle w:val="TableBody"/>
            </w:pPr>
            <w:r>
              <w:t>Performance-b</w:t>
            </w:r>
            <w:r w:rsidR="00180764">
              <w:t>ased Design Brief</w:t>
            </w:r>
          </w:p>
        </w:tc>
      </w:tr>
      <w:tr w:rsidR="00E4642F" w:rsidRPr="00B32C56" w:rsidTr="003756FF">
        <w:trPr>
          <w:cantSplit/>
        </w:trPr>
        <w:tc>
          <w:tcPr>
            <w:tcW w:w="1160" w:type="pct"/>
            <w:tcBorders>
              <w:top w:val="single" w:sz="4" w:space="0" w:color="184897"/>
              <w:bottom w:val="single" w:sz="4" w:space="0" w:color="184897"/>
            </w:tcBorders>
          </w:tcPr>
          <w:p w:rsidR="00E4642F" w:rsidRPr="00B32C56" w:rsidRDefault="00E4642F" w:rsidP="00243B58">
            <w:pPr>
              <w:pStyle w:val="TableBody"/>
            </w:pPr>
            <w:r w:rsidRPr="00B32C56">
              <w:t>PCA</w:t>
            </w:r>
          </w:p>
        </w:tc>
        <w:tc>
          <w:tcPr>
            <w:tcW w:w="3840" w:type="pct"/>
            <w:tcBorders>
              <w:top w:val="single" w:sz="4" w:space="0" w:color="184897"/>
              <w:bottom w:val="single" w:sz="4" w:space="0" w:color="184897"/>
            </w:tcBorders>
          </w:tcPr>
          <w:p w:rsidR="00E4642F" w:rsidRPr="00B32C56" w:rsidRDefault="00E4642F" w:rsidP="00243B58">
            <w:pPr>
              <w:pStyle w:val="TableBody"/>
            </w:pPr>
            <w:r w:rsidRPr="00B32C56">
              <w:t>Plumbing Code of Australia</w:t>
            </w:r>
          </w:p>
        </w:tc>
      </w:tr>
      <w:tr w:rsidR="00180764" w:rsidRPr="00B32C56" w:rsidTr="003756FF">
        <w:trPr>
          <w:cantSplit/>
        </w:trPr>
        <w:tc>
          <w:tcPr>
            <w:tcW w:w="1160" w:type="pct"/>
            <w:tcBorders>
              <w:top w:val="single" w:sz="4" w:space="0" w:color="184897"/>
              <w:bottom w:val="single" w:sz="4" w:space="0" w:color="184897"/>
            </w:tcBorders>
          </w:tcPr>
          <w:p w:rsidR="00180764" w:rsidRPr="00B32C56" w:rsidRDefault="00180764" w:rsidP="00243B58">
            <w:pPr>
              <w:pStyle w:val="TableBody"/>
            </w:pPr>
            <w:r w:rsidRPr="00180764">
              <w:t>PS</w:t>
            </w:r>
          </w:p>
        </w:tc>
        <w:tc>
          <w:tcPr>
            <w:tcW w:w="3840" w:type="pct"/>
            <w:tcBorders>
              <w:top w:val="single" w:sz="4" w:space="0" w:color="184897"/>
              <w:bottom w:val="single" w:sz="4" w:space="0" w:color="184897"/>
            </w:tcBorders>
          </w:tcPr>
          <w:p w:rsidR="00180764" w:rsidRPr="00B32C56" w:rsidRDefault="00180764" w:rsidP="00243B58">
            <w:pPr>
              <w:pStyle w:val="TableBody"/>
            </w:pPr>
            <w:r>
              <w:t>Performance Solution</w:t>
            </w:r>
          </w:p>
        </w:tc>
      </w:tr>
      <w:tr w:rsidR="00981719" w:rsidRPr="00B32C56" w:rsidTr="003756FF">
        <w:trPr>
          <w:cantSplit/>
        </w:trPr>
        <w:tc>
          <w:tcPr>
            <w:tcW w:w="1160" w:type="pct"/>
            <w:tcBorders>
              <w:top w:val="single" w:sz="4" w:space="0" w:color="184897"/>
              <w:bottom w:val="single" w:sz="4" w:space="0" w:color="184897"/>
            </w:tcBorders>
          </w:tcPr>
          <w:p w:rsidR="00981719" w:rsidRPr="00B32C56" w:rsidRDefault="00981719" w:rsidP="00243B58">
            <w:pPr>
              <w:pStyle w:val="TableBody"/>
            </w:pPr>
            <w:r>
              <w:t>RICS</w:t>
            </w:r>
          </w:p>
        </w:tc>
        <w:tc>
          <w:tcPr>
            <w:tcW w:w="3840" w:type="pct"/>
            <w:tcBorders>
              <w:top w:val="single" w:sz="4" w:space="0" w:color="184897"/>
              <w:bottom w:val="single" w:sz="4" w:space="0" w:color="184897"/>
            </w:tcBorders>
          </w:tcPr>
          <w:p w:rsidR="00981719" w:rsidRPr="00B32C56" w:rsidRDefault="00981719" w:rsidP="00243B58">
            <w:pPr>
              <w:pStyle w:val="TableBody"/>
            </w:pPr>
            <w:r>
              <w:t>Royal Institute of Chartered Surveyors</w:t>
            </w:r>
          </w:p>
        </w:tc>
      </w:tr>
      <w:tr w:rsidR="00E4642F" w:rsidRPr="00B32C56" w:rsidTr="003756FF">
        <w:trPr>
          <w:cantSplit/>
        </w:trPr>
        <w:tc>
          <w:tcPr>
            <w:tcW w:w="1160" w:type="pct"/>
            <w:tcBorders>
              <w:top w:val="single" w:sz="4" w:space="0" w:color="184897"/>
              <w:bottom w:val="single" w:sz="4" w:space="0" w:color="184897"/>
            </w:tcBorders>
          </w:tcPr>
          <w:p w:rsidR="00E4642F" w:rsidRPr="00B32C56" w:rsidRDefault="00E4642F" w:rsidP="00243B58">
            <w:pPr>
              <w:pStyle w:val="TableBody"/>
            </w:pPr>
            <w:r w:rsidRPr="00B32C56">
              <w:t>RIS</w:t>
            </w:r>
          </w:p>
        </w:tc>
        <w:tc>
          <w:tcPr>
            <w:tcW w:w="3840" w:type="pct"/>
            <w:tcBorders>
              <w:top w:val="single" w:sz="4" w:space="0" w:color="184897"/>
              <w:bottom w:val="single" w:sz="4" w:space="0" w:color="184897"/>
            </w:tcBorders>
          </w:tcPr>
          <w:p w:rsidR="00E4642F" w:rsidRPr="00B32C56" w:rsidRDefault="00E4642F" w:rsidP="00243B58">
            <w:pPr>
              <w:pStyle w:val="TableBody"/>
            </w:pPr>
            <w:r w:rsidRPr="00B32C56">
              <w:t>Regulation Impact Statement</w:t>
            </w:r>
          </w:p>
        </w:tc>
      </w:tr>
      <w:tr w:rsidR="005F651A" w:rsidRPr="00B32C56" w:rsidTr="003756FF">
        <w:trPr>
          <w:cantSplit/>
        </w:trPr>
        <w:tc>
          <w:tcPr>
            <w:tcW w:w="1160" w:type="pct"/>
            <w:tcBorders>
              <w:top w:val="single" w:sz="4" w:space="0" w:color="184897"/>
              <w:bottom w:val="single" w:sz="4" w:space="0" w:color="184897"/>
            </w:tcBorders>
          </w:tcPr>
          <w:p w:rsidR="005F651A" w:rsidRPr="00B32C56" w:rsidRDefault="005F651A" w:rsidP="00243B58">
            <w:pPr>
              <w:pStyle w:val="TableBody"/>
            </w:pPr>
            <w:r>
              <w:t>SFS</w:t>
            </w:r>
          </w:p>
        </w:tc>
        <w:tc>
          <w:tcPr>
            <w:tcW w:w="3840" w:type="pct"/>
            <w:tcBorders>
              <w:top w:val="single" w:sz="4" w:space="0" w:color="184897"/>
              <w:bottom w:val="single" w:sz="4" w:space="0" w:color="184897"/>
            </w:tcBorders>
          </w:tcPr>
          <w:p w:rsidR="005F651A" w:rsidRPr="00B32C56" w:rsidRDefault="005F651A" w:rsidP="00243B58">
            <w:pPr>
              <w:pStyle w:val="TableBody"/>
            </w:pPr>
            <w:r>
              <w:t>Society of Fire Safety</w:t>
            </w:r>
          </w:p>
        </w:tc>
      </w:tr>
      <w:tr w:rsidR="00981719" w:rsidRPr="00B32C56" w:rsidTr="003756FF">
        <w:trPr>
          <w:cantSplit/>
        </w:trPr>
        <w:tc>
          <w:tcPr>
            <w:tcW w:w="1160" w:type="pct"/>
            <w:tcBorders>
              <w:top w:val="single" w:sz="4" w:space="0" w:color="184897"/>
              <w:bottom w:val="single" w:sz="4" w:space="0" w:color="184897"/>
            </w:tcBorders>
          </w:tcPr>
          <w:p w:rsidR="00981719" w:rsidRPr="00B32C56" w:rsidRDefault="00981719" w:rsidP="00243B58">
            <w:pPr>
              <w:pStyle w:val="TableBody"/>
            </w:pPr>
            <w:r>
              <w:t>UDA</w:t>
            </w:r>
          </w:p>
        </w:tc>
        <w:tc>
          <w:tcPr>
            <w:tcW w:w="3840" w:type="pct"/>
            <w:tcBorders>
              <w:top w:val="single" w:sz="4" w:space="0" w:color="184897"/>
              <w:bottom w:val="single" w:sz="4" w:space="0" w:color="184897"/>
            </w:tcBorders>
          </w:tcPr>
          <w:p w:rsidR="00981719" w:rsidRPr="00B32C56" w:rsidRDefault="00981719" w:rsidP="00243B58">
            <w:pPr>
              <w:pStyle w:val="TableBody"/>
            </w:pPr>
            <w:r>
              <w:t>(National) Urban Development Institute</w:t>
            </w:r>
          </w:p>
        </w:tc>
      </w:tr>
      <w:tr w:rsidR="00180764" w:rsidRPr="00B32C56" w:rsidTr="003756FF">
        <w:trPr>
          <w:cantSplit/>
        </w:trPr>
        <w:tc>
          <w:tcPr>
            <w:tcW w:w="1160" w:type="pct"/>
            <w:tcBorders>
              <w:top w:val="single" w:sz="4" w:space="0" w:color="184897"/>
              <w:bottom w:val="single" w:sz="4" w:space="0" w:color="184897"/>
            </w:tcBorders>
          </w:tcPr>
          <w:p w:rsidR="00180764" w:rsidRDefault="00180764" w:rsidP="00243B58">
            <w:pPr>
              <w:pStyle w:val="TableBody"/>
            </w:pPr>
            <w:r>
              <w:t>VM</w:t>
            </w:r>
          </w:p>
        </w:tc>
        <w:tc>
          <w:tcPr>
            <w:tcW w:w="3840" w:type="pct"/>
            <w:tcBorders>
              <w:top w:val="single" w:sz="4" w:space="0" w:color="184897"/>
              <w:bottom w:val="single" w:sz="4" w:space="0" w:color="184897"/>
            </w:tcBorders>
          </w:tcPr>
          <w:p w:rsidR="00180764" w:rsidRDefault="00180764" w:rsidP="00243B58">
            <w:pPr>
              <w:pStyle w:val="TableBody"/>
            </w:pPr>
            <w:r>
              <w:t>Verification Method</w:t>
            </w:r>
          </w:p>
        </w:tc>
      </w:tr>
    </w:tbl>
    <w:p w:rsidR="00373EF8" w:rsidRDefault="00373EF8">
      <w:r>
        <w:br w:type="page"/>
      </w:r>
    </w:p>
    <w:p w:rsidR="00E4642F" w:rsidRDefault="00E4642F" w:rsidP="00D66192">
      <w:pPr>
        <w:pStyle w:val="Heading1"/>
      </w:pPr>
      <w:bookmarkStart w:id="11" w:name="_Toc33098869"/>
      <w:r>
        <w:lastRenderedPageBreak/>
        <w:t>Introduction</w:t>
      </w:r>
      <w:bookmarkEnd w:id="11"/>
      <w:r>
        <w:t xml:space="preserve"> </w:t>
      </w:r>
    </w:p>
    <w:p w:rsidR="00B23DF3" w:rsidRDefault="00B23DF3" w:rsidP="003756FF">
      <w:pPr>
        <w:pStyle w:val="Heading2"/>
      </w:pPr>
      <w:r>
        <w:t>Performance</w:t>
      </w:r>
      <w:r w:rsidR="00001C62">
        <w:t>-</w:t>
      </w:r>
      <w:r>
        <w:t>based building code</w:t>
      </w:r>
    </w:p>
    <w:p w:rsidR="00066178" w:rsidRDefault="00E4642F" w:rsidP="00732CDC">
      <w:pPr>
        <w:rPr>
          <w:rFonts w:asciiTheme="minorHAnsi" w:hAnsiTheme="minorHAnsi" w:cstheme="minorHAnsi"/>
        </w:rPr>
      </w:pPr>
      <w:r w:rsidRPr="00BA010D">
        <w:rPr>
          <w:rFonts w:asciiTheme="minorHAnsi" w:hAnsiTheme="minorHAnsi" w:cstheme="minorHAnsi"/>
        </w:rPr>
        <w:t xml:space="preserve">Governments have long supported </w:t>
      </w:r>
      <w:r w:rsidR="00180764">
        <w:rPr>
          <w:rFonts w:asciiTheme="minorHAnsi" w:hAnsiTheme="minorHAnsi" w:cstheme="minorHAnsi"/>
        </w:rPr>
        <w:t xml:space="preserve">a </w:t>
      </w:r>
      <w:r w:rsidRPr="00BA010D">
        <w:rPr>
          <w:rFonts w:asciiTheme="minorHAnsi" w:hAnsiTheme="minorHAnsi" w:cstheme="minorHAnsi"/>
        </w:rPr>
        <w:t>focus on outcomes rather than inputs</w:t>
      </w:r>
      <w:r w:rsidR="00AB258B">
        <w:rPr>
          <w:rFonts w:asciiTheme="minorHAnsi" w:hAnsiTheme="minorHAnsi" w:cstheme="minorHAnsi"/>
        </w:rPr>
        <w:t xml:space="preserve"> where a case for regulation is established</w:t>
      </w:r>
      <w:r w:rsidRPr="00BA010D">
        <w:rPr>
          <w:rFonts w:asciiTheme="minorHAnsi" w:hAnsiTheme="minorHAnsi" w:cstheme="minorHAnsi"/>
        </w:rPr>
        <w:t xml:space="preserve">. By communicating the level of desired performance and avoiding prescription, the </w:t>
      </w:r>
      <w:r w:rsidR="00066178">
        <w:rPr>
          <w:rFonts w:asciiTheme="minorHAnsi" w:hAnsiTheme="minorHAnsi" w:cstheme="minorHAnsi"/>
        </w:rPr>
        <w:t xml:space="preserve">objective of the regulation can be achieved with the added </w:t>
      </w:r>
      <w:r w:rsidRPr="00BA010D">
        <w:rPr>
          <w:rFonts w:asciiTheme="minorHAnsi" w:hAnsiTheme="minorHAnsi" w:cstheme="minorHAnsi"/>
        </w:rPr>
        <w:t xml:space="preserve">benefits of freedom and flexibility for innovation </w:t>
      </w:r>
      <w:r w:rsidR="00066178">
        <w:rPr>
          <w:rFonts w:asciiTheme="minorHAnsi" w:hAnsiTheme="minorHAnsi" w:cstheme="minorHAnsi"/>
        </w:rPr>
        <w:t xml:space="preserve">and </w:t>
      </w:r>
      <w:r w:rsidR="005C2620">
        <w:rPr>
          <w:rFonts w:asciiTheme="minorHAnsi" w:hAnsiTheme="minorHAnsi" w:cstheme="minorHAnsi"/>
        </w:rPr>
        <w:t xml:space="preserve">unnecessary </w:t>
      </w:r>
      <w:r w:rsidR="00066178">
        <w:rPr>
          <w:rFonts w:asciiTheme="minorHAnsi" w:hAnsiTheme="minorHAnsi" w:cstheme="minorHAnsi"/>
        </w:rPr>
        <w:t xml:space="preserve">restrictions on </w:t>
      </w:r>
      <w:r w:rsidRPr="00BA010D">
        <w:rPr>
          <w:rFonts w:asciiTheme="minorHAnsi" w:hAnsiTheme="minorHAnsi" w:cstheme="minorHAnsi"/>
        </w:rPr>
        <w:t xml:space="preserve">competition minimised. </w:t>
      </w:r>
      <w:r w:rsidR="0045120D">
        <w:rPr>
          <w:rFonts w:asciiTheme="minorHAnsi" w:hAnsiTheme="minorHAnsi" w:cstheme="minorHAnsi"/>
        </w:rPr>
        <w:t xml:space="preserve">Such requirements are referred to as </w:t>
      </w:r>
      <w:r w:rsidR="000D0AEE">
        <w:rPr>
          <w:rFonts w:asciiTheme="minorHAnsi" w:hAnsiTheme="minorHAnsi" w:cstheme="minorHAnsi"/>
        </w:rPr>
        <w:t>‘performance-</w:t>
      </w:r>
      <w:r w:rsidR="0045120D" w:rsidRPr="00BA010D">
        <w:rPr>
          <w:rFonts w:asciiTheme="minorHAnsi" w:hAnsiTheme="minorHAnsi" w:cstheme="minorHAnsi"/>
        </w:rPr>
        <w:t>based’</w:t>
      </w:r>
      <w:r w:rsidR="0045120D">
        <w:rPr>
          <w:rFonts w:asciiTheme="minorHAnsi" w:hAnsiTheme="minorHAnsi" w:cstheme="minorHAnsi"/>
        </w:rPr>
        <w:t xml:space="preserve"> regulations</w:t>
      </w:r>
      <w:r w:rsidR="00D9086D">
        <w:rPr>
          <w:rFonts w:asciiTheme="minorHAnsi" w:hAnsiTheme="minorHAnsi" w:cstheme="minorHAnsi"/>
        </w:rPr>
        <w:t xml:space="preserve"> (Performance)</w:t>
      </w:r>
      <w:r w:rsidR="0045120D">
        <w:rPr>
          <w:rFonts w:asciiTheme="minorHAnsi" w:hAnsiTheme="minorHAnsi" w:cstheme="minorHAnsi"/>
        </w:rPr>
        <w:t>.</w:t>
      </w:r>
    </w:p>
    <w:p w:rsidR="00B23DF3" w:rsidRDefault="000D0AEE" w:rsidP="00732CDC">
      <w:pPr>
        <w:rPr>
          <w:rFonts w:asciiTheme="minorHAnsi" w:hAnsiTheme="minorHAnsi" w:cstheme="minorHAnsi"/>
        </w:rPr>
      </w:pPr>
      <w:r>
        <w:rPr>
          <w:rFonts w:asciiTheme="minorHAnsi" w:hAnsiTheme="minorHAnsi" w:cstheme="minorHAnsi"/>
        </w:rPr>
        <w:t>Performance-</w:t>
      </w:r>
      <w:r w:rsidR="00066178" w:rsidRPr="00BA010D">
        <w:rPr>
          <w:rFonts w:asciiTheme="minorHAnsi" w:hAnsiTheme="minorHAnsi" w:cstheme="minorHAnsi"/>
        </w:rPr>
        <w:t>based codes rely on three elements, a code, acceptable solutions and design and evaluation tools. When</w:t>
      </w:r>
      <w:r w:rsidR="00373EF8">
        <w:rPr>
          <w:rFonts w:asciiTheme="minorHAnsi" w:hAnsiTheme="minorHAnsi" w:cstheme="minorHAnsi"/>
        </w:rPr>
        <w:t xml:space="preserve"> the</w:t>
      </w:r>
      <w:r w:rsidR="00066178" w:rsidRPr="00BA010D">
        <w:rPr>
          <w:rFonts w:asciiTheme="minorHAnsi" w:hAnsiTheme="minorHAnsi" w:cstheme="minorHAnsi"/>
        </w:rPr>
        <w:t xml:space="preserve"> performance-based building code was introd</w:t>
      </w:r>
      <w:r>
        <w:rPr>
          <w:rFonts w:asciiTheme="minorHAnsi" w:hAnsiTheme="minorHAnsi" w:cstheme="minorHAnsi"/>
        </w:rPr>
        <w:t>uced in Australia as the Building Code of Australia</w:t>
      </w:r>
      <w:r w:rsidR="00066178" w:rsidRPr="00BA010D">
        <w:rPr>
          <w:rFonts w:asciiTheme="minorHAnsi" w:hAnsiTheme="minorHAnsi" w:cstheme="minorHAnsi"/>
        </w:rPr>
        <w:t xml:space="preserve"> </w:t>
      </w:r>
      <w:r>
        <w:rPr>
          <w:rFonts w:asciiTheme="minorHAnsi" w:hAnsiTheme="minorHAnsi" w:cstheme="minorHAnsi"/>
        </w:rPr>
        <w:t>(</w:t>
      </w:r>
      <w:r w:rsidR="00066178" w:rsidRPr="00BA010D">
        <w:rPr>
          <w:rFonts w:asciiTheme="minorHAnsi" w:hAnsiTheme="minorHAnsi" w:cstheme="minorHAnsi"/>
        </w:rPr>
        <w:t>BCA</w:t>
      </w:r>
      <w:r>
        <w:rPr>
          <w:rFonts w:asciiTheme="minorHAnsi" w:hAnsiTheme="minorHAnsi" w:cstheme="minorHAnsi"/>
        </w:rPr>
        <w:t>)</w:t>
      </w:r>
      <w:r w:rsidR="00066178" w:rsidRPr="00BA010D">
        <w:rPr>
          <w:rFonts w:asciiTheme="minorHAnsi" w:hAnsiTheme="minorHAnsi" w:cstheme="minorHAnsi"/>
        </w:rPr>
        <w:t xml:space="preserve"> 1996, the first two elements were already well developed. These informed the expectations </w:t>
      </w:r>
      <w:r w:rsidR="00066178">
        <w:rPr>
          <w:rFonts w:asciiTheme="minorHAnsi" w:hAnsiTheme="minorHAnsi" w:cstheme="minorHAnsi"/>
        </w:rPr>
        <w:t xml:space="preserve">that would be </w:t>
      </w:r>
      <w:r w:rsidR="00066178" w:rsidRPr="00BA010D">
        <w:rPr>
          <w:rFonts w:asciiTheme="minorHAnsi" w:hAnsiTheme="minorHAnsi" w:cstheme="minorHAnsi"/>
        </w:rPr>
        <w:t>set through</w:t>
      </w:r>
      <w:r w:rsidR="004F6B16">
        <w:rPr>
          <w:rFonts w:asciiTheme="minorHAnsi" w:hAnsiTheme="minorHAnsi" w:cstheme="minorHAnsi"/>
        </w:rPr>
        <w:t xml:space="preserve"> the</w:t>
      </w:r>
      <w:r w:rsidR="00066178" w:rsidRPr="00BA010D">
        <w:rPr>
          <w:rFonts w:asciiTheme="minorHAnsi" w:hAnsiTheme="minorHAnsi" w:cstheme="minorHAnsi"/>
        </w:rPr>
        <w:t xml:space="preserve"> Performance Requirements</w:t>
      </w:r>
      <w:r w:rsidR="00A5272B">
        <w:rPr>
          <w:rFonts w:asciiTheme="minorHAnsi" w:hAnsiTheme="minorHAnsi" w:cstheme="minorHAnsi"/>
        </w:rPr>
        <w:t>,</w:t>
      </w:r>
      <w:r w:rsidR="0045120D">
        <w:rPr>
          <w:rFonts w:asciiTheme="minorHAnsi" w:hAnsiTheme="minorHAnsi" w:cstheme="minorHAnsi"/>
        </w:rPr>
        <w:t xml:space="preserve"> which at a mandatory level</w:t>
      </w:r>
      <w:r>
        <w:rPr>
          <w:rFonts w:asciiTheme="minorHAnsi" w:hAnsiTheme="minorHAnsi" w:cstheme="minorHAnsi"/>
        </w:rPr>
        <w:t>,</w:t>
      </w:r>
      <w:r w:rsidR="0045120D">
        <w:rPr>
          <w:rFonts w:asciiTheme="minorHAnsi" w:hAnsiTheme="minorHAnsi" w:cstheme="minorHAnsi"/>
        </w:rPr>
        <w:t xml:space="preserve"> describe the community expectations a building must meet.</w:t>
      </w:r>
      <w:r w:rsidR="00066178" w:rsidRPr="00BA010D">
        <w:rPr>
          <w:rFonts w:asciiTheme="minorHAnsi" w:hAnsiTheme="minorHAnsi" w:cstheme="minorHAnsi"/>
        </w:rPr>
        <w:t xml:space="preserve">  </w:t>
      </w:r>
    </w:p>
    <w:p w:rsidR="00282E4E" w:rsidRDefault="00282E4E" w:rsidP="00732CDC">
      <w:pPr>
        <w:rPr>
          <w:rFonts w:asciiTheme="minorHAnsi" w:hAnsiTheme="minorHAnsi" w:cstheme="minorHAnsi"/>
        </w:rPr>
      </w:pPr>
      <w:r>
        <w:rPr>
          <w:rFonts w:asciiTheme="minorHAnsi" w:hAnsiTheme="minorHAnsi" w:cstheme="minorHAnsi"/>
        </w:rPr>
        <w:t>Historically</w:t>
      </w:r>
      <w:r w:rsidR="00046F9E">
        <w:rPr>
          <w:rFonts w:asciiTheme="minorHAnsi" w:hAnsiTheme="minorHAnsi" w:cstheme="minorHAnsi"/>
        </w:rPr>
        <w:t>,</w:t>
      </w:r>
      <w:r>
        <w:rPr>
          <w:rFonts w:asciiTheme="minorHAnsi" w:hAnsiTheme="minorHAnsi" w:cstheme="minorHAnsi"/>
        </w:rPr>
        <w:t xml:space="preserve"> compliance was considered against prescriptive Deemed-to-Satisfy</w:t>
      </w:r>
      <w:r w:rsidR="00D9086D">
        <w:rPr>
          <w:rFonts w:asciiTheme="minorHAnsi" w:hAnsiTheme="minorHAnsi" w:cstheme="minorHAnsi"/>
        </w:rPr>
        <w:t xml:space="preserve"> (DTS)</w:t>
      </w:r>
      <w:r>
        <w:rPr>
          <w:rFonts w:asciiTheme="minorHAnsi" w:hAnsiTheme="minorHAnsi" w:cstheme="minorHAnsi"/>
        </w:rPr>
        <w:t xml:space="preserve"> </w:t>
      </w:r>
      <w:r w:rsidR="00001C62">
        <w:rPr>
          <w:rFonts w:asciiTheme="minorHAnsi" w:hAnsiTheme="minorHAnsi" w:cstheme="minorHAnsi"/>
        </w:rPr>
        <w:t>P</w:t>
      </w:r>
      <w:r w:rsidR="00180764">
        <w:rPr>
          <w:rFonts w:asciiTheme="minorHAnsi" w:hAnsiTheme="minorHAnsi" w:cstheme="minorHAnsi"/>
        </w:rPr>
        <w:t>rovisions</w:t>
      </w:r>
      <w:r>
        <w:rPr>
          <w:rFonts w:asciiTheme="minorHAnsi" w:hAnsiTheme="minorHAnsi" w:cstheme="minorHAnsi"/>
        </w:rPr>
        <w:t xml:space="preserve">. However, with buildings becoming increasingly complex mixes of classifications (uses), </w:t>
      </w:r>
      <w:r w:rsidR="00046F9E">
        <w:rPr>
          <w:rFonts w:asciiTheme="minorHAnsi" w:hAnsiTheme="minorHAnsi" w:cstheme="minorHAnsi"/>
        </w:rPr>
        <w:t xml:space="preserve">and </w:t>
      </w:r>
      <w:r>
        <w:rPr>
          <w:rFonts w:asciiTheme="minorHAnsi" w:hAnsiTheme="minorHAnsi" w:cstheme="minorHAnsi"/>
        </w:rPr>
        <w:t>innovative designs and materials</w:t>
      </w:r>
      <w:r w:rsidR="00046F9E">
        <w:rPr>
          <w:rFonts w:asciiTheme="minorHAnsi" w:hAnsiTheme="minorHAnsi" w:cstheme="minorHAnsi"/>
        </w:rPr>
        <w:t xml:space="preserve"> becoming more prevalent, </w:t>
      </w:r>
      <w:r w:rsidR="00CB6B48">
        <w:rPr>
          <w:rFonts w:asciiTheme="minorHAnsi" w:hAnsiTheme="minorHAnsi" w:cstheme="minorHAnsi"/>
        </w:rPr>
        <w:t xml:space="preserve">rigid </w:t>
      </w:r>
      <w:r w:rsidR="00046F9E">
        <w:rPr>
          <w:rFonts w:asciiTheme="minorHAnsi" w:hAnsiTheme="minorHAnsi" w:cstheme="minorHAnsi"/>
        </w:rPr>
        <w:t>building</w:t>
      </w:r>
      <w:r>
        <w:rPr>
          <w:rFonts w:asciiTheme="minorHAnsi" w:hAnsiTheme="minorHAnsi" w:cstheme="minorHAnsi"/>
        </w:rPr>
        <w:t xml:space="preserve"> approval </w:t>
      </w:r>
      <w:r w:rsidRPr="00BA010D">
        <w:rPr>
          <w:rFonts w:asciiTheme="minorHAnsi" w:hAnsiTheme="minorHAnsi" w:cstheme="minorHAnsi"/>
        </w:rPr>
        <w:t>system</w:t>
      </w:r>
      <w:r>
        <w:rPr>
          <w:rFonts w:asciiTheme="minorHAnsi" w:hAnsiTheme="minorHAnsi" w:cstheme="minorHAnsi"/>
        </w:rPr>
        <w:t>s</w:t>
      </w:r>
      <w:r w:rsidRPr="00BA010D">
        <w:rPr>
          <w:rFonts w:asciiTheme="minorHAnsi" w:hAnsiTheme="minorHAnsi" w:cstheme="minorHAnsi"/>
        </w:rPr>
        <w:t xml:space="preserve"> </w:t>
      </w:r>
      <w:r w:rsidR="00CB6B48">
        <w:rPr>
          <w:rFonts w:asciiTheme="minorHAnsi" w:hAnsiTheme="minorHAnsi" w:cstheme="minorHAnsi"/>
        </w:rPr>
        <w:t xml:space="preserve">also needed to evolve </w:t>
      </w:r>
      <w:r w:rsidR="00755121">
        <w:rPr>
          <w:rFonts w:asciiTheme="minorHAnsi" w:hAnsiTheme="minorHAnsi" w:cstheme="minorHAnsi"/>
        </w:rPr>
        <w:t>through</w:t>
      </w:r>
      <w:r w:rsidR="00B32C56">
        <w:rPr>
          <w:rFonts w:asciiTheme="minorHAnsi" w:hAnsiTheme="minorHAnsi" w:cstheme="minorHAnsi"/>
        </w:rPr>
        <w:t xml:space="preserve"> </w:t>
      </w:r>
      <w:r>
        <w:rPr>
          <w:rFonts w:asciiTheme="minorHAnsi" w:hAnsiTheme="minorHAnsi" w:cstheme="minorHAnsi"/>
        </w:rPr>
        <w:t xml:space="preserve">verification frameworks. </w:t>
      </w:r>
      <w:r w:rsidR="009C1BEC" w:rsidRPr="00BA010D">
        <w:rPr>
          <w:rFonts w:asciiTheme="minorHAnsi" w:hAnsiTheme="minorHAnsi" w:cstheme="minorHAnsi"/>
        </w:rPr>
        <w:t>Initially, no framework for the evaluation of</w:t>
      </w:r>
      <w:r>
        <w:rPr>
          <w:rFonts w:asciiTheme="minorHAnsi" w:hAnsiTheme="minorHAnsi" w:cstheme="minorHAnsi"/>
        </w:rPr>
        <w:t xml:space="preserve"> ‘</w:t>
      </w:r>
      <w:r w:rsidR="00180764">
        <w:rPr>
          <w:rFonts w:asciiTheme="minorHAnsi" w:hAnsiTheme="minorHAnsi" w:cstheme="minorHAnsi"/>
        </w:rPr>
        <w:t>a</w:t>
      </w:r>
      <w:r>
        <w:rPr>
          <w:rFonts w:asciiTheme="minorHAnsi" w:hAnsiTheme="minorHAnsi" w:cstheme="minorHAnsi"/>
        </w:rPr>
        <w:t>lternative</w:t>
      </w:r>
      <w:r w:rsidR="009C1BEC" w:rsidRPr="00BA010D">
        <w:rPr>
          <w:rFonts w:asciiTheme="minorHAnsi" w:hAnsiTheme="minorHAnsi" w:cstheme="minorHAnsi"/>
        </w:rPr>
        <w:t xml:space="preserve"> </w:t>
      </w:r>
      <w:r w:rsidR="00180764">
        <w:rPr>
          <w:rFonts w:asciiTheme="minorHAnsi" w:hAnsiTheme="minorHAnsi" w:cstheme="minorHAnsi"/>
        </w:rPr>
        <w:t>s</w:t>
      </w:r>
      <w:r w:rsidR="009C1BEC" w:rsidRPr="00BA010D">
        <w:rPr>
          <w:rFonts w:asciiTheme="minorHAnsi" w:hAnsiTheme="minorHAnsi" w:cstheme="minorHAnsi"/>
        </w:rPr>
        <w:t>olutions</w:t>
      </w:r>
      <w:r>
        <w:rPr>
          <w:rFonts w:asciiTheme="minorHAnsi" w:hAnsiTheme="minorHAnsi" w:cstheme="minorHAnsi"/>
        </w:rPr>
        <w:t>’ (</w:t>
      </w:r>
      <w:r w:rsidR="00180764">
        <w:rPr>
          <w:rFonts w:asciiTheme="minorHAnsi" w:hAnsiTheme="minorHAnsi" w:cstheme="minorHAnsi"/>
        </w:rPr>
        <w:t xml:space="preserve">i.e. </w:t>
      </w:r>
      <w:r>
        <w:rPr>
          <w:rFonts w:asciiTheme="minorHAnsi" w:hAnsiTheme="minorHAnsi" w:cstheme="minorHAnsi"/>
        </w:rPr>
        <w:t>Performance Solutions)</w:t>
      </w:r>
      <w:r w:rsidR="009C1BEC" w:rsidRPr="00BA010D">
        <w:rPr>
          <w:rFonts w:asciiTheme="minorHAnsi" w:hAnsiTheme="minorHAnsi" w:cstheme="minorHAnsi"/>
        </w:rPr>
        <w:t xml:space="preserve"> or the methods for their assessment </w:t>
      </w:r>
      <w:r w:rsidR="009C1BEC">
        <w:rPr>
          <w:rFonts w:asciiTheme="minorHAnsi" w:hAnsiTheme="minorHAnsi" w:cstheme="minorHAnsi"/>
        </w:rPr>
        <w:t>was mandated</w:t>
      </w:r>
      <w:r w:rsidR="00046F9E">
        <w:rPr>
          <w:rFonts w:asciiTheme="minorHAnsi" w:hAnsiTheme="minorHAnsi" w:cstheme="minorHAnsi"/>
        </w:rPr>
        <w:t xml:space="preserve">. </w:t>
      </w:r>
      <w:r w:rsidR="00884936">
        <w:rPr>
          <w:rFonts w:asciiTheme="minorHAnsi" w:hAnsiTheme="minorHAnsi" w:cstheme="minorHAnsi"/>
        </w:rPr>
        <w:t>It</w:t>
      </w:r>
      <w:r w:rsidR="009C1BEC" w:rsidRPr="00BA010D">
        <w:rPr>
          <w:rFonts w:asciiTheme="minorHAnsi" w:hAnsiTheme="minorHAnsi" w:cstheme="minorHAnsi"/>
        </w:rPr>
        <w:t xml:space="preserve"> </w:t>
      </w:r>
      <w:r>
        <w:rPr>
          <w:rFonts w:asciiTheme="minorHAnsi" w:hAnsiTheme="minorHAnsi" w:cstheme="minorHAnsi"/>
        </w:rPr>
        <w:t xml:space="preserve">also </w:t>
      </w:r>
      <w:r w:rsidR="009C1BEC" w:rsidRPr="00BA010D">
        <w:rPr>
          <w:rFonts w:asciiTheme="minorHAnsi" w:hAnsiTheme="minorHAnsi" w:cstheme="minorHAnsi"/>
        </w:rPr>
        <w:t xml:space="preserve">meant </w:t>
      </w:r>
      <w:r w:rsidR="009C1BEC">
        <w:rPr>
          <w:rFonts w:asciiTheme="minorHAnsi" w:hAnsiTheme="minorHAnsi" w:cstheme="minorHAnsi"/>
        </w:rPr>
        <w:t>uptake of Performance</w:t>
      </w:r>
      <w:r w:rsidR="0045120D">
        <w:rPr>
          <w:rFonts w:asciiTheme="minorHAnsi" w:hAnsiTheme="minorHAnsi" w:cstheme="minorHAnsi"/>
        </w:rPr>
        <w:t>,</w:t>
      </w:r>
      <w:r w:rsidR="009C1BEC">
        <w:rPr>
          <w:rFonts w:asciiTheme="minorHAnsi" w:hAnsiTheme="minorHAnsi" w:cstheme="minorHAnsi"/>
        </w:rPr>
        <w:t xml:space="preserve"> was slow as it required </w:t>
      </w:r>
      <w:r w:rsidR="00884936">
        <w:rPr>
          <w:rFonts w:asciiTheme="minorHAnsi" w:hAnsiTheme="minorHAnsi" w:cstheme="minorHAnsi"/>
        </w:rPr>
        <w:t xml:space="preserve">expert </w:t>
      </w:r>
      <w:r w:rsidR="009C1BEC" w:rsidRPr="00BA010D">
        <w:rPr>
          <w:rFonts w:asciiTheme="minorHAnsi" w:hAnsiTheme="minorHAnsi" w:cstheme="minorHAnsi"/>
        </w:rPr>
        <w:t xml:space="preserve">judgements </w:t>
      </w:r>
      <w:r w:rsidR="009C1BEC">
        <w:rPr>
          <w:rFonts w:asciiTheme="minorHAnsi" w:hAnsiTheme="minorHAnsi" w:cstheme="minorHAnsi"/>
        </w:rPr>
        <w:t xml:space="preserve">to be </w:t>
      </w:r>
      <w:r w:rsidR="009C1BEC" w:rsidRPr="00BA010D">
        <w:rPr>
          <w:rFonts w:asciiTheme="minorHAnsi" w:hAnsiTheme="minorHAnsi" w:cstheme="minorHAnsi"/>
        </w:rPr>
        <w:t xml:space="preserve">routinely made. </w:t>
      </w:r>
      <w:r w:rsidR="00CB6B48">
        <w:rPr>
          <w:rFonts w:asciiTheme="minorHAnsi" w:hAnsiTheme="minorHAnsi" w:cstheme="minorHAnsi"/>
        </w:rPr>
        <w:t>This</w:t>
      </w:r>
      <w:r w:rsidR="00CB6B48" w:rsidRPr="00BA010D">
        <w:rPr>
          <w:rFonts w:asciiTheme="minorHAnsi" w:hAnsiTheme="minorHAnsi" w:cstheme="minorHAnsi"/>
        </w:rPr>
        <w:t xml:space="preserve"> led </w:t>
      </w:r>
      <w:r w:rsidR="00CB6B48">
        <w:rPr>
          <w:rFonts w:asciiTheme="minorHAnsi" w:hAnsiTheme="minorHAnsi" w:cstheme="minorHAnsi"/>
        </w:rPr>
        <w:t xml:space="preserve">to </w:t>
      </w:r>
      <w:r w:rsidR="00CB6B48" w:rsidRPr="00BA010D">
        <w:rPr>
          <w:rFonts w:asciiTheme="minorHAnsi" w:hAnsiTheme="minorHAnsi" w:cstheme="minorHAnsi"/>
        </w:rPr>
        <w:t>some</w:t>
      </w:r>
      <w:r w:rsidR="00CB6B48">
        <w:rPr>
          <w:rFonts w:asciiTheme="minorHAnsi" w:hAnsiTheme="minorHAnsi" w:cstheme="minorHAnsi"/>
        </w:rPr>
        <w:t xml:space="preserve"> within industry</w:t>
      </w:r>
      <w:r w:rsidR="00CB6B48" w:rsidRPr="00BA010D">
        <w:rPr>
          <w:rFonts w:asciiTheme="minorHAnsi" w:hAnsiTheme="minorHAnsi" w:cstheme="minorHAnsi"/>
        </w:rPr>
        <w:t xml:space="preserve"> to question the appropriateness of such regulatory systems</w:t>
      </w:r>
      <w:r w:rsidR="00244232">
        <w:rPr>
          <w:rFonts w:asciiTheme="minorHAnsi" w:hAnsiTheme="minorHAnsi" w:cstheme="minorHAnsi"/>
        </w:rPr>
        <w:t>, despite an overarching advocacy for flexibility</w:t>
      </w:r>
      <w:r w:rsidR="00CB6B48" w:rsidRPr="00BA010D">
        <w:rPr>
          <w:rFonts w:asciiTheme="minorHAnsi" w:hAnsiTheme="minorHAnsi" w:cstheme="minorHAnsi"/>
        </w:rPr>
        <w:t>.</w:t>
      </w:r>
    </w:p>
    <w:p w:rsidR="00B23DF3" w:rsidRDefault="00E16EBE" w:rsidP="003756FF">
      <w:pPr>
        <w:pStyle w:val="Heading2"/>
      </w:pPr>
      <w:r>
        <w:t xml:space="preserve">ABCB </w:t>
      </w:r>
      <w:r w:rsidR="00B23DF3">
        <w:t xml:space="preserve">Guidelines on the use of Performance </w:t>
      </w:r>
    </w:p>
    <w:p w:rsidR="00FE37D3" w:rsidRPr="00BA010D" w:rsidRDefault="00282E4E" w:rsidP="00732CDC">
      <w:pPr>
        <w:rPr>
          <w:rFonts w:asciiTheme="minorHAnsi" w:hAnsiTheme="minorHAnsi" w:cstheme="minorHAnsi"/>
        </w:rPr>
      </w:pPr>
      <w:r>
        <w:rPr>
          <w:rFonts w:asciiTheme="minorHAnsi" w:hAnsiTheme="minorHAnsi" w:cstheme="minorHAnsi"/>
        </w:rPr>
        <w:t>A</w:t>
      </w:r>
      <w:r w:rsidR="0045120D">
        <w:rPr>
          <w:rFonts w:asciiTheme="minorHAnsi" w:hAnsiTheme="minorHAnsi" w:cstheme="minorHAnsi"/>
        </w:rPr>
        <w:t xml:space="preserve">s </w:t>
      </w:r>
      <w:r w:rsidR="009C1BEC" w:rsidRPr="00BA010D">
        <w:rPr>
          <w:rFonts w:asciiTheme="minorHAnsi" w:hAnsiTheme="minorHAnsi" w:cstheme="minorHAnsi"/>
        </w:rPr>
        <w:t xml:space="preserve">part </w:t>
      </w:r>
      <w:r w:rsidR="00755121">
        <w:rPr>
          <w:rFonts w:asciiTheme="minorHAnsi" w:hAnsiTheme="minorHAnsi" w:cstheme="minorHAnsi"/>
        </w:rPr>
        <w:t>of</w:t>
      </w:r>
      <w:r w:rsidR="009C1BEC" w:rsidRPr="00BA010D">
        <w:rPr>
          <w:rFonts w:asciiTheme="minorHAnsi" w:hAnsiTheme="minorHAnsi" w:cstheme="minorHAnsi"/>
        </w:rPr>
        <w:t xml:space="preserve"> its efforts to encourage the increased </w:t>
      </w:r>
      <w:r w:rsidR="00180764">
        <w:rPr>
          <w:rFonts w:asciiTheme="minorHAnsi" w:hAnsiTheme="minorHAnsi" w:cstheme="minorHAnsi"/>
        </w:rPr>
        <w:t xml:space="preserve">and </w:t>
      </w:r>
      <w:r w:rsidR="009C1BEC" w:rsidRPr="00BA010D">
        <w:rPr>
          <w:rFonts w:asciiTheme="minorHAnsi" w:hAnsiTheme="minorHAnsi" w:cstheme="minorHAnsi"/>
        </w:rPr>
        <w:t xml:space="preserve">competent use of Performance </w:t>
      </w:r>
      <w:r>
        <w:rPr>
          <w:rFonts w:asciiTheme="minorHAnsi" w:hAnsiTheme="minorHAnsi" w:cstheme="minorHAnsi"/>
        </w:rPr>
        <w:t xml:space="preserve">and avoid </w:t>
      </w:r>
      <w:r w:rsidRPr="00BA010D">
        <w:rPr>
          <w:rFonts w:asciiTheme="minorHAnsi" w:hAnsiTheme="minorHAnsi" w:cstheme="minorHAnsi"/>
        </w:rPr>
        <w:t>conflicting with state</w:t>
      </w:r>
      <w:r w:rsidR="00180764">
        <w:rPr>
          <w:rFonts w:asciiTheme="minorHAnsi" w:hAnsiTheme="minorHAnsi" w:cstheme="minorHAnsi"/>
        </w:rPr>
        <w:t xml:space="preserve"> governments’</w:t>
      </w:r>
      <w:r w:rsidRPr="00BA010D">
        <w:rPr>
          <w:rFonts w:asciiTheme="minorHAnsi" w:hAnsiTheme="minorHAnsi" w:cstheme="minorHAnsi"/>
        </w:rPr>
        <w:t xml:space="preserve"> role in administering the provisions</w:t>
      </w:r>
      <w:r>
        <w:rPr>
          <w:rFonts w:asciiTheme="minorHAnsi" w:hAnsiTheme="minorHAnsi" w:cstheme="minorHAnsi"/>
        </w:rPr>
        <w:t xml:space="preserve">, </w:t>
      </w:r>
      <w:r w:rsidR="00884936">
        <w:rPr>
          <w:rFonts w:asciiTheme="minorHAnsi" w:hAnsiTheme="minorHAnsi" w:cstheme="minorHAnsi"/>
        </w:rPr>
        <w:t xml:space="preserve">the </w:t>
      </w:r>
      <w:r w:rsidR="0045120D">
        <w:rPr>
          <w:rFonts w:asciiTheme="minorHAnsi" w:hAnsiTheme="minorHAnsi" w:cstheme="minorHAnsi"/>
        </w:rPr>
        <w:t xml:space="preserve">ABCB </w:t>
      </w:r>
      <w:r w:rsidR="009C1BEC" w:rsidRPr="00BA010D">
        <w:rPr>
          <w:rFonts w:asciiTheme="minorHAnsi" w:hAnsiTheme="minorHAnsi" w:cstheme="minorHAnsi"/>
        </w:rPr>
        <w:t xml:space="preserve">produced a number of </w:t>
      </w:r>
      <w:r w:rsidR="00244232">
        <w:rPr>
          <w:rFonts w:asciiTheme="minorHAnsi" w:hAnsiTheme="minorHAnsi" w:cstheme="minorHAnsi"/>
        </w:rPr>
        <w:t>g</w:t>
      </w:r>
      <w:r w:rsidR="00E13C4E">
        <w:rPr>
          <w:rFonts w:asciiTheme="minorHAnsi" w:hAnsiTheme="minorHAnsi" w:cstheme="minorHAnsi"/>
        </w:rPr>
        <w:t>uideline</w:t>
      </w:r>
      <w:r w:rsidR="009C1BEC" w:rsidRPr="00BA010D">
        <w:rPr>
          <w:rFonts w:asciiTheme="minorHAnsi" w:hAnsiTheme="minorHAnsi" w:cstheme="minorHAnsi"/>
        </w:rPr>
        <w:t xml:space="preserve">s and education materials to </w:t>
      </w:r>
      <w:r>
        <w:rPr>
          <w:rFonts w:asciiTheme="minorHAnsi" w:hAnsiTheme="minorHAnsi" w:cstheme="minorHAnsi"/>
        </w:rPr>
        <w:t xml:space="preserve">support </w:t>
      </w:r>
      <w:r w:rsidR="00001C62">
        <w:rPr>
          <w:rFonts w:asciiTheme="minorHAnsi" w:hAnsiTheme="minorHAnsi" w:cstheme="minorHAnsi"/>
        </w:rPr>
        <w:t>the</w:t>
      </w:r>
      <w:r>
        <w:rPr>
          <w:rFonts w:asciiTheme="minorHAnsi" w:hAnsiTheme="minorHAnsi" w:cstheme="minorHAnsi"/>
        </w:rPr>
        <w:t xml:space="preserve"> use</w:t>
      </w:r>
      <w:r w:rsidR="00001C62">
        <w:rPr>
          <w:rFonts w:asciiTheme="minorHAnsi" w:hAnsiTheme="minorHAnsi" w:cstheme="minorHAnsi"/>
        </w:rPr>
        <w:t xml:space="preserve"> of </w:t>
      </w:r>
      <w:r w:rsidR="00001C62">
        <w:rPr>
          <w:rFonts w:asciiTheme="minorHAnsi" w:hAnsiTheme="minorHAnsi" w:cstheme="minorHAnsi"/>
        </w:rPr>
        <w:lastRenderedPageBreak/>
        <w:t>Performance Solutions</w:t>
      </w:r>
      <w:r w:rsidR="009C1BEC" w:rsidRPr="00BA010D">
        <w:rPr>
          <w:rFonts w:asciiTheme="minorHAnsi" w:hAnsiTheme="minorHAnsi" w:cstheme="minorHAnsi"/>
        </w:rPr>
        <w:t xml:space="preserve">. </w:t>
      </w:r>
      <w:r w:rsidR="00C14E87">
        <w:rPr>
          <w:rFonts w:asciiTheme="minorHAnsi" w:hAnsiTheme="minorHAnsi" w:cstheme="minorHAnsi"/>
        </w:rPr>
        <w:t>Most recently, a</w:t>
      </w:r>
      <w:r w:rsidR="009C1BEC" w:rsidRPr="00BA010D">
        <w:rPr>
          <w:rFonts w:asciiTheme="minorHAnsi" w:hAnsiTheme="minorHAnsi" w:cstheme="minorHAnsi"/>
        </w:rPr>
        <w:t>n ABCB guidance document</w:t>
      </w:r>
      <w:r w:rsidR="00C14E87" w:rsidRPr="00C14E87">
        <w:rPr>
          <w:rFonts w:asciiTheme="minorHAnsi" w:hAnsiTheme="minorHAnsi" w:cstheme="minorHAnsi"/>
        </w:rPr>
        <w:t xml:space="preserve"> </w:t>
      </w:r>
      <w:r w:rsidR="00C14E87">
        <w:rPr>
          <w:rFonts w:asciiTheme="minorHAnsi" w:hAnsiTheme="minorHAnsi" w:cstheme="minorHAnsi"/>
        </w:rPr>
        <w:t xml:space="preserve">has been </w:t>
      </w:r>
      <w:r w:rsidR="009C1BEC" w:rsidRPr="00BA010D">
        <w:rPr>
          <w:rFonts w:asciiTheme="minorHAnsi" w:hAnsiTheme="minorHAnsi" w:cstheme="minorHAnsi"/>
        </w:rPr>
        <w:t xml:space="preserve">developed with </w:t>
      </w:r>
      <w:r w:rsidR="009C1BEC">
        <w:rPr>
          <w:rFonts w:asciiTheme="minorHAnsi" w:hAnsiTheme="minorHAnsi" w:cstheme="minorHAnsi"/>
        </w:rPr>
        <w:t xml:space="preserve">the assistance of </w:t>
      </w:r>
      <w:r w:rsidR="009C1BEC" w:rsidRPr="00BA010D">
        <w:rPr>
          <w:rFonts w:asciiTheme="minorHAnsi" w:hAnsiTheme="minorHAnsi" w:cstheme="minorHAnsi"/>
        </w:rPr>
        <w:t>industry and governments</w:t>
      </w:r>
      <w:r w:rsidR="00C14E87">
        <w:rPr>
          <w:rFonts w:asciiTheme="minorHAnsi" w:hAnsiTheme="minorHAnsi" w:cstheme="minorHAnsi"/>
        </w:rPr>
        <w:t>.</w:t>
      </w:r>
      <w:r w:rsidR="00FE37D3" w:rsidRPr="00BA010D">
        <w:rPr>
          <w:rStyle w:val="FootnoteReference"/>
          <w:rFonts w:asciiTheme="minorHAnsi" w:hAnsiTheme="minorHAnsi" w:cstheme="minorHAnsi"/>
        </w:rPr>
        <w:footnoteReference w:id="2"/>
      </w:r>
      <w:r w:rsidR="00FE37D3" w:rsidRPr="00BA010D">
        <w:rPr>
          <w:rFonts w:asciiTheme="minorHAnsi" w:hAnsiTheme="minorHAnsi" w:cstheme="minorHAnsi"/>
        </w:rPr>
        <w:t xml:space="preserve"> </w:t>
      </w:r>
    </w:p>
    <w:p w:rsidR="00FE37D3" w:rsidRDefault="00FE37D3" w:rsidP="003756FF">
      <w:pPr>
        <w:pStyle w:val="Heading2"/>
      </w:pPr>
      <w:r>
        <w:t>Review finds building regulatory system in need of reform</w:t>
      </w:r>
    </w:p>
    <w:p w:rsidR="00FE37D3" w:rsidRDefault="00FE37D3" w:rsidP="00E13C4E">
      <w:pPr>
        <w:pStyle w:val="BodyText"/>
        <w:rPr>
          <w:rFonts w:ascii="Times New Roman" w:hAnsi="Times New Roman"/>
          <w:sz w:val="21"/>
          <w:szCs w:val="21"/>
        </w:rPr>
      </w:pPr>
      <w:r>
        <w:rPr>
          <w:rFonts w:asciiTheme="minorHAnsi" w:hAnsiTheme="minorHAnsi" w:cstheme="minorHAnsi"/>
        </w:rPr>
        <w:t xml:space="preserve">Following </w:t>
      </w:r>
      <w:r w:rsidRPr="00BA010D">
        <w:rPr>
          <w:rFonts w:asciiTheme="minorHAnsi" w:hAnsiTheme="minorHAnsi" w:cstheme="minorHAnsi"/>
        </w:rPr>
        <w:t>a number of high</w:t>
      </w:r>
      <w:r w:rsidR="00001C62">
        <w:rPr>
          <w:rFonts w:asciiTheme="minorHAnsi" w:hAnsiTheme="minorHAnsi" w:cstheme="minorHAnsi"/>
        </w:rPr>
        <w:t>-</w:t>
      </w:r>
      <w:r w:rsidRPr="00BA010D">
        <w:rPr>
          <w:rFonts w:asciiTheme="minorHAnsi" w:hAnsiTheme="minorHAnsi" w:cstheme="minorHAnsi"/>
        </w:rPr>
        <w:t>profil</w:t>
      </w:r>
      <w:r>
        <w:rPr>
          <w:rFonts w:asciiTheme="minorHAnsi" w:hAnsiTheme="minorHAnsi" w:cstheme="minorHAnsi"/>
        </w:rPr>
        <w:t>e building failures,</w:t>
      </w:r>
      <w:r w:rsidRPr="00BA010D">
        <w:rPr>
          <w:rFonts w:asciiTheme="minorHAnsi" w:hAnsiTheme="minorHAnsi" w:cstheme="minorHAnsi"/>
        </w:rPr>
        <w:t xml:space="preserve"> </w:t>
      </w:r>
      <w:r>
        <w:rPr>
          <w:rFonts w:asciiTheme="minorHAnsi" w:hAnsiTheme="minorHAnsi" w:cstheme="minorHAnsi"/>
        </w:rPr>
        <w:t>a</w:t>
      </w:r>
      <w:r w:rsidRPr="00BA010D">
        <w:rPr>
          <w:rFonts w:asciiTheme="minorHAnsi" w:hAnsiTheme="minorHAnsi" w:cstheme="minorHAnsi"/>
        </w:rPr>
        <w:t xml:space="preserve"> review of </w:t>
      </w:r>
      <w:r>
        <w:rPr>
          <w:rFonts w:asciiTheme="minorHAnsi" w:hAnsiTheme="minorHAnsi" w:cstheme="minorHAnsi"/>
        </w:rPr>
        <w:t>building regulatory</w:t>
      </w:r>
      <w:r w:rsidRPr="00BA010D">
        <w:rPr>
          <w:rFonts w:asciiTheme="minorHAnsi" w:hAnsiTheme="minorHAnsi" w:cstheme="minorHAnsi"/>
        </w:rPr>
        <w:t xml:space="preserve"> system</w:t>
      </w:r>
      <w:r>
        <w:rPr>
          <w:rFonts w:asciiTheme="minorHAnsi" w:hAnsiTheme="minorHAnsi" w:cstheme="minorHAnsi"/>
        </w:rPr>
        <w:t>s</w:t>
      </w:r>
      <w:r w:rsidRPr="00BA010D">
        <w:rPr>
          <w:rFonts w:asciiTheme="minorHAnsi" w:hAnsiTheme="minorHAnsi" w:cstheme="minorHAnsi"/>
        </w:rPr>
        <w:t xml:space="preserve"> </w:t>
      </w:r>
      <w:r>
        <w:rPr>
          <w:rFonts w:asciiTheme="minorHAnsi" w:hAnsiTheme="minorHAnsi" w:cstheme="minorHAnsi"/>
        </w:rPr>
        <w:t xml:space="preserve">found </w:t>
      </w:r>
      <w:r w:rsidRPr="00BA010D">
        <w:rPr>
          <w:rFonts w:asciiTheme="minorHAnsi" w:hAnsiTheme="minorHAnsi" w:cstheme="minorHAnsi"/>
        </w:rPr>
        <w:t xml:space="preserve">public confidence in industry’s ability to deliver safe building outcomes </w:t>
      </w:r>
      <w:r>
        <w:rPr>
          <w:rFonts w:asciiTheme="minorHAnsi" w:hAnsiTheme="minorHAnsi" w:cstheme="minorHAnsi"/>
        </w:rPr>
        <w:t xml:space="preserve">is </w:t>
      </w:r>
      <w:r w:rsidRPr="00BA010D">
        <w:rPr>
          <w:rFonts w:asciiTheme="minorHAnsi" w:hAnsiTheme="minorHAnsi" w:cstheme="minorHAnsi"/>
        </w:rPr>
        <w:t>diminishing</w:t>
      </w:r>
      <w:r>
        <w:rPr>
          <w:rFonts w:asciiTheme="minorHAnsi" w:hAnsiTheme="minorHAnsi" w:cstheme="minorHAnsi"/>
        </w:rPr>
        <w:t>.</w:t>
      </w:r>
      <w:r w:rsidRPr="00981719">
        <w:rPr>
          <w:rFonts w:asciiTheme="minorHAnsi" w:hAnsiTheme="minorHAnsi" w:cstheme="minorHAnsi"/>
          <w:vertAlign w:val="superscript"/>
        </w:rPr>
        <w:footnoteReference w:id="3"/>
      </w:r>
      <w:r w:rsidRPr="00BA010D">
        <w:rPr>
          <w:rFonts w:asciiTheme="minorHAnsi" w:hAnsiTheme="minorHAnsi" w:cstheme="minorHAnsi"/>
        </w:rPr>
        <w:t xml:space="preserve"> </w:t>
      </w:r>
      <w:r>
        <w:t xml:space="preserve">The Building Ministers Forum (BMF) in 2017, commissioned </w:t>
      </w:r>
      <w:r w:rsidRPr="00BA5DE9">
        <w:t xml:space="preserve">Professor Peter Shergold AC and Ms Bronwyn Weir </w:t>
      </w:r>
      <w:r>
        <w:t>to undertake an expert assessment of Australia’s building regulatory and compliance systems.  The</w:t>
      </w:r>
      <w:r w:rsidR="00001C62">
        <w:t>ir</w:t>
      </w:r>
      <w:r>
        <w:t xml:space="preserve"> Building Confidence Report (BCR) found systematic issues and set out a </w:t>
      </w:r>
      <w:r w:rsidR="00CC7A61">
        <w:t>series of recommendation</w:t>
      </w:r>
      <w:r w:rsidR="00204E1B">
        <w:t>s</w:t>
      </w:r>
      <w:r>
        <w:t xml:space="preserve"> aimed at ensuring compliance and enforcement systems deliver buildings that meet the objectives of the NCC and </w:t>
      </w:r>
      <w:r w:rsidR="00557DDE">
        <w:t xml:space="preserve">improve </w:t>
      </w:r>
      <w:r>
        <w:t xml:space="preserve">public trust in building regulatory systems. The BCR </w:t>
      </w:r>
      <w:r w:rsidR="00CC7A61">
        <w:t xml:space="preserve">recommendations aim to </w:t>
      </w:r>
      <w:r>
        <w:t>address</w:t>
      </w:r>
      <w:r w:rsidR="00244232">
        <w:t>,</w:t>
      </w:r>
      <w:r>
        <w:t xml:space="preserve"> </w:t>
      </w:r>
      <w:r w:rsidR="00244232">
        <w:t xml:space="preserve">as a package, </w:t>
      </w:r>
      <w:r>
        <w:t>issues</w:t>
      </w:r>
      <w:r w:rsidR="00244232">
        <w:t xml:space="preserve"> that</w:t>
      </w:r>
      <w:r>
        <w:t xml:space="preserve"> can occur at all stages of the construction process</w:t>
      </w:r>
      <w:r w:rsidR="00557DDE">
        <w:t>,</w:t>
      </w:r>
      <w:r>
        <w:t xml:space="preserve"> from design to occupation and use,. T</w:t>
      </w:r>
      <w:r w:rsidR="00CC7A61">
        <w:t>he t</w:t>
      </w:r>
      <w:r>
        <w:t>wenty four recommendations from the BCR are designed as a cohesive response aimed at addressing significant and systematic deficiencies in the registration and training of practitioners, roles and responsibilities of regulators, the role of fire authorities, integrity of building surveyors, collecting and sharing information, adequacy of documentation and record keeping, inspection regimes, post construction management, building product safety and complex</w:t>
      </w:r>
      <w:r w:rsidR="00244232">
        <w:t>ity</w:t>
      </w:r>
      <w:r>
        <w:t xml:space="preserve"> </w:t>
      </w:r>
      <w:r w:rsidR="00B715F0">
        <w:t xml:space="preserve">of </w:t>
      </w:r>
      <w:r>
        <w:t xml:space="preserve">buildings. </w:t>
      </w:r>
    </w:p>
    <w:p w:rsidR="00FE37D3" w:rsidRPr="00BA010D" w:rsidRDefault="00FE37D3" w:rsidP="007209E7">
      <w:pPr>
        <w:pStyle w:val="BodyText"/>
        <w:rPr>
          <w:rFonts w:asciiTheme="minorHAnsi" w:hAnsiTheme="minorHAnsi" w:cstheme="minorHAnsi"/>
        </w:rPr>
      </w:pPr>
      <w:r>
        <w:t>The BMF ha</w:t>
      </w:r>
      <w:r w:rsidR="004E35DB">
        <w:t>s</w:t>
      </w:r>
      <w:r>
        <w:t xml:space="preserve"> provided in-principle support to </w:t>
      </w:r>
      <w:r w:rsidR="00A87B38">
        <w:t xml:space="preserve">the report and </w:t>
      </w:r>
      <w:r>
        <w:t>implementing the BCR recommendations</w:t>
      </w:r>
      <w:r w:rsidR="00A87B38">
        <w:t xml:space="preserve"> nationally</w:t>
      </w:r>
      <w:r>
        <w:t xml:space="preserve">. </w:t>
      </w:r>
      <w:r>
        <w:rPr>
          <w:rFonts w:asciiTheme="minorHAnsi" w:hAnsiTheme="minorHAnsi" w:cstheme="minorHAnsi"/>
        </w:rPr>
        <w:t xml:space="preserve">The approach to </w:t>
      </w:r>
      <w:r w:rsidRPr="00BA010D">
        <w:rPr>
          <w:rFonts w:asciiTheme="minorHAnsi" w:hAnsiTheme="minorHAnsi" w:cstheme="minorHAnsi"/>
        </w:rPr>
        <w:t>Performance Solutions</w:t>
      </w:r>
      <w:r>
        <w:rPr>
          <w:rFonts w:asciiTheme="minorHAnsi" w:hAnsiTheme="minorHAnsi" w:cstheme="minorHAnsi"/>
        </w:rPr>
        <w:t xml:space="preserve"> is s</w:t>
      </w:r>
      <w:r w:rsidRPr="00BA010D">
        <w:rPr>
          <w:rFonts w:asciiTheme="minorHAnsi" w:hAnsiTheme="minorHAnsi" w:cstheme="minorHAnsi"/>
        </w:rPr>
        <w:t>ingled out</w:t>
      </w:r>
      <w:r>
        <w:rPr>
          <w:rFonts w:asciiTheme="minorHAnsi" w:hAnsiTheme="minorHAnsi" w:cstheme="minorHAnsi"/>
        </w:rPr>
        <w:t xml:space="preserve"> </w:t>
      </w:r>
      <w:r w:rsidRPr="00BA010D">
        <w:rPr>
          <w:rFonts w:asciiTheme="minorHAnsi" w:hAnsiTheme="minorHAnsi" w:cstheme="minorHAnsi"/>
        </w:rPr>
        <w:t>in two recommendations</w:t>
      </w:r>
      <w:r>
        <w:rPr>
          <w:rFonts w:asciiTheme="minorHAnsi" w:hAnsiTheme="minorHAnsi" w:cstheme="minorHAnsi"/>
        </w:rPr>
        <w:t>, for their</w:t>
      </w:r>
      <w:r w:rsidRPr="00BA010D">
        <w:rPr>
          <w:rFonts w:asciiTheme="minorHAnsi" w:hAnsiTheme="minorHAnsi" w:cstheme="minorHAnsi"/>
        </w:rPr>
        <w:t xml:space="preserve"> lack of adequate proce</w:t>
      </w:r>
      <w:r>
        <w:rPr>
          <w:rFonts w:asciiTheme="minorHAnsi" w:hAnsiTheme="minorHAnsi" w:cstheme="minorHAnsi"/>
        </w:rPr>
        <w:t xml:space="preserve">sses and </w:t>
      </w:r>
      <w:r w:rsidR="004E35DB">
        <w:rPr>
          <w:rFonts w:asciiTheme="minorHAnsi" w:hAnsiTheme="minorHAnsi" w:cstheme="minorHAnsi"/>
        </w:rPr>
        <w:t xml:space="preserve">required </w:t>
      </w:r>
      <w:r>
        <w:rPr>
          <w:rFonts w:asciiTheme="minorHAnsi" w:hAnsiTheme="minorHAnsi" w:cstheme="minorHAnsi"/>
        </w:rPr>
        <w:t>documentation, resulting in:</w:t>
      </w:r>
      <w:r w:rsidRPr="00BA010D">
        <w:rPr>
          <w:rFonts w:asciiTheme="minorHAnsi" w:hAnsiTheme="minorHAnsi" w:cstheme="minorHAnsi"/>
        </w:rPr>
        <w:t xml:space="preserve"> </w:t>
      </w:r>
    </w:p>
    <w:p w:rsidR="00FE37D3" w:rsidRPr="00BA010D" w:rsidRDefault="00FE37D3" w:rsidP="00E13C4E">
      <w:pPr>
        <w:pStyle w:val="ListBullet"/>
        <w:rPr>
          <w:rFonts w:eastAsia="Times New Roman"/>
          <w:lang w:eastAsia="en-AU"/>
        </w:rPr>
      </w:pPr>
      <w:r>
        <w:t xml:space="preserve">some new </w:t>
      </w:r>
      <w:r w:rsidRPr="00BA010D">
        <w:t xml:space="preserve">buildings not achieving compliance with the NCC’s Performance Requirements; </w:t>
      </w:r>
      <w:r w:rsidR="004E35DB">
        <w:t>and</w:t>
      </w:r>
    </w:p>
    <w:p w:rsidR="00FE37D3" w:rsidRPr="00BA010D" w:rsidRDefault="00FE37D3" w:rsidP="00E13C4E">
      <w:pPr>
        <w:pStyle w:val="ListBullet"/>
        <w:rPr>
          <w:rFonts w:eastAsia="Times New Roman"/>
          <w:lang w:eastAsia="en-AU"/>
        </w:rPr>
      </w:pPr>
      <w:r>
        <w:lastRenderedPageBreak/>
        <w:t xml:space="preserve">some building approvals </w:t>
      </w:r>
      <w:r w:rsidRPr="00BA010D">
        <w:t>not providing transparency and accountability for decisions</w:t>
      </w:r>
      <w:r>
        <w:t xml:space="preserve"> associated with Performance Solutions</w:t>
      </w:r>
      <w:r w:rsidRPr="00BA010D">
        <w:t>.</w:t>
      </w:r>
    </w:p>
    <w:p w:rsidR="00FE37D3" w:rsidRDefault="00FE37D3" w:rsidP="003756FF">
      <w:pPr>
        <w:pStyle w:val="Heading2"/>
      </w:pPr>
      <w:r>
        <w:t>Mandating ABCB process for development of Performance Solutions</w:t>
      </w:r>
    </w:p>
    <w:p w:rsidR="00FE37D3" w:rsidRDefault="00FE37D3" w:rsidP="00340BFA">
      <w:pPr>
        <w:pStyle w:val="BodyText"/>
        <w:rPr>
          <w:sz w:val="20"/>
          <w:szCs w:val="20"/>
        </w:rPr>
      </w:pPr>
      <w:r>
        <w:t>The NCC amendment sit</w:t>
      </w:r>
      <w:r w:rsidR="00244232">
        <w:t>s</w:t>
      </w:r>
      <w:r>
        <w:t xml:space="preserve"> within th</w:t>
      </w:r>
      <w:r w:rsidR="00244232">
        <w:t xml:space="preserve">e </w:t>
      </w:r>
      <w:r w:rsidR="00A6394A">
        <w:t>Building Confidence National F</w:t>
      </w:r>
      <w:r>
        <w:t xml:space="preserve">ramework </w:t>
      </w:r>
      <w:r w:rsidR="00A6394A">
        <w:t xml:space="preserve">(National Framework) </w:t>
      </w:r>
      <w:r>
        <w:t>and contribute</w:t>
      </w:r>
      <w:r w:rsidR="00A6394A">
        <w:t>s</w:t>
      </w:r>
      <w:r>
        <w:t xml:space="preserve"> to </w:t>
      </w:r>
      <w:r w:rsidR="00A6394A">
        <w:t xml:space="preserve">helping implement </w:t>
      </w:r>
      <w:r>
        <w:t>BCR recommendations 8 and 14, ensuring expectations of the process for Performance Solutions are clearly articulated. Effectiveness is</w:t>
      </w:r>
      <w:r w:rsidR="00C12E8A">
        <w:t>,</w:t>
      </w:r>
      <w:r>
        <w:t xml:space="preserve"> however, reliant on the remaining BCR recommendations to address</w:t>
      </w:r>
      <w:r w:rsidR="004811BB">
        <w:t>,</w:t>
      </w:r>
      <w:r>
        <w:t xml:space="preserve"> more fundamentally cultural, competency and enforcement issues that affect the implementation of the NCC.</w:t>
      </w:r>
    </w:p>
    <w:p w:rsidR="00FE37D3" w:rsidRPr="00BA010D" w:rsidRDefault="00FE37D3" w:rsidP="00BA010D">
      <w:pPr>
        <w:rPr>
          <w:rFonts w:asciiTheme="minorHAnsi" w:eastAsia="Times New Roman" w:hAnsiTheme="minorHAnsi" w:cstheme="minorHAnsi"/>
          <w:lang w:eastAsia="en-AU"/>
        </w:rPr>
      </w:pPr>
      <w:r w:rsidRPr="00BA010D">
        <w:rPr>
          <w:rFonts w:asciiTheme="minorHAnsi" w:hAnsiTheme="minorHAnsi" w:cstheme="minorHAnsi"/>
        </w:rPr>
        <w:t>While some</w:t>
      </w:r>
      <w:r w:rsidRPr="00BA010D">
        <w:rPr>
          <w:rFonts w:asciiTheme="minorHAnsi" w:eastAsia="Times New Roman" w:hAnsiTheme="minorHAnsi" w:cstheme="minorHAnsi"/>
          <w:lang w:eastAsia="en-AU"/>
        </w:rPr>
        <w:t xml:space="preserve"> states have commenced consulting on potential changes to </w:t>
      </w:r>
      <w:r>
        <w:rPr>
          <w:rFonts w:asciiTheme="minorHAnsi" w:eastAsia="Times New Roman" w:hAnsiTheme="minorHAnsi" w:cstheme="minorHAnsi"/>
          <w:lang w:eastAsia="en-AU"/>
        </w:rPr>
        <w:t xml:space="preserve">their </w:t>
      </w:r>
      <w:r w:rsidRPr="00BA010D">
        <w:rPr>
          <w:rFonts w:asciiTheme="minorHAnsi" w:eastAsia="Times New Roman" w:hAnsiTheme="minorHAnsi" w:cstheme="minorHAnsi"/>
          <w:lang w:eastAsia="en-AU"/>
        </w:rPr>
        <w:t>administrative systems, the ABCB ha</w:t>
      </w:r>
      <w:r>
        <w:rPr>
          <w:rFonts w:asciiTheme="minorHAnsi" w:eastAsia="Times New Roman" w:hAnsiTheme="minorHAnsi" w:cstheme="minorHAnsi"/>
          <w:lang w:eastAsia="en-AU"/>
        </w:rPr>
        <w:t>s</w:t>
      </w:r>
      <w:r w:rsidRPr="00BA010D">
        <w:rPr>
          <w:rFonts w:asciiTheme="minorHAnsi" w:eastAsia="Times New Roman" w:hAnsiTheme="minorHAnsi" w:cstheme="minorHAnsi"/>
          <w:lang w:eastAsia="en-AU"/>
        </w:rPr>
        <w:t xml:space="preserve"> been tasked with assisting with </w:t>
      </w:r>
      <w:r w:rsidR="00A6394A">
        <w:rPr>
          <w:rFonts w:asciiTheme="minorHAnsi" w:eastAsia="Times New Roman" w:hAnsiTheme="minorHAnsi" w:cstheme="minorHAnsi"/>
          <w:lang w:eastAsia="en-AU"/>
        </w:rPr>
        <w:t>the N</w:t>
      </w:r>
      <w:r>
        <w:rPr>
          <w:rFonts w:asciiTheme="minorHAnsi" w:eastAsia="Times New Roman" w:hAnsiTheme="minorHAnsi" w:cstheme="minorHAnsi"/>
          <w:lang w:eastAsia="en-AU"/>
        </w:rPr>
        <w:t>ational</w:t>
      </w:r>
      <w:r w:rsidRPr="00BA010D">
        <w:rPr>
          <w:rFonts w:asciiTheme="minorHAnsi" w:eastAsia="Times New Roman" w:hAnsiTheme="minorHAnsi" w:cstheme="minorHAnsi"/>
          <w:lang w:eastAsia="en-AU"/>
        </w:rPr>
        <w:t xml:space="preserve"> </w:t>
      </w:r>
      <w:r w:rsidR="00A6394A">
        <w:rPr>
          <w:rFonts w:asciiTheme="minorHAnsi" w:eastAsia="Times New Roman" w:hAnsiTheme="minorHAnsi" w:cstheme="minorHAnsi"/>
          <w:lang w:eastAsia="en-AU"/>
        </w:rPr>
        <w:t>F</w:t>
      </w:r>
      <w:r w:rsidRPr="00BA010D">
        <w:rPr>
          <w:rFonts w:asciiTheme="minorHAnsi" w:eastAsia="Times New Roman" w:hAnsiTheme="minorHAnsi" w:cstheme="minorHAnsi"/>
          <w:lang w:eastAsia="en-AU"/>
        </w:rPr>
        <w:t>ramework.</w:t>
      </w:r>
      <w:r>
        <w:rPr>
          <w:rStyle w:val="FootnoteReference"/>
          <w:rFonts w:asciiTheme="minorHAnsi" w:hAnsiTheme="minorHAnsi" w:cstheme="minorHAnsi"/>
        </w:rPr>
        <w:footnoteReference w:id="4"/>
      </w:r>
      <w:r>
        <w:rPr>
          <w:rFonts w:asciiTheme="minorHAnsi" w:eastAsia="Times New Roman" w:hAnsiTheme="minorHAnsi" w:cstheme="minorHAnsi"/>
          <w:lang w:eastAsia="en-AU"/>
        </w:rPr>
        <w:t xml:space="preserve"> Within this </w:t>
      </w:r>
      <w:r w:rsidR="00A6394A">
        <w:rPr>
          <w:rFonts w:asciiTheme="minorHAnsi" w:eastAsia="Times New Roman" w:hAnsiTheme="minorHAnsi" w:cstheme="minorHAnsi"/>
          <w:lang w:eastAsia="en-AU"/>
        </w:rPr>
        <w:t>F</w:t>
      </w:r>
      <w:r>
        <w:rPr>
          <w:rFonts w:asciiTheme="minorHAnsi" w:eastAsia="Times New Roman" w:hAnsiTheme="minorHAnsi" w:cstheme="minorHAnsi"/>
          <w:lang w:eastAsia="en-AU"/>
        </w:rPr>
        <w:t xml:space="preserve">ramework, </w:t>
      </w:r>
      <w:r>
        <w:rPr>
          <w:rFonts w:asciiTheme="minorHAnsi" w:hAnsiTheme="minorHAnsi" w:cstheme="minorHAnsi"/>
        </w:rPr>
        <w:t xml:space="preserve">a proposal to formalise a process for the </w:t>
      </w:r>
      <w:r w:rsidR="004811BB">
        <w:rPr>
          <w:rFonts w:asciiTheme="minorHAnsi" w:hAnsiTheme="minorHAnsi" w:cstheme="minorHAnsi"/>
        </w:rPr>
        <w:t>development</w:t>
      </w:r>
      <w:r>
        <w:rPr>
          <w:rFonts w:asciiTheme="minorHAnsi" w:hAnsiTheme="minorHAnsi" w:cstheme="minorHAnsi"/>
        </w:rPr>
        <w:t xml:space="preserve"> of Performance Solutions has emerged.</w:t>
      </w:r>
    </w:p>
    <w:p w:rsidR="00FE37D3" w:rsidRDefault="00FE37D3" w:rsidP="00BA010D">
      <w:pPr>
        <w:rPr>
          <w:rFonts w:asciiTheme="minorHAnsi" w:hAnsiTheme="minorHAnsi" w:cstheme="minorHAnsi"/>
        </w:rPr>
      </w:pPr>
      <w:r w:rsidRPr="00BA010D">
        <w:rPr>
          <w:rFonts w:asciiTheme="minorHAnsi" w:eastAsia="Times New Roman" w:hAnsiTheme="minorHAnsi" w:cstheme="minorHAnsi"/>
          <w:lang w:eastAsia="en-AU"/>
        </w:rPr>
        <w:t xml:space="preserve">This </w:t>
      </w:r>
      <w:r w:rsidR="00F56855">
        <w:rPr>
          <w:rFonts w:asciiTheme="minorHAnsi" w:eastAsia="Times New Roman" w:hAnsiTheme="minorHAnsi" w:cstheme="minorHAnsi"/>
          <w:lang w:eastAsia="en-AU"/>
        </w:rPr>
        <w:t>Decision</w:t>
      </w:r>
      <w:r>
        <w:rPr>
          <w:rFonts w:asciiTheme="minorHAnsi" w:eastAsia="Times New Roman" w:hAnsiTheme="minorHAnsi" w:cstheme="minorHAnsi"/>
          <w:lang w:eastAsia="en-AU"/>
        </w:rPr>
        <w:t xml:space="preserve"> Regulation Impact Statement</w:t>
      </w:r>
      <w:r w:rsidRPr="00BA010D">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 xml:space="preserve">(RIS) </w:t>
      </w:r>
      <w:r w:rsidRPr="00BA010D">
        <w:rPr>
          <w:rFonts w:asciiTheme="minorHAnsi" w:eastAsia="Times New Roman" w:hAnsiTheme="minorHAnsi" w:cstheme="minorHAnsi"/>
          <w:lang w:eastAsia="en-AU"/>
        </w:rPr>
        <w:t>examine</w:t>
      </w:r>
      <w:r>
        <w:rPr>
          <w:rFonts w:asciiTheme="minorHAnsi" w:eastAsia="Times New Roman" w:hAnsiTheme="minorHAnsi" w:cstheme="minorHAnsi"/>
          <w:lang w:eastAsia="en-AU"/>
        </w:rPr>
        <w:t>s</w:t>
      </w:r>
      <w:r w:rsidRPr="00BA010D">
        <w:rPr>
          <w:rFonts w:asciiTheme="minorHAnsi" w:eastAsia="Times New Roman" w:hAnsiTheme="minorHAnsi" w:cstheme="minorHAnsi"/>
          <w:lang w:eastAsia="en-AU"/>
        </w:rPr>
        <w:t xml:space="preserve"> a proposal that seeks to mandate the </w:t>
      </w:r>
      <w:r w:rsidR="00EA33AC">
        <w:rPr>
          <w:rFonts w:asciiTheme="minorHAnsi" w:eastAsia="Times New Roman" w:hAnsiTheme="minorHAnsi" w:cstheme="minorHAnsi"/>
          <w:lang w:eastAsia="en-AU"/>
        </w:rPr>
        <w:t xml:space="preserve">process set out in the </w:t>
      </w:r>
      <w:r w:rsidRPr="00BA010D">
        <w:rPr>
          <w:rFonts w:asciiTheme="minorHAnsi" w:eastAsia="Times New Roman" w:hAnsiTheme="minorHAnsi" w:cstheme="minorHAnsi"/>
          <w:lang w:eastAsia="en-AU"/>
        </w:rPr>
        <w:t xml:space="preserve">ABCB </w:t>
      </w:r>
      <w:r w:rsidR="00A6394A">
        <w:rPr>
          <w:rFonts w:asciiTheme="minorHAnsi" w:eastAsia="Times New Roman" w:hAnsiTheme="minorHAnsi" w:cstheme="minorHAnsi"/>
          <w:lang w:eastAsia="en-AU"/>
        </w:rPr>
        <w:t>g</w:t>
      </w:r>
      <w:r>
        <w:rPr>
          <w:rFonts w:asciiTheme="minorHAnsi" w:eastAsia="Times New Roman" w:hAnsiTheme="minorHAnsi" w:cstheme="minorHAnsi"/>
          <w:lang w:eastAsia="en-AU"/>
        </w:rPr>
        <w:t>uideline on the development of Performance Solutions</w:t>
      </w:r>
      <w:r w:rsidRPr="00BA010D">
        <w:rPr>
          <w:rFonts w:asciiTheme="minorHAnsi" w:eastAsia="Times New Roman" w:hAnsiTheme="minorHAnsi" w:cstheme="minorHAnsi"/>
          <w:lang w:eastAsia="en-AU"/>
        </w:rPr>
        <w:t xml:space="preserve"> to ensure all building and plumbing Performance Solutions are </w:t>
      </w:r>
      <w:r w:rsidR="00EA33AC">
        <w:rPr>
          <w:rFonts w:asciiTheme="minorHAnsi" w:eastAsia="Times New Roman" w:hAnsiTheme="minorHAnsi" w:cstheme="minorHAnsi"/>
          <w:lang w:eastAsia="en-AU"/>
        </w:rPr>
        <w:t xml:space="preserve">appropriately </w:t>
      </w:r>
      <w:r w:rsidRPr="00BA010D">
        <w:rPr>
          <w:rFonts w:asciiTheme="minorHAnsi" w:eastAsia="Times New Roman" w:hAnsiTheme="minorHAnsi" w:cstheme="minorHAnsi"/>
          <w:lang w:eastAsia="en-AU"/>
        </w:rPr>
        <w:t>developed and documented</w:t>
      </w:r>
      <w:r>
        <w:rPr>
          <w:rFonts w:asciiTheme="minorHAnsi" w:eastAsia="Times New Roman" w:hAnsiTheme="minorHAnsi" w:cstheme="minorHAnsi"/>
          <w:lang w:eastAsia="en-AU"/>
        </w:rPr>
        <w:t xml:space="preserve">. </w:t>
      </w:r>
      <w:r w:rsidRPr="00BA010D">
        <w:rPr>
          <w:rFonts w:asciiTheme="minorHAnsi" w:hAnsiTheme="minorHAnsi" w:cstheme="minorHAnsi"/>
        </w:rPr>
        <w:t xml:space="preserve">Amendments to the NCC’s Governing Requirements would require the process </w:t>
      </w:r>
      <w:r w:rsidR="00EA33AC">
        <w:rPr>
          <w:rFonts w:asciiTheme="minorHAnsi" w:hAnsiTheme="minorHAnsi" w:cstheme="minorHAnsi"/>
        </w:rPr>
        <w:t xml:space="preserve">to </w:t>
      </w:r>
      <w:r w:rsidRPr="00BA010D">
        <w:rPr>
          <w:rFonts w:asciiTheme="minorHAnsi" w:hAnsiTheme="minorHAnsi" w:cstheme="minorHAnsi"/>
        </w:rPr>
        <w:t>be followed as a general obligation when prepa</w:t>
      </w:r>
      <w:r>
        <w:rPr>
          <w:rFonts w:asciiTheme="minorHAnsi" w:hAnsiTheme="minorHAnsi" w:cstheme="minorHAnsi"/>
        </w:rPr>
        <w:t xml:space="preserve">ring </w:t>
      </w:r>
      <w:r w:rsidR="00EA33AC">
        <w:rPr>
          <w:rFonts w:asciiTheme="minorHAnsi" w:hAnsiTheme="minorHAnsi" w:cstheme="minorHAnsi"/>
        </w:rPr>
        <w:t xml:space="preserve">a </w:t>
      </w:r>
      <w:r>
        <w:rPr>
          <w:rFonts w:asciiTheme="minorHAnsi" w:hAnsiTheme="minorHAnsi" w:cstheme="minorHAnsi"/>
        </w:rPr>
        <w:t xml:space="preserve">Performance Solution. </w:t>
      </w:r>
    </w:p>
    <w:p w:rsidR="00FE37D3" w:rsidRPr="00C14E87" w:rsidRDefault="00EA33AC" w:rsidP="00BA010D">
      <w:pPr>
        <w:rPr>
          <w:rFonts w:asciiTheme="minorHAnsi" w:eastAsia="Times New Roman" w:hAnsiTheme="minorHAnsi" w:cstheme="minorHAnsi"/>
          <w:lang w:eastAsia="en-AU"/>
        </w:rPr>
      </w:pPr>
      <w:r>
        <w:rPr>
          <w:rFonts w:asciiTheme="minorHAnsi" w:hAnsiTheme="minorHAnsi" w:cstheme="minorHAnsi"/>
        </w:rPr>
        <w:t>It is proposed that all Performance Solutions be</w:t>
      </w:r>
      <w:r w:rsidR="00FE37D3" w:rsidRPr="00BA010D">
        <w:rPr>
          <w:rFonts w:asciiTheme="minorHAnsi" w:hAnsiTheme="minorHAnsi" w:cstheme="minorHAnsi"/>
        </w:rPr>
        <w:t>:</w:t>
      </w:r>
    </w:p>
    <w:p w:rsidR="00FE37D3" w:rsidRPr="00BA010D" w:rsidRDefault="00FE37D3" w:rsidP="008B202B">
      <w:pPr>
        <w:pStyle w:val="ListBullet"/>
      </w:pPr>
      <w:r>
        <w:t>d</w:t>
      </w:r>
      <w:r w:rsidRPr="00BA010D">
        <w:t>eveloped under a nationally consistent process, where stakeholder involvement, expertise and testing and/or modelling is commensurate with the technical complexity and ri</w:t>
      </w:r>
      <w:r>
        <w:t xml:space="preserve">sk associated with the solution, and; </w:t>
      </w:r>
    </w:p>
    <w:p w:rsidR="00FE37D3" w:rsidRPr="008B202B" w:rsidRDefault="00FE37D3" w:rsidP="008B202B">
      <w:pPr>
        <w:pStyle w:val="ListBullet"/>
        <w:jc w:val="left"/>
        <w:rPr>
          <w:rFonts w:eastAsia="Times New Roman"/>
          <w:lang w:eastAsia="en-AU"/>
        </w:rPr>
      </w:pPr>
      <w:r>
        <w:lastRenderedPageBreak/>
        <w:t>clearly documented with respect to</w:t>
      </w:r>
      <w:r w:rsidRPr="0089155B">
        <w:rPr>
          <w:rFonts w:eastAsia="Times New Roman"/>
          <w:lang w:eastAsia="en-AU"/>
        </w:rPr>
        <w:t xml:space="preserve"> </w:t>
      </w:r>
      <w:r w:rsidRPr="00BA010D">
        <w:rPr>
          <w:rFonts w:eastAsia="Times New Roman"/>
          <w:lang w:eastAsia="en-AU"/>
        </w:rPr>
        <w:t xml:space="preserve">the levels of </w:t>
      </w:r>
      <w:r>
        <w:rPr>
          <w:rFonts w:eastAsia="Times New Roman"/>
          <w:lang w:eastAsia="en-AU"/>
        </w:rPr>
        <w:t>safety and health, amenity and accessibility</w:t>
      </w:r>
      <w:r w:rsidR="004811BB">
        <w:rPr>
          <w:rFonts w:eastAsia="Times New Roman"/>
          <w:lang w:eastAsia="en-AU"/>
        </w:rPr>
        <w:t>,</w:t>
      </w:r>
      <w:r>
        <w:rPr>
          <w:rFonts w:eastAsia="Times New Roman"/>
          <w:lang w:eastAsia="en-AU"/>
        </w:rPr>
        <w:t xml:space="preserve"> and sustainability</w:t>
      </w:r>
      <w:r w:rsidRPr="00BA010D">
        <w:rPr>
          <w:rFonts w:eastAsia="Times New Roman"/>
          <w:lang w:eastAsia="en-AU"/>
        </w:rPr>
        <w:t xml:space="preserve"> delivered.</w:t>
      </w:r>
    </w:p>
    <w:p w:rsidR="00FE37D3" w:rsidRDefault="00FE37D3" w:rsidP="00D66192">
      <w:pPr>
        <w:rPr>
          <w:rFonts w:asciiTheme="minorHAnsi" w:hAnsiTheme="minorHAnsi" w:cstheme="minorHAnsi"/>
        </w:rPr>
      </w:pPr>
      <w:r w:rsidRPr="00BA010D">
        <w:rPr>
          <w:rFonts w:asciiTheme="minorHAnsi" w:hAnsiTheme="minorHAnsi" w:cstheme="minorHAnsi"/>
        </w:rPr>
        <w:t xml:space="preserve">This </w:t>
      </w:r>
      <w:r w:rsidR="00F56855">
        <w:rPr>
          <w:rFonts w:asciiTheme="minorHAnsi" w:hAnsiTheme="minorHAnsi" w:cstheme="minorHAnsi"/>
        </w:rPr>
        <w:t>Decision</w:t>
      </w:r>
      <w:r>
        <w:rPr>
          <w:rFonts w:asciiTheme="minorHAnsi" w:hAnsiTheme="minorHAnsi" w:cstheme="minorHAnsi"/>
        </w:rPr>
        <w:t xml:space="preserve"> RIS</w:t>
      </w:r>
      <w:r w:rsidRPr="00BA010D">
        <w:rPr>
          <w:rFonts w:asciiTheme="minorHAnsi" w:hAnsiTheme="minorHAnsi" w:cstheme="minorHAnsi"/>
        </w:rPr>
        <w:t xml:space="preserve"> focus</w:t>
      </w:r>
      <w:r>
        <w:rPr>
          <w:rFonts w:asciiTheme="minorHAnsi" w:hAnsiTheme="minorHAnsi" w:cstheme="minorHAnsi"/>
        </w:rPr>
        <w:t>es</w:t>
      </w:r>
      <w:r w:rsidRPr="00BA010D">
        <w:rPr>
          <w:rFonts w:asciiTheme="minorHAnsi" w:hAnsiTheme="minorHAnsi" w:cstheme="minorHAnsi"/>
        </w:rPr>
        <w:t xml:space="preserve"> on the marginal impact</w:t>
      </w:r>
      <w:r>
        <w:rPr>
          <w:rFonts w:asciiTheme="minorHAnsi" w:hAnsiTheme="minorHAnsi" w:cstheme="minorHAnsi"/>
        </w:rPr>
        <w:t xml:space="preserve">s </w:t>
      </w:r>
      <w:r w:rsidRPr="00BA010D">
        <w:rPr>
          <w:rFonts w:asciiTheme="minorHAnsi" w:hAnsiTheme="minorHAnsi" w:cstheme="minorHAnsi"/>
        </w:rPr>
        <w:t xml:space="preserve">of </w:t>
      </w:r>
      <w:r>
        <w:rPr>
          <w:rFonts w:asciiTheme="minorHAnsi" w:hAnsiTheme="minorHAnsi" w:cstheme="minorHAnsi"/>
        </w:rPr>
        <w:t xml:space="preserve">changing current practice for assessment and documentation of Performance Solutions and the administrative </w:t>
      </w:r>
      <w:r w:rsidRPr="00BA010D">
        <w:rPr>
          <w:rFonts w:asciiTheme="minorHAnsi" w:hAnsiTheme="minorHAnsi" w:cstheme="minorHAnsi"/>
        </w:rPr>
        <w:t xml:space="preserve">regulatory burden. It </w:t>
      </w:r>
      <w:r>
        <w:rPr>
          <w:rFonts w:asciiTheme="minorHAnsi" w:hAnsiTheme="minorHAnsi" w:cstheme="minorHAnsi"/>
        </w:rPr>
        <w:t xml:space="preserve">does not </w:t>
      </w:r>
      <w:r w:rsidRPr="00BA010D">
        <w:rPr>
          <w:rFonts w:asciiTheme="minorHAnsi" w:hAnsiTheme="minorHAnsi" w:cstheme="minorHAnsi"/>
        </w:rPr>
        <w:t>assess the</w:t>
      </w:r>
      <w:r>
        <w:rPr>
          <w:rFonts w:asciiTheme="minorHAnsi" w:hAnsiTheme="minorHAnsi" w:cstheme="minorHAnsi"/>
        </w:rPr>
        <w:t xml:space="preserve"> merits or value of performance-</w:t>
      </w:r>
      <w:r w:rsidRPr="00BA010D">
        <w:rPr>
          <w:rFonts w:asciiTheme="minorHAnsi" w:hAnsiTheme="minorHAnsi" w:cstheme="minorHAnsi"/>
        </w:rPr>
        <w:t xml:space="preserve">based codes, the benefits of which are well established </w:t>
      </w:r>
      <w:r>
        <w:rPr>
          <w:rFonts w:asciiTheme="minorHAnsi" w:hAnsiTheme="minorHAnsi" w:cstheme="minorHAnsi"/>
        </w:rPr>
        <w:t>by</w:t>
      </w:r>
      <w:r w:rsidRPr="00BA010D">
        <w:rPr>
          <w:rFonts w:asciiTheme="minorHAnsi" w:hAnsiTheme="minorHAnsi" w:cstheme="minorHAnsi"/>
        </w:rPr>
        <w:t xml:space="preserve"> </w:t>
      </w:r>
      <w:r>
        <w:rPr>
          <w:rFonts w:asciiTheme="minorHAnsi" w:hAnsiTheme="minorHAnsi" w:cstheme="minorHAnsi"/>
        </w:rPr>
        <w:t>previous</w:t>
      </w:r>
      <w:r w:rsidRPr="00BA010D">
        <w:rPr>
          <w:rFonts w:asciiTheme="minorHAnsi" w:hAnsiTheme="minorHAnsi" w:cstheme="minorHAnsi"/>
        </w:rPr>
        <w:t xml:space="preserve"> reports</w:t>
      </w:r>
      <w:r w:rsidRPr="00E55960">
        <w:rPr>
          <w:rFonts w:asciiTheme="minorHAnsi" w:hAnsiTheme="minorHAnsi" w:cstheme="minorHAnsi"/>
        </w:rPr>
        <w:t>.</w:t>
      </w:r>
      <w:r w:rsidRPr="00BA010D">
        <w:rPr>
          <w:rFonts w:asciiTheme="minorHAnsi" w:hAnsiTheme="minorHAnsi" w:cstheme="minorHAnsi"/>
        </w:rPr>
        <w:t xml:space="preserve"> </w:t>
      </w:r>
    </w:p>
    <w:p w:rsidR="00FE37D3" w:rsidRPr="007A31CE" w:rsidRDefault="00FE37D3" w:rsidP="00D66192">
      <w:pPr>
        <w:rPr>
          <w:rFonts w:asciiTheme="minorHAnsi" w:hAnsiTheme="minorHAnsi" w:cstheme="minorHAnsi"/>
        </w:rPr>
      </w:pPr>
      <w:r>
        <w:rPr>
          <w:rFonts w:asciiTheme="minorHAnsi" w:hAnsiTheme="minorHAnsi" w:cstheme="minorHAnsi"/>
        </w:rPr>
        <w:t xml:space="preserve">The </w:t>
      </w:r>
      <w:r w:rsidR="00F56855">
        <w:rPr>
          <w:rFonts w:asciiTheme="minorHAnsi" w:hAnsiTheme="minorHAnsi" w:cstheme="minorHAnsi"/>
        </w:rPr>
        <w:t>Decision</w:t>
      </w:r>
      <w:r>
        <w:rPr>
          <w:rFonts w:asciiTheme="minorHAnsi" w:hAnsiTheme="minorHAnsi" w:cstheme="minorHAnsi"/>
        </w:rPr>
        <w:t xml:space="preserve"> RIS is based on the Consultation RIS released between </w:t>
      </w:r>
      <w:r w:rsidRPr="00890120">
        <w:rPr>
          <w:rFonts w:cs="Arial"/>
        </w:rPr>
        <w:t xml:space="preserve">24 February </w:t>
      </w:r>
      <w:r>
        <w:rPr>
          <w:rFonts w:cs="Arial"/>
        </w:rPr>
        <w:t>and</w:t>
      </w:r>
      <w:r w:rsidRPr="00890120">
        <w:rPr>
          <w:rFonts w:cs="Arial"/>
        </w:rPr>
        <w:t xml:space="preserve"> 22</w:t>
      </w:r>
      <w:r w:rsidR="00451D0B">
        <w:rPr>
          <w:rFonts w:cs="Arial"/>
        </w:rPr>
        <w:t> </w:t>
      </w:r>
      <w:r w:rsidRPr="00890120">
        <w:rPr>
          <w:rFonts w:cs="Arial"/>
        </w:rPr>
        <w:t>March 2020</w:t>
      </w:r>
      <w:r>
        <w:rPr>
          <w:rFonts w:cs="Arial"/>
        </w:rPr>
        <w:t xml:space="preserve">. Feedback </w:t>
      </w:r>
      <w:r>
        <w:rPr>
          <w:rFonts w:asciiTheme="minorHAnsi" w:hAnsiTheme="minorHAnsi" w:cstheme="minorHAnsi"/>
        </w:rPr>
        <w:t>from stakeholders is summarised in the consultation section. Where specific issues and evidence was received, discussion and analysis is updated throughout</w:t>
      </w:r>
      <w:r w:rsidR="00451D0B">
        <w:rPr>
          <w:rFonts w:asciiTheme="minorHAnsi" w:hAnsiTheme="minorHAnsi" w:cstheme="minorHAnsi"/>
        </w:rPr>
        <w:t xml:space="preserve"> the </w:t>
      </w:r>
      <w:r w:rsidR="00F56855">
        <w:rPr>
          <w:rFonts w:asciiTheme="minorHAnsi" w:hAnsiTheme="minorHAnsi" w:cstheme="minorHAnsi"/>
        </w:rPr>
        <w:t>Decision</w:t>
      </w:r>
      <w:r w:rsidR="00451D0B">
        <w:rPr>
          <w:rFonts w:asciiTheme="minorHAnsi" w:hAnsiTheme="minorHAnsi" w:cstheme="minorHAnsi"/>
        </w:rPr>
        <w:t xml:space="preserve"> RIS</w:t>
      </w:r>
      <w:r>
        <w:rPr>
          <w:rFonts w:asciiTheme="minorHAnsi" w:hAnsiTheme="minorHAnsi" w:cstheme="minorHAnsi"/>
        </w:rPr>
        <w:t>.</w:t>
      </w:r>
    </w:p>
    <w:p w:rsidR="00FE37D3" w:rsidRDefault="00FE37D3">
      <w:r>
        <w:br w:type="page"/>
      </w:r>
    </w:p>
    <w:p w:rsidR="00FE37D3" w:rsidRPr="00BA010D" w:rsidRDefault="00FE37D3" w:rsidP="00BA010D">
      <w:pPr>
        <w:pStyle w:val="Heading1"/>
      </w:pPr>
      <w:bookmarkStart w:id="12" w:name="_Toc33098870"/>
      <w:r w:rsidRPr="00BA010D">
        <w:lastRenderedPageBreak/>
        <w:t>Background</w:t>
      </w:r>
      <w:bookmarkEnd w:id="12"/>
    </w:p>
    <w:p w:rsidR="00FE37D3" w:rsidRDefault="00FE37D3" w:rsidP="003756FF">
      <w:pPr>
        <w:pStyle w:val="Heading2"/>
      </w:pPr>
      <w:r>
        <w:t>National Construction Code (NCC)</w:t>
      </w:r>
    </w:p>
    <w:p w:rsidR="00FE37D3" w:rsidRPr="00BA010D" w:rsidRDefault="00FE37D3" w:rsidP="0054638D">
      <w:pPr>
        <w:rPr>
          <w:rFonts w:asciiTheme="minorHAnsi" w:hAnsiTheme="minorHAnsi" w:cstheme="minorHAnsi"/>
        </w:rPr>
      </w:pPr>
      <w:r>
        <w:rPr>
          <w:rFonts w:asciiTheme="minorHAnsi" w:hAnsiTheme="minorHAnsi" w:cstheme="minorHAnsi"/>
        </w:rPr>
        <w:t xml:space="preserve">The introduction of the performance-based BCA in 1996 formalised the outcomes or targets for </w:t>
      </w:r>
      <w:r w:rsidRPr="00BA010D">
        <w:rPr>
          <w:rFonts w:asciiTheme="minorHAnsi" w:hAnsiTheme="minorHAnsi" w:cstheme="minorHAnsi"/>
        </w:rPr>
        <w:t xml:space="preserve">what were then described </w:t>
      </w:r>
      <w:r>
        <w:rPr>
          <w:rFonts w:asciiTheme="minorHAnsi" w:hAnsiTheme="minorHAnsi" w:cstheme="minorHAnsi"/>
        </w:rPr>
        <w:t xml:space="preserve">as ‘alternative solutions’, now ‘Performance Solutions’ </w:t>
      </w:r>
      <w:r w:rsidRPr="00BA010D">
        <w:rPr>
          <w:rFonts w:asciiTheme="minorHAnsi" w:hAnsiTheme="minorHAnsi" w:cstheme="minorHAnsi"/>
        </w:rPr>
        <w:t>for any area of construction</w:t>
      </w:r>
      <w:r>
        <w:rPr>
          <w:rFonts w:asciiTheme="minorHAnsi" w:hAnsiTheme="minorHAnsi" w:cstheme="minorHAnsi"/>
        </w:rPr>
        <w:t xml:space="preserve"> regulated by the NCC.</w:t>
      </w:r>
      <w:r>
        <w:rPr>
          <w:rStyle w:val="FootnoteReference"/>
          <w:rFonts w:asciiTheme="minorHAnsi" w:hAnsiTheme="minorHAnsi" w:cstheme="minorHAnsi"/>
        </w:rPr>
        <w:footnoteReference w:id="5"/>
      </w:r>
      <w:r w:rsidRPr="00BA010D">
        <w:rPr>
          <w:rFonts w:asciiTheme="minorHAnsi" w:hAnsiTheme="minorHAnsi" w:cstheme="minorHAnsi"/>
        </w:rPr>
        <w:t xml:space="preserve"> The </w:t>
      </w:r>
      <w:r>
        <w:rPr>
          <w:rFonts w:asciiTheme="minorHAnsi" w:hAnsiTheme="minorHAnsi" w:cstheme="minorHAnsi"/>
        </w:rPr>
        <w:t>NCC</w:t>
      </w:r>
      <w:r w:rsidRPr="00BA010D">
        <w:rPr>
          <w:rFonts w:asciiTheme="minorHAnsi" w:hAnsiTheme="minorHAnsi" w:cstheme="minorHAnsi"/>
        </w:rPr>
        <w:t xml:space="preserve"> is given legal effect by building legislation in each </w:t>
      </w:r>
      <w:r>
        <w:rPr>
          <w:rFonts w:asciiTheme="minorHAnsi" w:hAnsiTheme="minorHAnsi" w:cstheme="minorHAnsi"/>
        </w:rPr>
        <w:t>s</w:t>
      </w:r>
      <w:r w:rsidRPr="00BA010D">
        <w:rPr>
          <w:rFonts w:asciiTheme="minorHAnsi" w:hAnsiTheme="minorHAnsi" w:cstheme="minorHAnsi"/>
        </w:rPr>
        <w:t xml:space="preserve">tate and </w:t>
      </w:r>
      <w:r>
        <w:rPr>
          <w:rFonts w:asciiTheme="minorHAnsi" w:hAnsiTheme="minorHAnsi" w:cstheme="minorHAnsi"/>
        </w:rPr>
        <w:t>t</w:t>
      </w:r>
      <w:r w:rsidRPr="00BA010D">
        <w:rPr>
          <w:rFonts w:asciiTheme="minorHAnsi" w:hAnsiTheme="minorHAnsi" w:cstheme="minorHAnsi"/>
        </w:rPr>
        <w:t xml:space="preserve">erritory. This legislation consists of an Act of Parliament and subordinate legislation (e.g. </w:t>
      </w:r>
      <w:r w:rsidR="00595D0F">
        <w:rPr>
          <w:rFonts w:asciiTheme="minorHAnsi" w:hAnsiTheme="minorHAnsi" w:cstheme="minorHAnsi"/>
        </w:rPr>
        <w:t>b</w:t>
      </w:r>
      <w:r w:rsidRPr="00BA010D">
        <w:rPr>
          <w:rFonts w:asciiTheme="minorHAnsi" w:hAnsiTheme="minorHAnsi" w:cstheme="minorHAnsi"/>
        </w:rPr>
        <w:t>uilding Regulations)</w:t>
      </w:r>
      <w:r>
        <w:rPr>
          <w:rFonts w:asciiTheme="minorHAnsi" w:hAnsiTheme="minorHAnsi" w:cstheme="minorHAnsi"/>
        </w:rPr>
        <w:t>,</w:t>
      </w:r>
      <w:r w:rsidRPr="00BA010D">
        <w:rPr>
          <w:rFonts w:asciiTheme="minorHAnsi" w:hAnsiTheme="minorHAnsi" w:cstheme="minorHAnsi"/>
        </w:rPr>
        <w:t xml:space="preserve"> which empower the regulation of certain aspects of buildings and structures and contains the administrative provisions necessary to </w:t>
      </w:r>
      <w:r>
        <w:rPr>
          <w:rFonts w:asciiTheme="minorHAnsi" w:hAnsiTheme="minorHAnsi" w:cstheme="minorHAnsi"/>
        </w:rPr>
        <w:t xml:space="preserve">support and </w:t>
      </w:r>
      <w:r w:rsidRPr="00BA010D">
        <w:rPr>
          <w:rFonts w:asciiTheme="minorHAnsi" w:hAnsiTheme="minorHAnsi" w:cstheme="minorHAnsi"/>
        </w:rPr>
        <w:t>give effect to the legislation.</w:t>
      </w:r>
    </w:p>
    <w:p w:rsidR="00FE37D3" w:rsidRDefault="00FE37D3" w:rsidP="008B202B">
      <w:r>
        <w:t>The NCC is subordinate legislation to a state</w:t>
      </w:r>
      <w:r w:rsidR="002B4B57">
        <w:t xml:space="preserve"> or territories</w:t>
      </w:r>
      <w:r>
        <w:t xml:space="preserve"> </w:t>
      </w:r>
      <w:r w:rsidR="00EA33AC">
        <w:t>B</w:t>
      </w:r>
      <w:r>
        <w:t xml:space="preserve">uilding Act and Regulations and enactment </w:t>
      </w:r>
      <w:r w:rsidRPr="00BA010D">
        <w:t>is acknowledged as the domain of individual building or plumbing administrations</w:t>
      </w:r>
      <w:r>
        <w:t>.</w:t>
      </w:r>
      <w:r w:rsidRPr="00BA010D">
        <w:t xml:space="preserve"> </w:t>
      </w:r>
      <w:r>
        <w:t xml:space="preserve">Administration covers a range of building-related issues, including </w:t>
      </w:r>
      <w:r w:rsidRPr="00BA010D">
        <w:t>roles and responsibilities within the system for design,</w:t>
      </w:r>
      <w:r>
        <w:t xml:space="preserve"> certification, issuance of permits, inspections, occupancy certificates and accreditation of materials and components, proportionate liability, private certification, dispute resolution</w:t>
      </w:r>
      <w:r w:rsidR="002B4B57">
        <w:t>,</w:t>
      </w:r>
      <w:r>
        <w:t xml:space="preserve"> registration</w:t>
      </w:r>
      <w:r w:rsidR="002B4B57">
        <w:t>, compliance and enforcement</w:t>
      </w:r>
      <w:r>
        <w:t>.</w:t>
      </w:r>
      <w:r w:rsidRPr="00BA010D">
        <w:t xml:space="preserve"> </w:t>
      </w:r>
      <w:r>
        <w:t>The assessment and approval of a building solution against the NCC is a state function</w:t>
      </w:r>
      <w:r w:rsidR="00595D0F">
        <w:t>,</w:t>
      </w:r>
      <w:r>
        <w:t xml:space="preserve"> administered by a combination of local authorities (e.g. councils) and private </w:t>
      </w:r>
      <w:r w:rsidR="00EA33AC">
        <w:t>building surveyors</w:t>
      </w:r>
      <w:r>
        <w:t xml:space="preserve">. </w:t>
      </w:r>
    </w:p>
    <w:p w:rsidR="00FE37D3" w:rsidRDefault="00FE37D3" w:rsidP="003756FF">
      <w:pPr>
        <w:pStyle w:val="Heading2"/>
      </w:pPr>
      <w:r w:rsidRPr="00BA010D">
        <w:t>International Fire Engineering Guidelines</w:t>
      </w:r>
      <w:r>
        <w:t xml:space="preserve"> (IFEG) for Performance Solutions</w:t>
      </w:r>
    </w:p>
    <w:p w:rsidR="00FE37D3" w:rsidRPr="00BA010D" w:rsidRDefault="00FE37D3" w:rsidP="008B202B">
      <w:r w:rsidRPr="00BA010D">
        <w:t>In 2002, key stakeholders</w:t>
      </w:r>
      <w:r>
        <w:t xml:space="preserve"> (Australasian Fire and Emergency Service</w:t>
      </w:r>
      <w:r w:rsidR="00595D0F">
        <w:t xml:space="preserve"> Authorities</w:t>
      </w:r>
      <w:r>
        <w:t xml:space="preserve"> Council (AFAC), Australian Institute of Building Surveyors (AIBS) and the Society of Fire Safety (SFS))</w:t>
      </w:r>
      <w:r w:rsidRPr="00BA010D">
        <w:t xml:space="preserve"> </w:t>
      </w:r>
      <w:r>
        <w:t xml:space="preserve">expressed </w:t>
      </w:r>
      <w:r w:rsidRPr="00BA010D">
        <w:t xml:space="preserve">concern about the </w:t>
      </w:r>
      <w:r>
        <w:t xml:space="preserve">appropriateness of the </w:t>
      </w:r>
      <w:r w:rsidRPr="00BA010D">
        <w:t xml:space="preserve">processes </w:t>
      </w:r>
      <w:r>
        <w:t xml:space="preserve">being </w:t>
      </w:r>
      <w:r w:rsidRPr="00BA010D">
        <w:t xml:space="preserve">used for </w:t>
      </w:r>
      <w:r>
        <w:t>Performance Solutions</w:t>
      </w:r>
      <w:r w:rsidRPr="00BA010D">
        <w:t xml:space="preserve"> for fire safety</w:t>
      </w:r>
      <w:r>
        <w:t xml:space="preserve"> and formally raised the issue with governments</w:t>
      </w:r>
      <w:r w:rsidRPr="00BA010D">
        <w:t>. In response, the ABCB</w:t>
      </w:r>
      <w:r w:rsidR="00C4622B">
        <w:t>,</w:t>
      </w:r>
      <w:r w:rsidRPr="00BA010D">
        <w:t xml:space="preserve"> in collaboration with industry</w:t>
      </w:r>
      <w:r w:rsidR="00C4622B">
        <w:t>,</w:t>
      </w:r>
      <w:r w:rsidRPr="00BA010D">
        <w:t xml:space="preserve"> delivered a seminar series in capital cities promoting the use of appropriate processes. The </w:t>
      </w:r>
      <w:r w:rsidRPr="00BA010D">
        <w:lastRenderedPageBreak/>
        <w:t xml:space="preserve">message focused on a process for defining the solution, analysis, stakeholder engagement and documentation and </w:t>
      </w:r>
      <w:r>
        <w:t xml:space="preserve">would </w:t>
      </w:r>
      <w:r w:rsidRPr="00BA010D">
        <w:t xml:space="preserve">go on to be reflected in the </w:t>
      </w:r>
      <w:r w:rsidR="00C4622B">
        <w:t>International Fire Engineering Guidelines (</w:t>
      </w:r>
      <w:r w:rsidRPr="00BA010D">
        <w:t>IFEG</w:t>
      </w:r>
      <w:r w:rsidR="00C4622B">
        <w:t>)</w:t>
      </w:r>
      <w:r w:rsidR="000F7ECC">
        <w:t>.</w:t>
      </w:r>
      <w:r w:rsidRPr="00BA010D">
        <w:rPr>
          <w:rStyle w:val="FootnoteReference"/>
          <w:rFonts w:asciiTheme="minorHAnsi" w:hAnsiTheme="minorHAnsi" w:cstheme="minorHAnsi"/>
        </w:rPr>
        <w:footnoteReference w:id="6"/>
      </w:r>
      <w:r w:rsidRPr="00BA010D">
        <w:t xml:space="preserve"> </w:t>
      </w:r>
      <w:r w:rsidR="00EA33AC">
        <w:t xml:space="preserve">Fire related </w:t>
      </w:r>
      <w:r w:rsidRPr="00BA010D">
        <w:t>Performance Solutions developed and documented in accordance with</w:t>
      </w:r>
      <w:r>
        <w:t xml:space="preserve"> the</w:t>
      </w:r>
      <w:r w:rsidRPr="00BA010D">
        <w:t xml:space="preserve"> </w:t>
      </w:r>
      <w:r w:rsidRPr="00BA010D">
        <w:rPr>
          <w:lang w:eastAsia="en-AU"/>
        </w:rPr>
        <w:t>IFEG</w:t>
      </w:r>
      <w:r w:rsidRPr="00BA010D">
        <w:t xml:space="preserve"> </w:t>
      </w:r>
      <w:r>
        <w:t>are widely accepted as more likely to</w:t>
      </w:r>
      <w:r w:rsidRPr="00BA010D">
        <w:t xml:space="preserve"> deliver an outcome that satisfies the intent and expectations of the NCC due to the rigour of its process.</w:t>
      </w:r>
      <w:r>
        <w:t xml:space="preserve"> </w:t>
      </w:r>
      <w:r w:rsidRPr="00BA010D">
        <w:t>In 2015</w:t>
      </w:r>
      <w:r>
        <w:t xml:space="preserve">, </w:t>
      </w:r>
      <w:r w:rsidRPr="00BA010D">
        <w:t xml:space="preserve">another seminar series </w:t>
      </w:r>
      <w:r>
        <w:t>was</w:t>
      </w:r>
      <w:r w:rsidRPr="00BA010D">
        <w:t xml:space="preserve"> undertaken</w:t>
      </w:r>
      <w:r>
        <w:t xml:space="preserve"> to address similar stakeholder concerns</w:t>
      </w:r>
      <w:r w:rsidRPr="00BA010D">
        <w:t xml:space="preserve">. </w:t>
      </w:r>
    </w:p>
    <w:p w:rsidR="00FE37D3" w:rsidRPr="00BA010D" w:rsidRDefault="00FE37D3" w:rsidP="00BA010D">
      <w:pPr>
        <w:rPr>
          <w:rFonts w:asciiTheme="minorHAnsi" w:hAnsiTheme="minorHAnsi" w:cstheme="minorHAnsi"/>
        </w:rPr>
      </w:pPr>
      <w:r>
        <w:rPr>
          <w:rFonts w:asciiTheme="minorHAnsi" w:hAnsiTheme="minorHAnsi" w:cstheme="minorHAnsi"/>
        </w:rPr>
        <w:t>Since 2014, the ABCB</w:t>
      </w:r>
      <w:r w:rsidRPr="00BA010D">
        <w:rPr>
          <w:rFonts w:asciiTheme="minorHAnsi" w:hAnsiTheme="minorHAnsi" w:cstheme="minorHAnsi"/>
        </w:rPr>
        <w:t xml:space="preserve"> has been consulting with industry and government on ways to imp</w:t>
      </w:r>
      <w:r>
        <w:rPr>
          <w:rFonts w:asciiTheme="minorHAnsi" w:hAnsiTheme="minorHAnsi" w:cstheme="minorHAnsi"/>
        </w:rPr>
        <w:t>rove the use of the performance-</w:t>
      </w:r>
      <w:r w:rsidRPr="00BA010D">
        <w:rPr>
          <w:rFonts w:asciiTheme="minorHAnsi" w:hAnsiTheme="minorHAnsi" w:cstheme="minorHAnsi"/>
        </w:rPr>
        <w:t>based NC</w:t>
      </w:r>
      <w:r>
        <w:rPr>
          <w:rFonts w:asciiTheme="minorHAnsi" w:hAnsiTheme="minorHAnsi" w:cstheme="minorHAnsi"/>
        </w:rPr>
        <w:t>C and the uptake of performance-</w:t>
      </w:r>
      <w:r w:rsidRPr="00BA010D">
        <w:rPr>
          <w:rFonts w:asciiTheme="minorHAnsi" w:hAnsiTheme="minorHAnsi" w:cstheme="minorHAnsi"/>
        </w:rPr>
        <w:t xml:space="preserve">based design. Predominantly, this has involved research and development of methods to quantify the Performance Requirements. These efforts have resulted in some stated targets </w:t>
      </w:r>
      <w:r>
        <w:rPr>
          <w:rFonts w:asciiTheme="minorHAnsi" w:hAnsiTheme="minorHAnsi" w:cstheme="minorHAnsi"/>
        </w:rPr>
        <w:t xml:space="preserve">for Performance Requirements </w:t>
      </w:r>
      <w:r w:rsidRPr="00BA010D">
        <w:rPr>
          <w:rFonts w:asciiTheme="minorHAnsi" w:hAnsiTheme="minorHAnsi" w:cstheme="minorHAnsi"/>
        </w:rPr>
        <w:t xml:space="preserve">and </w:t>
      </w:r>
      <w:r>
        <w:rPr>
          <w:rFonts w:asciiTheme="minorHAnsi" w:hAnsiTheme="minorHAnsi" w:cstheme="minorHAnsi"/>
        </w:rPr>
        <w:t>often quantified by Verification Methods (VM</w:t>
      </w:r>
      <w:r w:rsidR="00595D0F">
        <w:rPr>
          <w:rFonts w:asciiTheme="minorHAnsi" w:hAnsiTheme="minorHAnsi" w:cstheme="minorHAnsi"/>
        </w:rPr>
        <w:t>s</w:t>
      </w:r>
      <w:r>
        <w:rPr>
          <w:rFonts w:asciiTheme="minorHAnsi" w:hAnsiTheme="minorHAnsi" w:cstheme="minorHAnsi"/>
        </w:rPr>
        <w:t>). Some VM</w:t>
      </w:r>
      <w:r w:rsidR="00595D0F">
        <w:rPr>
          <w:rFonts w:asciiTheme="minorHAnsi" w:hAnsiTheme="minorHAnsi" w:cstheme="minorHAnsi"/>
        </w:rPr>
        <w:t>s</w:t>
      </w:r>
      <w:r>
        <w:rPr>
          <w:rFonts w:asciiTheme="minorHAnsi" w:hAnsiTheme="minorHAnsi" w:cstheme="minorHAnsi"/>
        </w:rPr>
        <w:t xml:space="preserve"> </w:t>
      </w:r>
      <w:r w:rsidR="00595D0F">
        <w:rPr>
          <w:rFonts w:asciiTheme="minorHAnsi" w:hAnsiTheme="minorHAnsi" w:cstheme="minorHAnsi"/>
        </w:rPr>
        <w:t>pr</w:t>
      </w:r>
      <w:r>
        <w:rPr>
          <w:rFonts w:asciiTheme="minorHAnsi" w:hAnsiTheme="minorHAnsi" w:cstheme="minorHAnsi"/>
        </w:rPr>
        <w:t xml:space="preserve">escribe processes and </w:t>
      </w:r>
      <w:r w:rsidRPr="00BA010D">
        <w:rPr>
          <w:rFonts w:asciiTheme="minorHAnsi" w:hAnsiTheme="minorHAnsi" w:cstheme="minorHAnsi"/>
        </w:rPr>
        <w:t xml:space="preserve">documentation in recognition that </w:t>
      </w:r>
      <w:r>
        <w:rPr>
          <w:rFonts w:asciiTheme="minorHAnsi" w:hAnsiTheme="minorHAnsi" w:cstheme="minorHAnsi"/>
        </w:rPr>
        <w:t xml:space="preserve">approval and </w:t>
      </w:r>
      <w:r w:rsidRPr="00BA010D">
        <w:rPr>
          <w:rFonts w:asciiTheme="minorHAnsi" w:hAnsiTheme="minorHAnsi" w:cstheme="minorHAnsi"/>
        </w:rPr>
        <w:t>acceptance</w:t>
      </w:r>
      <w:r w:rsidR="00595D0F">
        <w:rPr>
          <w:rFonts w:asciiTheme="minorHAnsi" w:hAnsiTheme="minorHAnsi" w:cstheme="minorHAnsi"/>
        </w:rPr>
        <w:t xml:space="preserve"> of Performance Solutions</w:t>
      </w:r>
      <w:r w:rsidRPr="00BA010D">
        <w:rPr>
          <w:rFonts w:asciiTheme="minorHAnsi" w:hAnsiTheme="minorHAnsi" w:cstheme="minorHAnsi"/>
        </w:rPr>
        <w:t xml:space="preserve"> is an inherently administrative task</w:t>
      </w:r>
      <w:r>
        <w:rPr>
          <w:rFonts w:asciiTheme="minorHAnsi" w:hAnsiTheme="minorHAnsi" w:cstheme="minorHAnsi"/>
        </w:rPr>
        <w:t xml:space="preserve"> that goes beyond </w:t>
      </w:r>
      <w:r w:rsidRPr="00BA010D">
        <w:rPr>
          <w:rFonts w:asciiTheme="minorHAnsi" w:hAnsiTheme="minorHAnsi" w:cstheme="minorHAnsi"/>
        </w:rPr>
        <w:t xml:space="preserve">technical </w:t>
      </w:r>
      <w:r>
        <w:rPr>
          <w:rFonts w:asciiTheme="minorHAnsi" w:hAnsiTheme="minorHAnsi" w:cstheme="minorHAnsi"/>
        </w:rPr>
        <w:t>verification</w:t>
      </w:r>
      <w:r w:rsidR="00595D0F">
        <w:rPr>
          <w:rFonts w:asciiTheme="minorHAnsi" w:hAnsiTheme="minorHAnsi" w:cstheme="minorHAnsi"/>
        </w:rPr>
        <w:t>. Examples of such VMs includes</w:t>
      </w:r>
      <w:r>
        <w:rPr>
          <w:rFonts w:asciiTheme="minorHAnsi" w:hAnsiTheme="minorHAnsi" w:cstheme="minorHAnsi"/>
        </w:rPr>
        <w:t xml:space="preserve"> the </w:t>
      </w:r>
      <w:r w:rsidR="00595D0F">
        <w:rPr>
          <w:rFonts w:asciiTheme="minorHAnsi" w:hAnsiTheme="minorHAnsi" w:cstheme="minorHAnsi"/>
        </w:rPr>
        <w:t>F</w:t>
      </w:r>
      <w:r>
        <w:rPr>
          <w:rFonts w:asciiTheme="minorHAnsi" w:hAnsiTheme="minorHAnsi" w:cstheme="minorHAnsi"/>
        </w:rPr>
        <w:t xml:space="preserve">ire </w:t>
      </w:r>
      <w:r w:rsidR="00595D0F">
        <w:rPr>
          <w:rFonts w:asciiTheme="minorHAnsi" w:hAnsiTheme="minorHAnsi" w:cstheme="minorHAnsi"/>
        </w:rPr>
        <w:t>S</w:t>
      </w:r>
      <w:r>
        <w:rPr>
          <w:rFonts w:asciiTheme="minorHAnsi" w:hAnsiTheme="minorHAnsi" w:cstheme="minorHAnsi"/>
        </w:rPr>
        <w:t>afety Verification Method (FSVM)</w:t>
      </w:r>
      <w:r w:rsidR="00EA33AC">
        <w:rPr>
          <w:rFonts w:asciiTheme="minorHAnsi" w:hAnsiTheme="minorHAnsi" w:cstheme="minorHAnsi"/>
        </w:rPr>
        <w:t>,</w:t>
      </w:r>
      <w:r>
        <w:rPr>
          <w:rFonts w:asciiTheme="minorHAnsi" w:hAnsiTheme="minorHAnsi" w:cstheme="minorHAnsi"/>
        </w:rPr>
        <w:t xml:space="preserve"> </w:t>
      </w:r>
      <w:r w:rsidR="00EA33AC">
        <w:rPr>
          <w:rFonts w:asciiTheme="minorHAnsi" w:hAnsiTheme="minorHAnsi" w:cstheme="minorHAnsi"/>
        </w:rPr>
        <w:t>A</w:t>
      </w:r>
      <w:r>
        <w:rPr>
          <w:rFonts w:asciiTheme="minorHAnsi" w:hAnsiTheme="minorHAnsi" w:cstheme="minorHAnsi"/>
        </w:rPr>
        <w:t>ccess V</w:t>
      </w:r>
      <w:r w:rsidR="00595D0F">
        <w:rPr>
          <w:rFonts w:asciiTheme="minorHAnsi" w:hAnsiTheme="minorHAnsi" w:cstheme="minorHAnsi"/>
        </w:rPr>
        <w:t>M</w:t>
      </w:r>
      <w:r w:rsidR="00EA33AC">
        <w:rPr>
          <w:rFonts w:asciiTheme="minorHAnsi" w:hAnsiTheme="minorHAnsi" w:cstheme="minorHAnsi"/>
        </w:rPr>
        <w:t xml:space="preserve"> </w:t>
      </w:r>
      <w:r>
        <w:rPr>
          <w:rFonts w:asciiTheme="minorHAnsi" w:hAnsiTheme="minorHAnsi" w:cstheme="minorHAnsi"/>
        </w:rPr>
        <w:t>DV2 in NCC Volume One</w:t>
      </w:r>
      <w:r w:rsidRPr="00BA010D">
        <w:rPr>
          <w:rFonts w:asciiTheme="minorHAnsi" w:hAnsiTheme="minorHAnsi" w:cstheme="minorHAnsi"/>
        </w:rPr>
        <w:t xml:space="preserve">. </w:t>
      </w:r>
    </w:p>
    <w:p w:rsidR="00FE37D3" w:rsidRDefault="00FE37D3" w:rsidP="003756FF">
      <w:pPr>
        <w:pStyle w:val="Heading2"/>
        <w:rPr>
          <w:lang w:eastAsia="en-AU"/>
        </w:rPr>
      </w:pPr>
      <w:r>
        <w:rPr>
          <w:lang w:eastAsia="en-AU"/>
        </w:rPr>
        <w:t xml:space="preserve">ABCB </w:t>
      </w:r>
      <w:r w:rsidRPr="00BA010D">
        <w:rPr>
          <w:lang w:eastAsia="en-AU"/>
        </w:rPr>
        <w:t>Guideline for the Development of Performance Solutions</w:t>
      </w:r>
    </w:p>
    <w:p w:rsidR="00FE37D3" w:rsidRDefault="00276912" w:rsidP="00BA010D">
      <w:pPr>
        <w:rPr>
          <w:rFonts w:asciiTheme="minorHAnsi" w:hAnsiTheme="minorHAnsi" w:cstheme="minorHAnsi"/>
        </w:rPr>
      </w:pPr>
      <w:r>
        <w:t>The ABCB also produces non-</w:t>
      </w:r>
      <w:r w:rsidRPr="00BA010D">
        <w:t>mandatory guidance documents to assist in the preparation and assessment of Performance Solutions</w:t>
      </w:r>
      <w:r>
        <w:t xml:space="preserve">. </w:t>
      </w:r>
      <w:r w:rsidR="00FE37D3">
        <w:rPr>
          <w:rFonts w:asciiTheme="minorHAnsi" w:hAnsiTheme="minorHAnsi" w:cstheme="minorHAnsi"/>
          <w:lang w:eastAsia="en-AU"/>
        </w:rPr>
        <w:t>T</w:t>
      </w:r>
      <w:r w:rsidR="00FE37D3" w:rsidRPr="00BA010D">
        <w:rPr>
          <w:rFonts w:asciiTheme="minorHAnsi" w:hAnsiTheme="minorHAnsi" w:cstheme="minorHAnsi"/>
          <w:lang w:eastAsia="en-AU"/>
        </w:rPr>
        <w:t>he</w:t>
      </w:r>
      <w:r w:rsidR="00FE37D3">
        <w:rPr>
          <w:rFonts w:asciiTheme="minorHAnsi" w:hAnsiTheme="minorHAnsi" w:cstheme="minorHAnsi"/>
          <w:lang w:eastAsia="en-AU"/>
        </w:rPr>
        <w:t xml:space="preserve"> ABCB </w:t>
      </w:r>
      <w:r w:rsidR="00FE37D3" w:rsidRPr="00BA010D">
        <w:rPr>
          <w:rFonts w:asciiTheme="minorHAnsi" w:hAnsiTheme="minorHAnsi" w:cstheme="minorHAnsi"/>
          <w:lang w:eastAsia="en-AU"/>
        </w:rPr>
        <w:t>‘Guideline for the Development of Performance Solutions’</w:t>
      </w:r>
      <w:r w:rsidR="00FE37D3" w:rsidRPr="00BA010D">
        <w:rPr>
          <w:rStyle w:val="FootnoteReference"/>
          <w:rFonts w:asciiTheme="minorHAnsi" w:hAnsiTheme="minorHAnsi" w:cstheme="minorHAnsi"/>
        </w:rPr>
        <w:footnoteReference w:id="7"/>
      </w:r>
      <w:r w:rsidR="00FE37D3">
        <w:rPr>
          <w:rFonts w:asciiTheme="minorHAnsi" w:hAnsiTheme="minorHAnsi" w:cstheme="minorHAnsi"/>
          <w:lang w:eastAsia="en-AU"/>
        </w:rPr>
        <w:t xml:space="preserve"> was adapted</w:t>
      </w:r>
      <w:r w:rsidR="00FE37D3" w:rsidRPr="00BA010D">
        <w:rPr>
          <w:rFonts w:asciiTheme="minorHAnsi" w:hAnsiTheme="minorHAnsi" w:cstheme="minorHAnsi"/>
          <w:lang w:eastAsia="en-AU"/>
        </w:rPr>
        <w:t xml:space="preserve"> </w:t>
      </w:r>
      <w:r w:rsidR="00FE37D3">
        <w:rPr>
          <w:rFonts w:asciiTheme="minorHAnsi" w:hAnsiTheme="minorHAnsi" w:cstheme="minorHAnsi"/>
          <w:lang w:eastAsia="en-AU"/>
        </w:rPr>
        <w:t xml:space="preserve">from </w:t>
      </w:r>
      <w:r w:rsidR="00FE37D3" w:rsidRPr="00BA010D">
        <w:rPr>
          <w:rFonts w:asciiTheme="minorHAnsi" w:hAnsiTheme="minorHAnsi" w:cstheme="minorHAnsi"/>
          <w:lang w:eastAsia="en-AU"/>
        </w:rPr>
        <w:t xml:space="preserve">the </w:t>
      </w:r>
      <w:r w:rsidR="00FE37D3">
        <w:rPr>
          <w:rFonts w:asciiTheme="minorHAnsi" w:hAnsiTheme="minorHAnsi" w:cstheme="minorHAnsi"/>
          <w:lang w:eastAsia="en-AU"/>
        </w:rPr>
        <w:t>IFEG</w:t>
      </w:r>
      <w:r w:rsidR="00FE37D3" w:rsidRPr="00BA010D">
        <w:rPr>
          <w:rFonts w:asciiTheme="minorHAnsi" w:hAnsiTheme="minorHAnsi" w:cstheme="minorHAnsi"/>
        </w:rPr>
        <w:t xml:space="preserve"> </w:t>
      </w:r>
      <w:r w:rsidR="00FE37D3" w:rsidRPr="00BA010D">
        <w:rPr>
          <w:rFonts w:asciiTheme="minorHAnsi" w:hAnsiTheme="minorHAnsi" w:cstheme="minorHAnsi"/>
          <w:lang w:eastAsia="en-AU"/>
        </w:rPr>
        <w:t>process</w:t>
      </w:r>
      <w:r w:rsidR="00FE37D3">
        <w:rPr>
          <w:rFonts w:asciiTheme="minorHAnsi" w:hAnsiTheme="minorHAnsi" w:cstheme="minorHAnsi"/>
          <w:lang w:eastAsia="en-AU"/>
        </w:rPr>
        <w:t xml:space="preserve"> </w:t>
      </w:r>
      <w:r w:rsidR="00783689">
        <w:rPr>
          <w:rFonts w:asciiTheme="minorHAnsi" w:hAnsiTheme="minorHAnsi" w:cstheme="minorHAnsi"/>
          <w:lang w:eastAsia="en-AU"/>
        </w:rPr>
        <w:t xml:space="preserve">in </w:t>
      </w:r>
      <w:r w:rsidR="00FE37D3">
        <w:rPr>
          <w:rFonts w:asciiTheme="minorHAnsi" w:hAnsiTheme="minorHAnsi" w:cstheme="minorHAnsi"/>
          <w:lang w:eastAsia="en-AU"/>
        </w:rPr>
        <w:t>recognition that a Performance Solution can be used in any other area</w:t>
      </w:r>
      <w:r w:rsidR="00FE37D3" w:rsidRPr="00BA010D">
        <w:rPr>
          <w:rFonts w:asciiTheme="minorHAnsi" w:hAnsiTheme="minorHAnsi" w:cstheme="minorHAnsi"/>
        </w:rPr>
        <w:t xml:space="preserve"> of the NCC</w:t>
      </w:r>
      <w:r w:rsidR="00FE37D3">
        <w:rPr>
          <w:rFonts w:asciiTheme="minorHAnsi" w:hAnsiTheme="minorHAnsi" w:cstheme="minorHAnsi"/>
        </w:rPr>
        <w:t>. It</w:t>
      </w:r>
      <w:r w:rsidR="00FE37D3" w:rsidRPr="00BA010D">
        <w:rPr>
          <w:rFonts w:asciiTheme="minorHAnsi" w:hAnsiTheme="minorHAnsi" w:cstheme="minorHAnsi"/>
          <w:lang w:eastAsia="en-AU"/>
        </w:rPr>
        <w:t xml:space="preserve"> </w:t>
      </w:r>
      <w:r w:rsidR="00FE37D3">
        <w:rPr>
          <w:rFonts w:asciiTheme="minorHAnsi" w:hAnsiTheme="minorHAnsi" w:cstheme="minorHAnsi"/>
          <w:lang w:eastAsia="en-AU"/>
        </w:rPr>
        <w:t xml:space="preserve">was developed in association with and </w:t>
      </w:r>
      <w:r w:rsidR="00FE37D3" w:rsidRPr="00BA010D">
        <w:rPr>
          <w:rFonts w:asciiTheme="minorHAnsi" w:hAnsiTheme="minorHAnsi" w:cstheme="minorHAnsi"/>
          <w:lang w:eastAsia="en-AU"/>
        </w:rPr>
        <w:t>endors</w:t>
      </w:r>
      <w:r w:rsidR="00FE37D3">
        <w:rPr>
          <w:rFonts w:asciiTheme="minorHAnsi" w:hAnsiTheme="minorHAnsi" w:cstheme="minorHAnsi"/>
          <w:lang w:eastAsia="en-AU"/>
        </w:rPr>
        <w:t>ed by key industry stakeholders, including the ABCB’s national technical committees, the Building Codes Committee (BCC) and Plumbing Codes Committee (PCC)</w:t>
      </w:r>
      <w:r w:rsidR="00FE37D3" w:rsidRPr="00BA010D">
        <w:rPr>
          <w:rFonts w:asciiTheme="minorHAnsi" w:hAnsiTheme="minorHAnsi" w:cstheme="minorHAnsi"/>
        </w:rPr>
        <w:t>.</w:t>
      </w:r>
      <w:r w:rsidR="00FE37D3">
        <w:rPr>
          <w:rFonts w:asciiTheme="minorHAnsi" w:hAnsiTheme="minorHAnsi" w:cstheme="minorHAnsi"/>
        </w:rPr>
        <w:t xml:space="preserve"> </w:t>
      </w:r>
    </w:p>
    <w:p w:rsidR="00FE37D3" w:rsidRDefault="00FE37D3" w:rsidP="00BA010D">
      <w:pPr>
        <w:rPr>
          <w:rFonts w:asciiTheme="minorHAnsi" w:hAnsiTheme="minorHAnsi" w:cstheme="minorHAnsi"/>
        </w:rPr>
      </w:pPr>
      <w:r>
        <w:rPr>
          <w:rFonts w:asciiTheme="minorHAnsi" w:hAnsiTheme="minorHAnsi" w:cstheme="minorHAnsi"/>
        </w:rPr>
        <w:t xml:space="preserve">The Guideline </w:t>
      </w:r>
      <w:r w:rsidRPr="00BA010D">
        <w:rPr>
          <w:rFonts w:asciiTheme="minorHAnsi" w:hAnsiTheme="minorHAnsi" w:cstheme="minorHAnsi"/>
        </w:rPr>
        <w:t xml:space="preserve">consolidated </w:t>
      </w:r>
      <w:r>
        <w:rPr>
          <w:rFonts w:asciiTheme="minorHAnsi" w:hAnsiTheme="minorHAnsi" w:cstheme="minorHAnsi"/>
        </w:rPr>
        <w:t xml:space="preserve">the IFEG process </w:t>
      </w:r>
      <w:r w:rsidRPr="00BA010D">
        <w:rPr>
          <w:rFonts w:asciiTheme="minorHAnsi" w:hAnsiTheme="minorHAnsi" w:cstheme="minorHAnsi"/>
        </w:rPr>
        <w:t>into four steps as follows:</w:t>
      </w:r>
    </w:p>
    <w:p w:rsidR="00FE37D3" w:rsidRDefault="00FE37D3" w:rsidP="005E1DCB">
      <w:pPr>
        <w:pStyle w:val="Caption"/>
      </w:pPr>
      <w:r>
        <w:lastRenderedPageBreak/>
        <w:t xml:space="preserve">Figure </w:t>
      </w:r>
      <w:r>
        <w:rPr>
          <w:noProof/>
        </w:rPr>
        <w:fldChar w:fldCharType="begin"/>
      </w:r>
      <w:r>
        <w:rPr>
          <w:noProof/>
        </w:rPr>
        <w:instrText xml:space="preserve"> SEQ Figure \* ARABIC </w:instrText>
      </w:r>
      <w:r>
        <w:rPr>
          <w:noProof/>
        </w:rPr>
        <w:fldChar w:fldCharType="separate"/>
      </w:r>
      <w:r w:rsidR="002D1698">
        <w:rPr>
          <w:noProof/>
        </w:rPr>
        <w:t>1</w:t>
      </w:r>
      <w:r>
        <w:rPr>
          <w:noProof/>
        </w:rPr>
        <w:fldChar w:fldCharType="end"/>
      </w:r>
      <w:r w:rsidRPr="00243B58">
        <w:t xml:space="preserve"> </w:t>
      </w:r>
      <w:r w:rsidRPr="009D13FD">
        <w:t>Model Performance Solution Process</w:t>
      </w:r>
    </w:p>
    <w:p w:rsidR="00FE37D3" w:rsidRPr="00BA010D" w:rsidRDefault="00FE37D3" w:rsidP="005E1DCB">
      <w:pPr>
        <w:spacing w:before="120" w:after="120"/>
        <w:rPr>
          <w:rFonts w:asciiTheme="minorHAnsi" w:hAnsiTheme="minorHAnsi" w:cstheme="minorHAnsi"/>
        </w:rPr>
      </w:pPr>
      <w:r w:rsidRPr="00BA010D">
        <w:rPr>
          <w:rFonts w:asciiTheme="minorHAnsi" w:hAnsiTheme="minorHAnsi" w:cstheme="minorHAnsi"/>
          <w:noProof/>
          <w:lang w:eastAsia="en-AU"/>
        </w:rPr>
        <mc:AlternateContent>
          <mc:Choice Requires="wps">
            <w:drawing>
              <wp:inline distT="0" distB="0" distL="0" distR="0" wp14:anchorId="11941D96" wp14:editId="7A3FC247">
                <wp:extent cx="5759450" cy="1408774"/>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408774"/>
                        </a:xfrm>
                        <a:prstGeom prst="rect">
                          <a:avLst/>
                        </a:prstGeom>
                        <a:solidFill>
                          <a:srgbClr val="FFFFFF"/>
                        </a:solidFill>
                        <a:ln w="9525">
                          <a:noFill/>
                          <a:miter lim="800000"/>
                          <a:headEnd/>
                          <a:tailEnd/>
                        </a:ln>
                      </wps:spPr>
                      <wps:txbx>
                        <w:txbxContent>
                          <w:p w:rsidR="001A3728" w:rsidRDefault="001A3728" w:rsidP="00243B58">
                            <w:r>
                              <w:rPr>
                                <w:noProof/>
                                <w:lang w:eastAsia="en-AU"/>
                              </w:rPr>
                              <w:drawing>
                                <wp:inline distT="0" distB="0" distL="0" distR="0" wp14:anchorId="597E845C" wp14:editId="32392293">
                                  <wp:extent cx="5543550" cy="772795"/>
                                  <wp:effectExtent l="0" t="0" r="19050" b="27305"/>
                                  <wp:docPr id="7" name="Diagram 7" title="Figure 1: Model Performance Solution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xbxContent>
                      </wps:txbx>
                      <wps:bodyPr rot="0" vert="horz" wrap="square" lIns="91440" tIns="45720" rIns="91440" bIns="45720" anchor="t" anchorCtr="0">
                        <a:spAutoFit/>
                      </wps:bodyPr>
                    </wps:wsp>
                  </a:graphicData>
                </a:graphic>
              </wp:inline>
            </w:drawing>
          </mc:Choice>
          <mc:Fallback>
            <w:pict>
              <v:shapetype w14:anchorId="11941D96" id="_x0000_t202" coordsize="21600,21600" o:spt="202" path="m,l,21600r21600,l21600,xe">
                <v:stroke joinstyle="miter"/>
                <v:path gradientshapeok="t" o:connecttype="rect"/>
              </v:shapetype>
              <v:shape id="Text Box 2" o:spid="_x0000_s1026" type="#_x0000_t202" style="width:453.5pt;height:1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" stroked="f">
                <v:textbox style="mso-fit-shape-to-text:t">
                  <w:txbxContent>
                    <w:p w:rsidR="001A3728" w:rsidRDefault="001A3728" w:rsidP="00243B58">
                      <w:r>
                        <w:rPr>
                          <w:noProof/>
                          <w:lang w:eastAsia="en-AU"/>
                        </w:rPr>
                        <w:drawing>
                          <wp:inline distT="0" distB="0" distL="0" distR="0" wp14:anchorId="597E845C" wp14:editId="32392293">
                            <wp:extent cx="5543550" cy="772795"/>
                            <wp:effectExtent l="0" t="0" r="19050" b="27305"/>
                            <wp:docPr id="7" name="Diagram 7" title="Figure 1: Model Performance Solution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19" r:qs="rId20" r:cs="rId21"/>
                              </a:graphicData>
                            </a:graphic>
                          </wp:inline>
                        </w:drawing>
                      </w:r>
                    </w:p>
                  </w:txbxContent>
                </v:textbox>
                <w10:anchorlock/>
              </v:shape>
            </w:pict>
          </mc:Fallback>
        </mc:AlternateContent>
      </w:r>
    </w:p>
    <w:p w:rsidR="00FE37D3" w:rsidRDefault="00FE37D3" w:rsidP="00950AE1">
      <w:pPr>
        <w:rPr>
          <w:rFonts w:asciiTheme="minorHAnsi" w:hAnsiTheme="minorHAnsi" w:cstheme="minorHAnsi"/>
        </w:rPr>
      </w:pPr>
      <w:r>
        <w:rPr>
          <w:rFonts w:asciiTheme="minorHAnsi" w:hAnsiTheme="minorHAnsi" w:cstheme="minorHAnsi"/>
        </w:rPr>
        <w:t>Key to the process is the development of a Performance-</w:t>
      </w:r>
      <w:r w:rsidR="00B30A81">
        <w:rPr>
          <w:rFonts w:asciiTheme="minorHAnsi" w:hAnsiTheme="minorHAnsi" w:cstheme="minorHAnsi"/>
        </w:rPr>
        <w:t>B</w:t>
      </w:r>
      <w:r>
        <w:rPr>
          <w:rFonts w:asciiTheme="minorHAnsi" w:hAnsiTheme="minorHAnsi" w:cstheme="minorHAnsi"/>
        </w:rPr>
        <w:t>ased Design Brief (PBDB), to define the proposed solution, the</w:t>
      </w:r>
      <w:r w:rsidR="000F7ECC">
        <w:rPr>
          <w:rFonts w:asciiTheme="minorHAnsi" w:hAnsiTheme="minorHAnsi" w:cstheme="minorHAnsi"/>
        </w:rPr>
        <w:t xml:space="preserve"> applicable</w:t>
      </w:r>
      <w:r>
        <w:rPr>
          <w:rFonts w:asciiTheme="minorHAnsi" w:hAnsiTheme="minorHAnsi" w:cstheme="minorHAnsi"/>
        </w:rPr>
        <w:t xml:space="preserve"> NCC Performance Requirements, acceptance criteria and the assessment methods. The emphasis of the IFEG and the Guideline is on </w:t>
      </w:r>
      <w:r w:rsidRPr="00BA010D">
        <w:rPr>
          <w:rFonts w:asciiTheme="minorHAnsi" w:hAnsiTheme="minorHAnsi" w:cstheme="minorHAnsi"/>
        </w:rPr>
        <w:t xml:space="preserve">stakeholder </w:t>
      </w:r>
      <w:r>
        <w:rPr>
          <w:rFonts w:asciiTheme="minorHAnsi" w:hAnsiTheme="minorHAnsi" w:cstheme="minorHAnsi"/>
        </w:rPr>
        <w:t>i</w:t>
      </w:r>
      <w:r w:rsidRPr="00BA010D">
        <w:rPr>
          <w:rFonts w:asciiTheme="minorHAnsi" w:hAnsiTheme="minorHAnsi" w:cstheme="minorHAnsi"/>
        </w:rPr>
        <w:t>nvolve</w:t>
      </w:r>
      <w:r>
        <w:rPr>
          <w:rFonts w:asciiTheme="minorHAnsi" w:hAnsiTheme="minorHAnsi" w:cstheme="minorHAnsi"/>
        </w:rPr>
        <w:t>ment</w:t>
      </w:r>
      <w:r w:rsidRPr="00BA010D">
        <w:rPr>
          <w:rFonts w:asciiTheme="minorHAnsi" w:hAnsiTheme="minorHAnsi" w:cstheme="minorHAnsi"/>
        </w:rPr>
        <w:t xml:space="preserve"> </w:t>
      </w:r>
      <w:r>
        <w:rPr>
          <w:rFonts w:asciiTheme="minorHAnsi" w:hAnsiTheme="minorHAnsi" w:cstheme="minorHAnsi"/>
        </w:rPr>
        <w:t>in the PBDB</w:t>
      </w:r>
      <w:r w:rsidR="000F7ECC">
        <w:rPr>
          <w:rFonts w:asciiTheme="minorHAnsi" w:hAnsiTheme="minorHAnsi" w:cstheme="minorHAnsi"/>
        </w:rPr>
        <w:t>,</w:t>
      </w:r>
      <w:r>
        <w:rPr>
          <w:rFonts w:asciiTheme="minorHAnsi" w:hAnsiTheme="minorHAnsi" w:cstheme="minorHAnsi"/>
        </w:rPr>
        <w:t xml:space="preserve"> to define the risks and complexity of the design. The remaining steps are required to be undertaken to an extent </w:t>
      </w:r>
      <w:r w:rsidRPr="00BA010D">
        <w:rPr>
          <w:rFonts w:asciiTheme="minorHAnsi" w:hAnsiTheme="minorHAnsi" w:cstheme="minorHAnsi"/>
        </w:rPr>
        <w:t xml:space="preserve">proportionate to </w:t>
      </w:r>
      <w:r>
        <w:rPr>
          <w:rFonts w:asciiTheme="minorHAnsi" w:hAnsiTheme="minorHAnsi" w:cstheme="minorHAnsi"/>
        </w:rPr>
        <w:t xml:space="preserve">the proposals’ </w:t>
      </w:r>
      <w:r w:rsidRPr="00BA010D">
        <w:rPr>
          <w:rFonts w:asciiTheme="minorHAnsi" w:hAnsiTheme="minorHAnsi" w:cstheme="minorHAnsi"/>
        </w:rPr>
        <w:t xml:space="preserve">risk and complexity. </w:t>
      </w:r>
    </w:p>
    <w:p w:rsidR="00FE37D3" w:rsidRDefault="00FE37D3" w:rsidP="003756FF">
      <w:pPr>
        <w:pStyle w:val="Heading2"/>
      </w:pPr>
      <w:r>
        <w:t>Existing state and territory guidance and requirements</w:t>
      </w:r>
    </w:p>
    <w:p w:rsidR="00FE37D3" w:rsidRDefault="00FE37D3" w:rsidP="008B202B">
      <w:r w:rsidRPr="001C2A1E">
        <w:t xml:space="preserve">State and territory governments have </w:t>
      </w:r>
      <w:r>
        <w:t xml:space="preserve">also </w:t>
      </w:r>
      <w:r w:rsidRPr="001C2A1E">
        <w:t>responded to the absence of</w:t>
      </w:r>
      <w:r>
        <w:t xml:space="preserve"> a formal</w:t>
      </w:r>
      <w:r w:rsidRPr="001C2A1E">
        <w:t xml:space="preserve"> verification framework by providing guidance on the development of Performance Solutions. For example, the Victorian Government has a practice note on the development of Performance Solutions </w:t>
      </w:r>
      <w:r>
        <w:t>that</w:t>
      </w:r>
      <w:r w:rsidRPr="001C2A1E">
        <w:t xml:space="preserve"> has been in place since 2014.</w:t>
      </w:r>
      <w:r w:rsidRPr="005E1DCB">
        <w:rPr>
          <w:rStyle w:val="FootnoteReference"/>
          <w:rFonts w:asciiTheme="minorHAnsi" w:hAnsiTheme="minorHAnsi" w:cstheme="minorHAnsi"/>
        </w:rPr>
        <w:footnoteReference w:id="8"/>
      </w:r>
      <w:r w:rsidRPr="001C2A1E">
        <w:t xml:space="preserve"> The Victorian Building Regulation, Regulation 38, provides general direction on the development and documentation of Performance Solutions.</w:t>
      </w:r>
      <w:r w:rsidRPr="005E1DCB">
        <w:rPr>
          <w:rStyle w:val="FootnoteReference"/>
          <w:rFonts w:asciiTheme="minorHAnsi" w:hAnsiTheme="minorHAnsi" w:cstheme="minorHAnsi"/>
        </w:rPr>
        <w:footnoteReference w:id="9"/>
      </w:r>
      <w:r w:rsidRPr="005E1DCB">
        <w:rPr>
          <w:rFonts w:asciiTheme="minorHAnsi" w:hAnsiTheme="minorHAnsi" w:cstheme="minorHAnsi"/>
          <w:sz w:val="28"/>
        </w:rPr>
        <w:t xml:space="preserve"> </w:t>
      </w:r>
      <w:r w:rsidRPr="001C2A1E">
        <w:t>The W</w:t>
      </w:r>
      <w:r w:rsidR="000F7ECC">
        <w:t xml:space="preserve">estern </w:t>
      </w:r>
      <w:r w:rsidRPr="001C2A1E">
        <w:t>A</w:t>
      </w:r>
      <w:r w:rsidR="000F7ECC">
        <w:t>ustralian</w:t>
      </w:r>
      <w:r w:rsidRPr="001C2A1E">
        <w:t xml:space="preserve"> Government has also published guidance on the development of Performance Solutions</w:t>
      </w:r>
      <w:r w:rsidR="000F7ECC">
        <w:t>,</w:t>
      </w:r>
      <w:r w:rsidRPr="005E1DCB">
        <w:rPr>
          <w:rStyle w:val="FootnoteReference"/>
          <w:rFonts w:asciiTheme="minorHAnsi" w:hAnsiTheme="minorHAnsi" w:cstheme="minorHAnsi"/>
          <w:szCs w:val="24"/>
        </w:rPr>
        <w:footnoteReference w:id="10"/>
      </w:r>
      <w:r w:rsidRPr="001C2A1E">
        <w:t xml:space="preserve"> but is limited in application to housing and fire safety. </w:t>
      </w:r>
    </w:p>
    <w:p w:rsidR="000A64C5" w:rsidRDefault="00FE37D3" w:rsidP="00A84568">
      <w:r w:rsidRPr="001C2A1E">
        <w:t>Stakeholder involvement is also required to some extent</w:t>
      </w:r>
      <w:r>
        <w:t xml:space="preserve"> in jurisdictions</w:t>
      </w:r>
      <w:r w:rsidRPr="001C2A1E">
        <w:t xml:space="preserve">.  In </w:t>
      </w:r>
      <w:r w:rsidR="000F7ECC">
        <w:t>New South Wales (</w:t>
      </w:r>
      <w:r w:rsidRPr="001C2A1E">
        <w:t>NSW</w:t>
      </w:r>
      <w:r w:rsidR="000F7ECC">
        <w:t>)</w:t>
      </w:r>
      <w:r w:rsidRPr="001C2A1E">
        <w:t>, referral to the fire brigade is a requirement of building approval</w:t>
      </w:r>
      <w:r>
        <w:t xml:space="preserve"> for fire </w:t>
      </w:r>
      <w:r>
        <w:lastRenderedPageBreak/>
        <w:t>safety matters specified by their regulations</w:t>
      </w:r>
      <w:r>
        <w:rPr>
          <w:rStyle w:val="FootnoteReference"/>
        </w:rPr>
        <w:footnoteReference w:id="11"/>
      </w:r>
      <w:r w:rsidRPr="001C2A1E">
        <w:t>; in Victoria referral is required for a fire safety system that does not meet the D</w:t>
      </w:r>
      <w:r>
        <w:t>T</w:t>
      </w:r>
      <w:r w:rsidRPr="001C2A1E">
        <w:t xml:space="preserve">S </w:t>
      </w:r>
      <w:r>
        <w:t>Provisions</w:t>
      </w:r>
      <w:r w:rsidRPr="005E1DCB">
        <w:rPr>
          <w:rStyle w:val="FootnoteReference"/>
          <w:rFonts w:asciiTheme="minorHAnsi" w:hAnsiTheme="minorHAnsi" w:cstheme="minorHAnsi"/>
        </w:rPr>
        <w:footnoteReference w:id="12"/>
      </w:r>
      <w:r>
        <w:t>;</w:t>
      </w:r>
      <w:r w:rsidRPr="001C2A1E">
        <w:t xml:space="preserve"> in Queensland referral extends to a Performance Solution </w:t>
      </w:r>
      <w:r w:rsidR="000A64C5">
        <w:t>f</w:t>
      </w:r>
      <w:r w:rsidRPr="001C2A1E">
        <w:t>or a residential or residential care building</w:t>
      </w:r>
      <w:r w:rsidRPr="005E1DCB">
        <w:rPr>
          <w:rStyle w:val="FootnoteReference"/>
          <w:rFonts w:asciiTheme="minorHAnsi" w:hAnsiTheme="minorHAnsi" w:cstheme="minorHAnsi"/>
        </w:rPr>
        <w:footnoteReference w:id="13"/>
      </w:r>
      <w:r w:rsidRPr="001C2A1E">
        <w:t xml:space="preserve">; </w:t>
      </w:r>
      <w:r>
        <w:t xml:space="preserve">and </w:t>
      </w:r>
      <w:r w:rsidRPr="001C2A1E">
        <w:t>in Western Australia, in commercial buildings where a Performance Solution is proposed. Additionally</w:t>
      </w:r>
      <w:r>
        <w:t>,</w:t>
      </w:r>
      <w:r w:rsidRPr="001C2A1E">
        <w:t xml:space="preserve"> in Western Australia the Building Act requires the F</w:t>
      </w:r>
      <w:r>
        <w:t xml:space="preserve">ire and Emergency </w:t>
      </w:r>
      <w:r w:rsidRPr="001C2A1E">
        <w:t>S</w:t>
      </w:r>
      <w:r>
        <w:t>ervices (FES)</w:t>
      </w:r>
      <w:r w:rsidRPr="001C2A1E">
        <w:t xml:space="preserve"> Commissioner to be provided with detail to enable an assessment of the building against the brigade’s operational requirements.</w:t>
      </w:r>
      <w:r w:rsidRPr="005E1DCB">
        <w:rPr>
          <w:rStyle w:val="FootnoteReference"/>
          <w:rFonts w:asciiTheme="minorHAnsi" w:hAnsiTheme="minorHAnsi" w:cstheme="minorHAnsi"/>
        </w:rPr>
        <w:footnoteReference w:id="14"/>
      </w:r>
      <w:r>
        <w:t xml:space="preserve"> </w:t>
      </w:r>
    </w:p>
    <w:p w:rsidR="00FE37D3" w:rsidRPr="001C2A1E" w:rsidRDefault="00FE37D3" w:rsidP="00A84568">
      <w:r>
        <w:t xml:space="preserve">In Tasmania, the fire engineer is required to possess the requisite skills, competence and experience in the area where they are practicing. The building surveyor is required to review the Performance Solution and determine whether or not the proposed solution is likely to achieve an acceptable level of performance. In the case of fire safety, in preparing their assessment the building surveyor is required to refer the proposal to the Tasmania Fire Service (TFS) for </w:t>
      </w:r>
      <w:r w:rsidR="00EA33AC">
        <w:t xml:space="preserve">its </w:t>
      </w:r>
      <w:r>
        <w:t xml:space="preserve">comments on the operational aspects of the Performance Solution. If the building surveyor does not implement the recommendations, the TFS can appeal to the Resource Management Planning Appeals Tribunal (RMPAT) against the decision.  </w:t>
      </w:r>
    </w:p>
    <w:p w:rsidR="00FE37D3" w:rsidRPr="00BA010D" w:rsidRDefault="00FE37D3" w:rsidP="00950AE1">
      <w:pPr>
        <w:rPr>
          <w:rFonts w:asciiTheme="minorHAnsi" w:hAnsiTheme="minorHAnsi" w:cstheme="minorHAnsi"/>
        </w:rPr>
      </w:pPr>
      <w:r>
        <w:rPr>
          <w:rFonts w:asciiTheme="minorHAnsi" w:hAnsiTheme="minorHAnsi" w:cstheme="minorHAnsi"/>
        </w:rPr>
        <w:t>A</w:t>
      </w:r>
      <w:r w:rsidRPr="00BA010D">
        <w:rPr>
          <w:rFonts w:asciiTheme="minorHAnsi" w:hAnsiTheme="minorHAnsi" w:cstheme="minorHAnsi"/>
        </w:rPr>
        <w:t xml:space="preserve"> lack of national consistency and uniformity in </w:t>
      </w:r>
      <w:r>
        <w:rPr>
          <w:rFonts w:asciiTheme="minorHAnsi" w:hAnsiTheme="minorHAnsi" w:cstheme="minorHAnsi"/>
        </w:rPr>
        <w:t xml:space="preserve">the </w:t>
      </w:r>
      <w:r w:rsidRPr="00BA010D">
        <w:rPr>
          <w:rFonts w:asciiTheme="minorHAnsi" w:hAnsiTheme="minorHAnsi" w:cstheme="minorHAnsi"/>
        </w:rPr>
        <w:t>regulation and guidance</w:t>
      </w:r>
      <w:r>
        <w:rPr>
          <w:rFonts w:asciiTheme="minorHAnsi" w:hAnsiTheme="minorHAnsi" w:cstheme="minorHAnsi"/>
        </w:rPr>
        <w:t xml:space="preserve"> of Performance Solutions exists</w:t>
      </w:r>
      <w:r w:rsidRPr="00BA010D">
        <w:rPr>
          <w:rFonts w:asciiTheme="minorHAnsi" w:hAnsiTheme="minorHAnsi" w:cstheme="minorHAnsi"/>
        </w:rPr>
        <w:t xml:space="preserve"> where governments attempt to address this issue at a state level. </w:t>
      </w:r>
      <w:r>
        <w:rPr>
          <w:rFonts w:asciiTheme="minorHAnsi" w:hAnsiTheme="minorHAnsi" w:cstheme="minorHAnsi"/>
        </w:rPr>
        <w:t>T</w:t>
      </w:r>
      <w:r w:rsidRPr="00BA010D">
        <w:rPr>
          <w:rFonts w:asciiTheme="minorHAnsi" w:hAnsiTheme="minorHAnsi" w:cstheme="minorHAnsi"/>
        </w:rPr>
        <w:t>his patchwork approach does little for</w:t>
      </w:r>
      <w:r>
        <w:rPr>
          <w:rFonts w:asciiTheme="minorHAnsi" w:hAnsiTheme="minorHAnsi" w:cstheme="minorHAnsi"/>
        </w:rPr>
        <w:t xml:space="preserve"> national </w:t>
      </w:r>
      <w:r w:rsidR="00EA33AC">
        <w:rPr>
          <w:rFonts w:asciiTheme="minorHAnsi" w:hAnsiTheme="minorHAnsi" w:cstheme="minorHAnsi"/>
        </w:rPr>
        <w:t>companies</w:t>
      </w:r>
      <w:r>
        <w:rPr>
          <w:rFonts w:asciiTheme="minorHAnsi" w:hAnsiTheme="minorHAnsi" w:cstheme="minorHAnsi"/>
        </w:rPr>
        <w:t xml:space="preserve">, product manufacturers or </w:t>
      </w:r>
      <w:r w:rsidRPr="00BA010D">
        <w:rPr>
          <w:rFonts w:asciiTheme="minorHAnsi" w:hAnsiTheme="minorHAnsi" w:cstheme="minorHAnsi"/>
        </w:rPr>
        <w:t xml:space="preserve">proactive national industry associations attempting to deliver </w:t>
      </w:r>
      <w:r>
        <w:rPr>
          <w:rFonts w:asciiTheme="minorHAnsi" w:hAnsiTheme="minorHAnsi" w:cstheme="minorHAnsi"/>
        </w:rPr>
        <w:t xml:space="preserve">compliant processes, products, </w:t>
      </w:r>
      <w:r w:rsidRPr="00BA010D">
        <w:rPr>
          <w:rFonts w:asciiTheme="minorHAnsi" w:hAnsiTheme="minorHAnsi" w:cstheme="minorHAnsi"/>
        </w:rPr>
        <w:t xml:space="preserve">education </w:t>
      </w:r>
      <w:r>
        <w:rPr>
          <w:rFonts w:asciiTheme="minorHAnsi" w:hAnsiTheme="minorHAnsi" w:cstheme="minorHAnsi"/>
        </w:rPr>
        <w:t>or</w:t>
      </w:r>
      <w:r w:rsidRPr="00BA010D">
        <w:rPr>
          <w:rFonts w:asciiTheme="minorHAnsi" w:hAnsiTheme="minorHAnsi" w:cstheme="minorHAnsi"/>
        </w:rPr>
        <w:t xml:space="preserve"> training. </w:t>
      </w:r>
    </w:p>
    <w:p w:rsidR="00FE37D3" w:rsidRPr="00950AE1" w:rsidRDefault="00FE37D3" w:rsidP="00950AE1">
      <w:pPr>
        <w:rPr>
          <w:rFonts w:asciiTheme="minorHAnsi" w:hAnsiTheme="minorHAnsi" w:cstheme="minorHAnsi"/>
        </w:rPr>
      </w:pPr>
      <w:r>
        <w:rPr>
          <w:rFonts w:asciiTheme="minorHAnsi" w:hAnsiTheme="minorHAnsi" w:cstheme="minorHAnsi"/>
        </w:rPr>
        <w:t xml:space="preserve">Similarly, some states require </w:t>
      </w:r>
      <w:r w:rsidRPr="00950AE1">
        <w:rPr>
          <w:rFonts w:asciiTheme="minorHAnsi" w:hAnsiTheme="minorHAnsi" w:cstheme="minorHAnsi"/>
        </w:rPr>
        <w:t>documentation of decisions for Performance Solutions:</w:t>
      </w:r>
    </w:p>
    <w:p w:rsidR="00FE37D3" w:rsidRPr="00950AE1" w:rsidRDefault="00FE37D3" w:rsidP="008B202B">
      <w:pPr>
        <w:pStyle w:val="ListBullet"/>
        <w:rPr>
          <w:i/>
        </w:rPr>
      </w:pPr>
      <w:r w:rsidRPr="00950AE1">
        <w:t>Notification, under W</w:t>
      </w:r>
      <w:r>
        <w:t xml:space="preserve">estern </w:t>
      </w:r>
      <w:r w:rsidRPr="00950AE1">
        <w:t>A</w:t>
      </w:r>
      <w:r>
        <w:t>ustralian Building R</w:t>
      </w:r>
      <w:r w:rsidRPr="00950AE1">
        <w:t xml:space="preserve">egulation </w:t>
      </w:r>
      <w:r w:rsidR="00B064E2" w:rsidRPr="00B064E2">
        <w:t xml:space="preserve">16(3)(b) </w:t>
      </w:r>
      <w:r>
        <w:t>,</w:t>
      </w:r>
      <w:r w:rsidRPr="00950AE1">
        <w:t xml:space="preserve"> if the application of a building permit is in respect to a Class 1 or Class 10 </w:t>
      </w:r>
      <w:r>
        <w:t xml:space="preserve">building, </w:t>
      </w:r>
      <w:r w:rsidRPr="00950AE1">
        <w:t xml:space="preserve">details of the Performance </w:t>
      </w:r>
      <w:r>
        <w:t>S</w:t>
      </w:r>
      <w:r w:rsidRPr="00950AE1">
        <w:t>olution that is proposed to be used must accompany the application.</w:t>
      </w:r>
      <w:r w:rsidRPr="00950AE1">
        <w:rPr>
          <w:rStyle w:val="FootnoteReference"/>
          <w:rFonts w:asciiTheme="minorHAnsi" w:hAnsiTheme="minorHAnsi" w:cstheme="minorHAnsi"/>
        </w:rPr>
        <w:footnoteReference w:id="15"/>
      </w:r>
    </w:p>
    <w:p w:rsidR="00FE37D3" w:rsidRPr="00BE4C17" w:rsidRDefault="00FE37D3" w:rsidP="001B2E88">
      <w:pPr>
        <w:pStyle w:val="ListBullet"/>
      </w:pPr>
      <w:r w:rsidRPr="00950AE1">
        <w:lastRenderedPageBreak/>
        <w:t>The</w:t>
      </w:r>
      <w:r w:rsidR="00B434BC">
        <w:t xml:space="preserve"> </w:t>
      </w:r>
      <w:r>
        <w:t>Queensland Fire and Emergency Services</w:t>
      </w:r>
      <w:r w:rsidRPr="00BE4C17">
        <w:t xml:space="preserve"> scope</w:t>
      </w:r>
      <w:r w:rsidR="00380676">
        <w:t xml:space="preserve"> of</w:t>
      </w:r>
      <w:r w:rsidRPr="00BE4C17">
        <w:t xml:space="preserve"> </w:t>
      </w:r>
      <w:r w:rsidR="00380676" w:rsidRPr="00BE4C17">
        <w:t xml:space="preserve">referral </w:t>
      </w:r>
      <w:r w:rsidRPr="00BE4C17">
        <w:t xml:space="preserve">in Schedule 9 of the Planning Regulation 2017 includes all buildings with special fire services, in addition to all fire safety related </w:t>
      </w:r>
      <w:r>
        <w:t>P</w:t>
      </w:r>
      <w:r w:rsidRPr="00BE4C17">
        <w:t xml:space="preserve">erformance </w:t>
      </w:r>
      <w:r>
        <w:t>S</w:t>
      </w:r>
      <w:r w:rsidRPr="00BE4C17">
        <w:t>olutions .</w:t>
      </w:r>
      <w:r>
        <w:t xml:space="preserve"> The Queensland Building Act requires a statement of reasons in the decision notice when approving a Performance Solution, including</w:t>
      </w:r>
      <w:r w:rsidRPr="00BE4C17">
        <w:t xml:space="preserve"> how the building work complies, how the building work differs from the DTS Provisions and any test results and reports relied upon </w:t>
      </w:r>
      <w:r w:rsidR="00380676">
        <w:t>as</w:t>
      </w:r>
      <w:r w:rsidR="00380676" w:rsidRPr="00BE4C17">
        <w:t xml:space="preserve"> </w:t>
      </w:r>
      <w:r w:rsidRPr="00BE4C17">
        <w:t>the basis of decision</w:t>
      </w:r>
      <w:r>
        <w:t>.</w:t>
      </w:r>
      <w:r>
        <w:rPr>
          <w:rStyle w:val="FootnoteReference"/>
        </w:rPr>
        <w:footnoteReference w:id="16"/>
      </w:r>
      <w:r w:rsidRPr="007F09C5">
        <w:rPr>
          <w:vertAlign w:val="superscript"/>
        </w:rPr>
        <w:t>,</w:t>
      </w:r>
      <w:r>
        <w:rPr>
          <w:rStyle w:val="FootnoteReference"/>
        </w:rPr>
        <w:footnoteReference w:id="17"/>
      </w:r>
      <w:r>
        <w:t xml:space="preserve"> </w:t>
      </w:r>
    </w:p>
    <w:p w:rsidR="00FE37D3" w:rsidRPr="00BB5612" w:rsidRDefault="00FE37D3" w:rsidP="008B202B">
      <w:pPr>
        <w:pStyle w:val="ListBullet"/>
      </w:pPr>
      <w:r w:rsidRPr="00BB5612">
        <w:t xml:space="preserve">The Victorian </w:t>
      </w:r>
      <w:r w:rsidR="00A87B38">
        <w:t>regulations</w:t>
      </w:r>
      <w:r w:rsidRPr="00F72272">
        <w:t xml:space="preserve"> require</w:t>
      </w:r>
      <w:r w:rsidRPr="00872638">
        <w:t xml:space="preserve"> that</w:t>
      </w:r>
      <w:r w:rsidR="00B434BC">
        <w:t>,</w:t>
      </w:r>
      <w:r w:rsidRPr="00872638">
        <w:t xml:space="preserve"> in issuing a building permit or certificate of compliance, the relevant building surveyor record in writing the Performance Requirement </w:t>
      </w:r>
      <w:r w:rsidR="0030406F">
        <w:t>that</w:t>
      </w:r>
      <w:r w:rsidRPr="005E4F05">
        <w:t xml:space="preserve"> the solution complies </w:t>
      </w:r>
      <w:r w:rsidR="0030406F">
        <w:t xml:space="preserve">with </w:t>
      </w:r>
      <w:r w:rsidRPr="005E4F05">
        <w:t>and details of any assessment methods, expert judgement, details of any test or c</w:t>
      </w:r>
      <w:r w:rsidRPr="00BB1498">
        <w:t>alculations, standards or other information they rely on in making the decision.</w:t>
      </w:r>
      <w:r w:rsidRPr="00BB5612">
        <w:rPr>
          <w:rStyle w:val="FootnoteReference"/>
          <w:rFonts w:asciiTheme="minorHAnsi" w:hAnsiTheme="minorHAnsi" w:cstheme="minorHAnsi"/>
        </w:rPr>
        <w:footnoteReference w:id="18"/>
      </w:r>
    </w:p>
    <w:p w:rsidR="00FE37D3" w:rsidRPr="005C6C75" w:rsidRDefault="00FE37D3" w:rsidP="00E3693C">
      <w:pPr>
        <w:pStyle w:val="ListBullet"/>
        <w:rPr>
          <w:iCs/>
        </w:rPr>
      </w:pPr>
      <w:r w:rsidRPr="003B1B5C">
        <w:rPr>
          <w:iCs/>
        </w:rPr>
        <w:t xml:space="preserve">In 2017, the NSW Government introduced a number of reforms to enhance the fire safety </w:t>
      </w:r>
      <w:r w:rsidR="00B434BC">
        <w:rPr>
          <w:iCs/>
        </w:rPr>
        <w:t>of</w:t>
      </w:r>
      <w:r w:rsidRPr="003B1B5C">
        <w:rPr>
          <w:iCs/>
        </w:rPr>
        <w:t xml:space="preserve"> new and existing buildings.  These reforms included new requirements </w:t>
      </w:r>
      <w:r w:rsidR="00B434BC">
        <w:rPr>
          <w:iCs/>
        </w:rPr>
        <w:t>for</w:t>
      </w:r>
      <w:r w:rsidRPr="003B1B5C">
        <w:rPr>
          <w:iCs/>
        </w:rPr>
        <w:t xml:space="preserve"> the provision of a ‘Performance Solution report’ for developments incorporating Performance Solutions relating to a ‘fire safety requirement’. Among other things, the report must include a copy of the brief on which the justification for the Performance Solution is based. Performance Solution reports are not required for Class 1a and 10 buildings.</w:t>
      </w:r>
      <w:r>
        <w:rPr>
          <w:rStyle w:val="FootnoteReference"/>
          <w:iCs/>
        </w:rPr>
        <w:footnoteReference w:id="19"/>
      </w:r>
    </w:p>
    <w:tbl>
      <w:tblPr>
        <w:tblStyle w:val="TableGrid"/>
        <w:tblW w:w="0" w:type="auto"/>
        <w:tblLook w:val="0480" w:firstRow="0" w:lastRow="0" w:firstColumn="1" w:lastColumn="0" w:noHBand="0" w:noVBand="1"/>
        <w:tblCaption w:val="Text box"/>
      </w:tblPr>
      <w:tblGrid>
        <w:gridCol w:w="9060"/>
      </w:tblGrid>
      <w:tr w:rsidR="00FE37D3" w:rsidTr="003756FF">
        <w:trPr>
          <w:tblHeader/>
        </w:trPr>
        <w:tc>
          <w:tcPr>
            <w:tcW w:w="9060" w:type="dxa"/>
            <w:shd w:val="clear" w:color="auto" w:fill="BFBFBF" w:themeFill="background1" w:themeFillShade="BF"/>
          </w:tcPr>
          <w:p w:rsidR="00FE37D3" w:rsidRPr="00F333E3" w:rsidRDefault="00FE37D3" w:rsidP="00B434BC">
            <w:pPr>
              <w:pStyle w:val="Heading2"/>
              <w:spacing w:before="240" w:after="240"/>
              <w:jc w:val="both"/>
              <w:outlineLvl w:val="1"/>
            </w:pPr>
            <w:bookmarkStart w:id="13" w:name="_GoBack" w:colFirst="0" w:colLast="1"/>
            <w:r w:rsidRPr="006E3E41">
              <w:rPr>
                <w:rFonts w:ascii="Arial" w:eastAsiaTheme="minorHAnsi" w:hAnsi="Arial" w:cstheme="minorBidi"/>
                <w:b w:val="0"/>
                <w:bCs w:val="0"/>
                <w:color w:val="auto"/>
                <w:sz w:val="24"/>
                <w:szCs w:val="22"/>
              </w:rPr>
              <w:t>The Consultation RIS asked stakeholders</w:t>
            </w:r>
            <w:r>
              <w:rPr>
                <w:rFonts w:ascii="Arial" w:eastAsiaTheme="minorHAnsi" w:hAnsi="Arial" w:cstheme="minorBidi"/>
                <w:b w:val="0"/>
                <w:bCs w:val="0"/>
                <w:color w:val="auto"/>
                <w:sz w:val="24"/>
                <w:szCs w:val="22"/>
              </w:rPr>
              <w:t>: where</w:t>
            </w:r>
            <w:r w:rsidRPr="006E3E41">
              <w:rPr>
                <w:rFonts w:ascii="Arial" w:eastAsiaTheme="minorHAnsi" w:hAnsi="Arial" w:cstheme="minorBidi"/>
                <w:b w:val="0"/>
                <w:bCs w:val="0"/>
                <w:color w:val="auto"/>
                <w:sz w:val="24"/>
                <w:szCs w:val="22"/>
              </w:rPr>
              <w:t xml:space="preserve"> they </w:t>
            </w:r>
            <w:r>
              <w:rPr>
                <w:rFonts w:ascii="Arial" w:eastAsiaTheme="minorHAnsi" w:hAnsi="Arial" w:cstheme="minorBidi"/>
                <w:b w:val="0"/>
                <w:bCs w:val="0"/>
                <w:color w:val="auto"/>
                <w:sz w:val="24"/>
                <w:szCs w:val="22"/>
              </w:rPr>
              <w:t xml:space="preserve">were </w:t>
            </w:r>
            <w:r w:rsidRPr="00F333E3">
              <w:rPr>
                <w:rFonts w:ascii="Arial" w:eastAsiaTheme="minorHAnsi" w:hAnsi="Arial" w:cstheme="minorBidi"/>
                <w:b w:val="0"/>
                <w:bCs w:val="0"/>
                <w:color w:val="auto"/>
                <w:sz w:val="24"/>
                <w:szCs w:val="22"/>
              </w:rPr>
              <w:t xml:space="preserve">aware of other circumstances </w:t>
            </w:r>
            <w:r w:rsidR="00B434BC">
              <w:rPr>
                <w:rFonts w:ascii="Arial" w:eastAsiaTheme="minorHAnsi" w:hAnsi="Arial" w:cstheme="minorBidi"/>
                <w:b w:val="0"/>
                <w:bCs w:val="0"/>
                <w:color w:val="auto"/>
                <w:sz w:val="24"/>
                <w:szCs w:val="22"/>
              </w:rPr>
              <w:t>in which</w:t>
            </w:r>
            <w:r w:rsidRPr="00F333E3">
              <w:rPr>
                <w:rFonts w:ascii="Arial" w:eastAsiaTheme="minorHAnsi" w:hAnsi="Arial" w:cstheme="minorBidi"/>
                <w:b w:val="0"/>
                <w:bCs w:val="0"/>
                <w:color w:val="auto"/>
                <w:sz w:val="24"/>
                <w:szCs w:val="22"/>
              </w:rPr>
              <w:t xml:space="preserve"> documentation </w:t>
            </w:r>
            <w:r>
              <w:rPr>
                <w:rFonts w:ascii="Arial" w:eastAsiaTheme="minorHAnsi" w:hAnsi="Arial" w:cstheme="minorBidi"/>
                <w:b w:val="0"/>
                <w:bCs w:val="0"/>
                <w:color w:val="auto"/>
                <w:sz w:val="24"/>
                <w:szCs w:val="22"/>
              </w:rPr>
              <w:t>was mandatory?</w:t>
            </w:r>
          </w:p>
        </w:tc>
      </w:tr>
    </w:tbl>
    <w:bookmarkEnd w:id="13"/>
    <w:p w:rsidR="00FE37D3" w:rsidRDefault="00FE37D3" w:rsidP="00F02722">
      <w:pPr>
        <w:rPr>
          <w:b/>
          <w:bCs/>
        </w:rPr>
      </w:pPr>
      <w:r>
        <w:t>Forty per cent of all respondents</w:t>
      </w:r>
      <w:r w:rsidRPr="00E40F7C">
        <w:t xml:space="preserve"> noted jurisdictional differences. </w:t>
      </w:r>
    </w:p>
    <w:p w:rsidR="00FE37D3" w:rsidRPr="005D0F78" w:rsidRDefault="00FE37D3" w:rsidP="00F02722">
      <w:r w:rsidRPr="007209E7">
        <w:rPr>
          <w:rFonts w:asciiTheme="minorHAnsi" w:hAnsiTheme="minorHAnsi" w:cstheme="minorHAnsi"/>
          <w:color w:val="000000" w:themeColor="text1"/>
          <w:szCs w:val="24"/>
        </w:rPr>
        <w:t xml:space="preserve">One respondent advised that mandatory documentation was required in Queensland in all cases where Performance Solutions are used. Other jurisdictional differences </w:t>
      </w:r>
      <w:r w:rsidR="00380676">
        <w:rPr>
          <w:rFonts w:asciiTheme="minorHAnsi" w:hAnsiTheme="minorHAnsi" w:cstheme="minorHAnsi"/>
          <w:color w:val="000000" w:themeColor="text1"/>
          <w:szCs w:val="24"/>
        </w:rPr>
        <w:t xml:space="preserve">in </w:t>
      </w:r>
      <w:r w:rsidR="00380676">
        <w:rPr>
          <w:rFonts w:asciiTheme="minorHAnsi" w:hAnsiTheme="minorHAnsi" w:cstheme="minorHAnsi"/>
          <w:color w:val="000000" w:themeColor="text1"/>
          <w:szCs w:val="24"/>
        </w:rPr>
        <w:lastRenderedPageBreak/>
        <w:t xml:space="preserve">process </w:t>
      </w:r>
      <w:r w:rsidRPr="007209E7">
        <w:rPr>
          <w:rFonts w:asciiTheme="minorHAnsi" w:hAnsiTheme="minorHAnsi" w:cstheme="minorHAnsi"/>
          <w:color w:val="000000" w:themeColor="text1"/>
          <w:szCs w:val="24"/>
        </w:rPr>
        <w:t>included N</w:t>
      </w:r>
      <w:r w:rsidR="00B434BC">
        <w:rPr>
          <w:rFonts w:asciiTheme="minorHAnsi" w:hAnsiTheme="minorHAnsi" w:cstheme="minorHAnsi"/>
          <w:color w:val="000000" w:themeColor="text1"/>
          <w:szCs w:val="24"/>
        </w:rPr>
        <w:t>SW</w:t>
      </w:r>
      <w:r w:rsidRPr="007209E7">
        <w:rPr>
          <w:rFonts w:asciiTheme="minorHAnsi" w:hAnsiTheme="minorHAnsi" w:cstheme="minorHAnsi"/>
          <w:color w:val="000000" w:themeColor="text1"/>
          <w:szCs w:val="24"/>
        </w:rPr>
        <w:t xml:space="preserve"> and Victoria (Performance Solutions relating to fire) and the Australian Capital Territory (Performance Solutions relating to energy).</w:t>
      </w:r>
    </w:p>
    <w:p w:rsidR="00FE37D3" w:rsidRDefault="00FE37D3" w:rsidP="00F02722">
      <w:r>
        <w:t xml:space="preserve">An individual </w:t>
      </w:r>
      <w:r w:rsidR="00B434BC">
        <w:t>submission pointed out</w:t>
      </w:r>
      <w:r>
        <w:t xml:space="preserve"> that t</w:t>
      </w:r>
      <w:r w:rsidRPr="00BB1498">
        <w:t>he D</w:t>
      </w:r>
      <w:r>
        <w:t xml:space="preserve">isability </w:t>
      </w:r>
      <w:r w:rsidRPr="00BB1498">
        <w:t>S</w:t>
      </w:r>
      <w:r>
        <w:t xml:space="preserve">tandards for </w:t>
      </w:r>
      <w:r w:rsidRPr="00BB1498">
        <w:t>A</w:t>
      </w:r>
      <w:r>
        <w:t xml:space="preserve">ccessible </w:t>
      </w:r>
      <w:r w:rsidRPr="00BB1498">
        <w:t>P</w:t>
      </w:r>
      <w:r>
        <w:t xml:space="preserve">ublic </w:t>
      </w:r>
      <w:r w:rsidRPr="00BB1498">
        <w:t>T</w:t>
      </w:r>
      <w:r>
        <w:t>ransport</w:t>
      </w:r>
      <w:r w:rsidRPr="00BB1498">
        <w:t xml:space="preserve"> requires </w:t>
      </w:r>
      <w:r>
        <w:t>all</w:t>
      </w:r>
      <w:r w:rsidRPr="00BB1498">
        <w:t xml:space="preserve"> transport operators to </w:t>
      </w:r>
      <w:r>
        <w:t xml:space="preserve">demonstrate and document </w:t>
      </w:r>
      <w:r w:rsidR="00B434BC">
        <w:t xml:space="preserve">how </w:t>
      </w:r>
      <w:r>
        <w:t>Performance Solutions</w:t>
      </w:r>
      <w:r w:rsidRPr="00BB1498">
        <w:t xml:space="preserve"> are able </w:t>
      </w:r>
      <w:r>
        <w:t>to</w:t>
      </w:r>
      <w:r w:rsidRPr="00BB1498">
        <w:t xml:space="preserve"> provide public transport </w:t>
      </w:r>
      <w:r>
        <w:t xml:space="preserve">(including public transport buildings) </w:t>
      </w:r>
      <w:r w:rsidRPr="00BB1498">
        <w:t>without discrimination ‘as far as possible’.</w:t>
      </w:r>
      <w:r>
        <w:rPr>
          <w:rStyle w:val="FootnoteReference"/>
        </w:rPr>
        <w:footnoteReference w:id="20"/>
      </w:r>
    </w:p>
    <w:p w:rsidR="00FE37D3" w:rsidRDefault="00FE37D3" w:rsidP="00F02722">
      <w:r w:rsidRPr="005B3F81">
        <w:t xml:space="preserve">A private </w:t>
      </w:r>
      <w:r w:rsidR="00276912">
        <w:t xml:space="preserve">building surveyor </w:t>
      </w:r>
      <w:r>
        <w:t>also</w:t>
      </w:r>
      <w:r w:rsidRPr="005B3F81">
        <w:t xml:space="preserve"> </w:t>
      </w:r>
      <w:r w:rsidR="00380676">
        <w:t>reported</w:t>
      </w:r>
      <w:r w:rsidRPr="005B3F81">
        <w:t xml:space="preserve"> that for all Australian Defence Projects, the Director Estate Engineering Policy (DEEP) requires all Performance Solutions</w:t>
      </w:r>
      <w:r>
        <w:t xml:space="preserve"> relating to fire safety </w:t>
      </w:r>
      <w:r w:rsidRPr="005B3F81">
        <w:t xml:space="preserve">to follow the </w:t>
      </w:r>
      <w:r w:rsidR="00B434BC">
        <w:t>IFEG</w:t>
      </w:r>
      <w:r w:rsidRPr="005B3F81">
        <w:t xml:space="preserve"> process, including a list of </w:t>
      </w:r>
      <w:r>
        <w:t>DTS</w:t>
      </w:r>
      <w:r w:rsidRPr="005B3F81">
        <w:t xml:space="preserve"> Provisions, Performance Solutions, acceptance criteria, etc. as part of the Defence approval process. </w:t>
      </w:r>
    </w:p>
    <w:p w:rsidR="00FE37D3" w:rsidRDefault="00FE37D3" w:rsidP="00F02722">
      <w:r>
        <w:t>It is not known the extent to which Defence buildings or public transport buildings are constructed each year</w:t>
      </w:r>
      <w:r w:rsidR="0099574E">
        <w:t>.</w:t>
      </w:r>
      <w:r>
        <w:t xml:space="preserve"> </w:t>
      </w:r>
      <w:r w:rsidR="0099574E">
        <w:t>H</w:t>
      </w:r>
      <w:r>
        <w:t xml:space="preserve">owever, it is thought </w:t>
      </w:r>
      <w:r w:rsidR="002C0E0B">
        <w:t xml:space="preserve">to </w:t>
      </w:r>
      <w:r>
        <w:t xml:space="preserve">be a small contribution to new stock. </w:t>
      </w:r>
    </w:p>
    <w:p w:rsidR="00FE37D3" w:rsidRDefault="00FE37D3" w:rsidP="00853F47">
      <w:pPr>
        <w:tabs>
          <w:tab w:val="left" w:pos="7938"/>
        </w:tabs>
      </w:pPr>
      <w:r>
        <w:t xml:space="preserve">An industry association </w:t>
      </w:r>
      <w:r w:rsidR="00853F47">
        <w:t>commented that</w:t>
      </w:r>
      <w:r>
        <w:t>:</w:t>
      </w:r>
    </w:p>
    <w:p w:rsidR="00FE37D3" w:rsidRPr="007F09C5" w:rsidRDefault="00FE37D3" w:rsidP="0026534C">
      <w:pPr>
        <w:ind w:left="720"/>
        <w:rPr>
          <w:i/>
        </w:rPr>
      </w:pPr>
      <w:r w:rsidRPr="007209E7">
        <w:rPr>
          <w:i/>
        </w:rPr>
        <w:t>“Most states and territories either have or are in the process of developing further measures currently around peer review and documentation for Performance Solutions arising from the Shergold Weir Report. Therefore, the NCC will be creating duplication of processes and create confusion and inconsistencies by including these provisions.”</w:t>
      </w:r>
    </w:p>
    <w:p w:rsidR="00FE37D3" w:rsidRDefault="00380676" w:rsidP="00F02722">
      <w:r>
        <w:t>In July 2019 t</w:t>
      </w:r>
      <w:r w:rsidR="00FE37D3">
        <w:t>he BMF</w:t>
      </w:r>
      <w:r w:rsidR="00FE37D3" w:rsidRPr="00E3693C">
        <w:t xml:space="preserve"> requested the ABCB</w:t>
      </w:r>
      <w:r>
        <w:t xml:space="preserve">, through the establishment of an Implementation Team and </w:t>
      </w:r>
      <w:r w:rsidR="002E2632">
        <w:t>the</w:t>
      </w:r>
      <w:r>
        <w:t xml:space="preserve"> National Framework, </w:t>
      </w:r>
      <w:r w:rsidR="002E2632">
        <w:t xml:space="preserve">to </w:t>
      </w:r>
      <w:r>
        <w:t>develop proposal</w:t>
      </w:r>
      <w:r w:rsidR="002E2632">
        <w:t>s</w:t>
      </w:r>
      <w:r>
        <w:t xml:space="preserve"> t</w:t>
      </w:r>
      <w:r w:rsidR="002E2632">
        <w:t>hat</w:t>
      </w:r>
      <w:r>
        <w:t xml:space="preserve"> respond to all BCR recommendations.  Recommendation 14 suggests</w:t>
      </w:r>
      <w:r w:rsidR="00FE37D3" w:rsidRPr="00E3693C">
        <w:t xml:space="preserve"> strengthening the process for developing Performance Solutions in the NCC to ensure that a nationally consistent approach is taken in addressing the problem.</w:t>
      </w:r>
      <w:r w:rsidR="00FE37D3">
        <w:t xml:space="preserve"> Hence, the aim of the proposal is not to create duplication and inconsistency but rather ensure a nationally consistent framework exists for developing Performance Solutions. </w:t>
      </w:r>
    </w:p>
    <w:p w:rsidR="002E2632" w:rsidRDefault="002E2632" w:rsidP="00F02722">
      <w:r>
        <w:lastRenderedPageBreak/>
        <w:t>The authors of the BCR advocate for national consistency in the implementation of the recommendations and national industry organisations have advocated for national consistency in the development of responses by the BCR Implementation Team.</w:t>
      </w:r>
    </w:p>
    <w:p w:rsidR="00FE37D3" w:rsidRDefault="00FE37D3" w:rsidP="00F02722">
      <w:r>
        <w:t>The analysis accounts for jurisdictional differences through the cost-benefit analysis by recognising that not all Performance Solutions will be impacted by Options 2 and 3. Further, the decision to adopt the proposed provisions in the NCC will be made by the Board</w:t>
      </w:r>
      <w:r w:rsidR="00853F47">
        <w:t>,</w:t>
      </w:r>
      <w:r>
        <w:t xml:space="preserve"> which includes representatives from each </w:t>
      </w:r>
      <w:r w:rsidR="00853F47">
        <w:t>s</w:t>
      </w:r>
      <w:r>
        <w:t xml:space="preserve">tate and </w:t>
      </w:r>
      <w:r w:rsidR="00853F47">
        <w:t>t</w:t>
      </w:r>
      <w:r>
        <w:t xml:space="preserve">erritory. </w:t>
      </w:r>
    </w:p>
    <w:p w:rsidR="00FE37D3" w:rsidRDefault="00FE37D3" w:rsidP="00F02722">
      <w:r>
        <w:t xml:space="preserve">The above </w:t>
      </w:r>
      <w:r w:rsidR="00380676">
        <w:t xml:space="preserve">state specific </w:t>
      </w:r>
      <w:r>
        <w:t>examples suggest existing</w:t>
      </w:r>
      <w:r w:rsidR="00380676">
        <w:t xml:space="preserve"> Performance Solution</w:t>
      </w:r>
      <w:r>
        <w:t xml:space="preserve"> documentation requirements predominately relate to fire safety. The proposal being considered extends the </w:t>
      </w:r>
      <w:r w:rsidR="002E2632">
        <w:t xml:space="preserve">minimum </w:t>
      </w:r>
      <w:r>
        <w:t>requirements for documentation</w:t>
      </w:r>
      <w:r w:rsidR="00380676">
        <w:t>, analysis</w:t>
      </w:r>
      <w:r>
        <w:t xml:space="preserve"> and consultation to all NCC Performance Solutions.</w:t>
      </w:r>
      <w:r>
        <w:rPr>
          <w:rStyle w:val="FootnoteReference"/>
        </w:rPr>
        <w:footnoteReference w:id="21"/>
      </w:r>
      <w:r>
        <w:br w:type="page"/>
      </w:r>
    </w:p>
    <w:p w:rsidR="00FE37D3" w:rsidRPr="001C06C4" w:rsidRDefault="00FE37D3" w:rsidP="00F02722"/>
    <w:p w:rsidR="00FE37D3" w:rsidRPr="00B41A69" w:rsidRDefault="00FE37D3" w:rsidP="00B32C56">
      <w:pPr>
        <w:pStyle w:val="Heading1"/>
        <w:rPr>
          <w:rFonts w:asciiTheme="minorHAnsi" w:hAnsiTheme="minorHAnsi" w:cstheme="minorHAnsi"/>
          <w:i/>
        </w:rPr>
      </w:pPr>
      <w:bookmarkStart w:id="14" w:name="_Toc33098871"/>
      <w:r w:rsidRPr="00B41A69">
        <w:t>Problem</w:t>
      </w:r>
      <w:bookmarkEnd w:id="14"/>
      <w:r w:rsidRPr="00B41A69">
        <w:t xml:space="preserve"> </w:t>
      </w:r>
    </w:p>
    <w:p w:rsidR="00FE37D3" w:rsidRDefault="00FE37D3" w:rsidP="00E55DD0">
      <w:pPr>
        <w:spacing w:after="160"/>
        <w:rPr>
          <w:rFonts w:asciiTheme="minorHAnsi" w:hAnsiTheme="minorHAnsi" w:cstheme="minorHAnsi"/>
        </w:rPr>
      </w:pPr>
      <w:r w:rsidRPr="00BA010D">
        <w:rPr>
          <w:rFonts w:asciiTheme="minorHAnsi" w:hAnsiTheme="minorHAnsi" w:cstheme="minorHAnsi"/>
        </w:rPr>
        <w:t xml:space="preserve">Performance Solutions </w:t>
      </w:r>
      <w:r>
        <w:rPr>
          <w:rFonts w:asciiTheme="minorHAnsi" w:hAnsiTheme="minorHAnsi" w:cstheme="minorHAnsi"/>
        </w:rPr>
        <w:t>require</w:t>
      </w:r>
      <w:r w:rsidRPr="00BA010D">
        <w:rPr>
          <w:rFonts w:asciiTheme="minorHAnsi" w:hAnsiTheme="minorHAnsi" w:cstheme="minorHAnsi"/>
        </w:rPr>
        <w:t xml:space="preserve"> careful consideration given the latitude for judgement to be applied, particularly for health and safety risks. In the time since its introduction, no single defined framework for consideration of Performance Solutions has emerged</w:t>
      </w:r>
      <w:r>
        <w:rPr>
          <w:rFonts w:asciiTheme="minorHAnsi" w:hAnsiTheme="minorHAnsi" w:cstheme="minorHAnsi"/>
        </w:rPr>
        <w:t>. T</w:t>
      </w:r>
      <w:r w:rsidRPr="00BA010D">
        <w:rPr>
          <w:rFonts w:asciiTheme="minorHAnsi" w:hAnsiTheme="minorHAnsi" w:cstheme="minorHAnsi"/>
        </w:rPr>
        <w:t>he veracity of analysis and quality of decisions has repeatedly been b</w:t>
      </w:r>
      <w:r>
        <w:rPr>
          <w:rFonts w:asciiTheme="minorHAnsi" w:hAnsiTheme="minorHAnsi" w:cstheme="minorHAnsi"/>
        </w:rPr>
        <w:t>r</w:t>
      </w:r>
      <w:r w:rsidRPr="00BA010D">
        <w:rPr>
          <w:rFonts w:asciiTheme="minorHAnsi" w:hAnsiTheme="minorHAnsi" w:cstheme="minorHAnsi"/>
        </w:rPr>
        <w:t>ought into question</w:t>
      </w:r>
      <w:r>
        <w:rPr>
          <w:rFonts w:asciiTheme="minorHAnsi" w:hAnsiTheme="minorHAnsi" w:cstheme="minorHAnsi"/>
        </w:rPr>
        <w:t xml:space="preserve">. Most recently the BCR highlighted </w:t>
      </w:r>
      <w:r w:rsidRPr="00BA010D">
        <w:rPr>
          <w:rFonts w:asciiTheme="minorHAnsi" w:hAnsiTheme="minorHAnsi" w:cstheme="minorHAnsi"/>
        </w:rPr>
        <w:t xml:space="preserve">the potential for gaps to </w:t>
      </w:r>
      <w:r>
        <w:rPr>
          <w:rFonts w:asciiTheme="minorHAnsi" w:hAnsiTheme="minorHAnsi" w:cstheme="minorHAnsi"/>
        </w:rPr>
        <w:t>exist</w:t>
      </w:r>
      <w:r w:rsidRPr="00BA010D">
        <w:rPr>
          <w:rFonts w:asciiTheme="minorHAnsi" w:hAnsiTheme="minorHAnsi" w:cstheme="minorHAnsi"/>
        </w:rPr>
        <w:t xml:space="preserve"> between the intentions of a</w:t>
      </w:r>
      <w:r>
        <w:rPr>
          <w:rFonts w:asciiTheme="minorHAnsi" w:hAnsiTheme="minorHAnsi" w:cstheme="minorHAnsi"/>
        </w:rPr>
        <w:t xml:space="preserve"> performance-</w:t>
      </w:r>
      <w:r w:rsidRPr="00BA010D">
        <w:rPr>
          <w:rFonts w:asciiTheme="minorHAnsi" w:hAnsiTheme="minorHAnsi" w:cstheme="minorHAnsi"/>
        </w:rPr>
        <w:t xml:space="preserve">based code and its enactment.  </w:t>
      </w:r>
    </w:p>
    <w:p w:rsidR="00FE37D3" w:rsidRDefault="00FE37D3" w:rsidP="00E55DD0">
      <w:pPr>
        <w:spacing w:after="160"/>
        <w:rPr>
          <w:rFonts w:asciiTheme="minorHAnsi" w:hAnsiTheme="minorHAnsi" w:cstheme="minorHAnsi"/>
        </w:rPr>
      </w:pPr>
      <w:r w:rsidRPr="00BA010D">
        <w:rPr>
          <w:rFonts w:asciiTheme="minorHAnsi" w:hAnsiTheme="minorHAnsi" w:cstheme="minorHAnsi"/>
        </w:rPr>
        <w:t>The nature of the problem th</w:t>
      </w:r>
      <w:r>
        <w:rPr>
          <w:rFonts w:asciiTheme="minorHAnsi" w:hAnsiTheme="minorHAnsi" w:cstheme="minorHAnsi"/>
        </w:rPr>
        <w:t>erefore consists of two factors:</w:t>
      </w:r>
      <w:r w:rsidRPr="00BA010D">
        <w:rPr>
          <w:rFonts w:asciiTheme="minorHAnsi" w:hAnsiTheme="minorHAnsi" w:cstheme="minorHAnsi"/>
        </w:rPr>
        <w:t xml:space="preserve"> </w:t>
      </w:r>
    </w:p>
    <w:p w:rsidR="00FE37D3" w:rsidRDefault="00FE37D3" w:rsidP="007F09C5">
      <w:pPr>
        <w:pStyle w:val="ListParagraph"/>
        <w:numPr>
          <w:ilvl w:val="0"/>
          <w:numId w:val="27"/>
        </w:numPr>
        <w:spacing w:after="160"/>
        <w:rPr>
          <w:rFonts w:asciiTheme="minorHAnsi" w:hAnsiTheme="minorHAnsi" w:cstheme="minorHAnsi"/>
        </w:rPr>
      </w:pPr>
      <w:r w:rsidRPr="007F09C5">
        <w:rPr>
          <w:rFonts w:asciiTheme="minorHAnsi" w:hAnsiTheme="minorHAnsi" w:cstheme="minorHAnsi"/>
        </w:rPr>
        <w:t xml:space="preserve">a lack of clarity </w:t>
      </w:r>
      <w:r w:rsidR="001A43B1">
        <w:rPr>
          <w:rFonts w:asciiTheme="minorHAnsi" w:hAnsiTheme="minorHAnsi" w:cstheme="minorHAnsi"/>
        </w:rPr>
        <w:t>around the</w:t>
      </w:r>
      <w:r w:rsidRPr="007F09C5">
        <w:rPr>
          <w:rFonts w:asciiTheme="minorHAnsi" w:hAnsiTheme="minorHAnsi" w:cstheme="minorHAnsi"/>
        </w:rPr>
        <w:t xml:space="preserve"> expectations in the development of a Performance Solution and </w:t>
      </w:r>
      <w:r w:rsidR="001A43B1">
        <w:rPr>
          <w:rFonts w:asciiTheme="minorHAnsi" w:hAnsiTheme="minorHAnsi" w:cstheme="minorHAnsi"/>
        </w:rPr>
        <w:t xml:space="preserve">the </w:t>
      </w:r>
      <w:r w:rsidRPr="007F09C5">
        <w:rPr>
          <w:rFonts w:asciiTheme="minorHAnsi" w:hAnsiTheme="minorHAnsi" w:cstheme="minorHAnsi"/>
        </w:rPr>
        <w:t xml:space="preserve">decision-making process at assessment; </w:t>
      </w:r>
      <w:r w:rsidRPr="009A3FDE">
        <w:rPr>
          <w:rFonts w:asciiTheme="minorHAnsi" w:hAnsiTheme="minorHAnsi" w:cstheme="minorHAnsi"/>
        </w:rPr>
        <w:t>and</w:t>
      </w:r>
    </w:p>
    <w:p w:rsidR="00FE37D3" w:rsidRDefault="00FE37D3" w:rsidP="007F09C5">
      <w:pPr>
        <w:pStyle w:val="ListParagraph"/>
        <w:numPr>
          <w:ilvl w:val="0"/>
          <w:numId w:val="27"/>
        </w:numPr>
        <w:spacing w:after="160"/>
        <w:rPr>
          <w:rFonts w:asciiTheme="minorHAnsi" w:hAnsiTheme="minorHAnsi" w:cstheme="minorHAnsi"/>
        </w:rPr>
      </w:pPr>
      <w:r w:rsidRPr="007F09C5">
        <w:rPr>
          <w:rFonts w:asciiTheme="minorHAnsi" w:hAnsiTheme="minorHAnsi" w:cstheme="minorHAnsi"/>
        </w:rPr>
        <w:t xml:space="preserve">a lack of transparency in the documentation of Performance Solutions. </w:t>
      </w:r>
    </w:p>
    <w:p w:rsidR="00FE37D3" w:rsidRPr="007F09C5" w:rsidRDefault="00FE37D3">
      <w:pPr>
        <w:spacing w:after="160"/>
        <w:rPr>
          <w:rFonts w:asciiTheme="minorHAnsi" w:hAnsiTheme="minorHAnsi" w:cstheme="minorHAnsi"/>
        </w:rPr>
      </w:pPr>
      <w:r w:rsidRPr="00B56CF8">
        <w:rPr>
          <w:rFonts w:asciiTheme="minorHAnsi" w:hAnsiTheme="minorHAnsi" w:cstheme="minorHAnsi"/>
        </w:rPr>
        <w:t>The hypothesis this RIS will consider is whether a change to the Governing Requirements of the NCC to require a consistent process for Performance Solutions will lead to improvements in building outcomes and confidence.</w:t>
      </w:r>
    </w:p>
    <w:p w:rsidR="00FE37D3" w:rsidRPr="00A12B96" w:rsidRDefault="00FE37D3" w:rsidP="004146D1">
      <w:pPr>
        <w:pStyle w:val="Heading2"/>
        <w:spacing w:before="240" w:after="120"/>
      </w:pPr>
      <w:bookmarkStart w:id="15" w:name="_Toc32229019"/>
      <w:bookmarkStart w:id="16" w:name="_Toc33098413"/>
      <w:bookmarkStart w:id="17" w:name="_Toc33098872"/>
      <w:r>
        <w:t xml:space="preserve">Clarity </w:t>
      </w:r>
      <w:r w:rsidR="001A43B1">
        <w:t>around</w:t>
      </w:r>
      <w:r>
        <w:t xml:space="preserve"> expectations in the development of a Performance Solution</w:t>
      </w:r>
      <w:bookmarkEnd w:id="15"/>
      <w:bookmarkEnd w:id="16"/>
      <w:bookmarkEnd w:id="17"/>
    </w:p>
    <w:p w:rsidR="00FE37D3" w:rsidRDefault="00FE37D3" w:rsidP="008B202B">
      <w:r w:rsidRPr="00BA010D">
        <w:t>Under an agreement between all levels of government</w:t>
      </w:r>
      <w:r>
        <w:t>,</w:t>
      </w:r>
      <w:r w:rsidRPr="00BA010D">
        <w:t xml:space="preserve"> the </w:t>
      </w:r>
      <w:r>
        <w:t xml:space="preserve">ABCB develops and maintains the </w:t>
      </w:r>
      <w:r w:rsidRPr="00BA010D">
        <w:t>NCC</w:t>
      </w:r>
      <w:r>
        <w:t>,</w:t>
      </w:r>
      <w:r w:rsidRPr="00BA010D">
        <w:t xml:space="preserve"> </w:t>
      </w:r>
      <w:r>
        <w:t xml:space="preserve">which </w:t>
      </w:r>
      <w:r w:rsidRPr="00BA010D">
        <w:t xml:space="preserve">is </w:t>
      </w:r>
      <w:r>
        <w:t xml:space="preserve">then </w:t>
      </w:r>
      <w:r w:rsidRPr="00BA010D">
        <w:t xml:space="preserve">adopted by states </w:t>
      </w:r>
      <w:r>
        <w:t xml:space="preserve">and territories </w:t>
      </w:r>
      <w:r w:rsidRPr="00BA010D">
        <w:t xml:space="preserve">into </w:t>
      </w:r>
      <w:r>
        <w:t xml:space="preserve">building </w:t>
      </w:r>
      <w:r w:rsidRPr="00BA010D">
        <w:t>regulation</w:t>
      </w:r>
      <w:r>
        <w:t xml:space="preserve"> under state or territory building Acts</w:t>
      </w:r>
      <w:r w:rsidRPr="00BA010D">
        <w:t xml:space="preserve">. </w:t>
      </w:r>
      <w:r>
        <w:t>In developing a Performance Solution both the Governing Requirements and the Performance Requirements must be met. The NCC contains Governing Requirements that generally describe the application of the NCC in five parts:</w:t>
      </w:r>
    </w:p>
    <w:p w:rsidR="00FE37D3" w:rsidRDefault="00FE37D3" w:rsidP="008B202B">
      <w:pPr>
        <w:pStyle w:val="ListBullet"/>
      </w:pPr>
      <w:r>
        <w:t xml:space="preserve">A1: Concepts and conventions that need to be taken into account; </w:t>
      </w:r>
    </w:p>
    <w:p w:rsidR="00FE37D3" w:rsidRDefault="00FE37D3" w:rsidP="008B202B">
      <w:pPr>
        <w:pStyle w:val="ListBullet"/>
      </w:pPr>
      <w:r>
        <w:t xml:space="preserve">A2: Methods of demonstrating compliance and the steps that must be taken under various pathways; </w:t>
      </w:r>
    </w:p>
    <w:p w:rsidR="00FE37D3" w:rsidRDefault="00FE37D3" w:rsidP="008B202B">
      <w:pPr>
        <w:pStyle w:val="ListBullet"/>
      </w:pPr>
      <w:r>
        <w:t xml:space="preserve">A3: Applying the NCC with state and territory legislation that can override the NCC; </w:t>
      </w:r>
    </w:p>
    <w:p w:rsidR="00FE37D3" w:rsidRDefault="00FE37D3" w:rsidP="008B202B">
      <w:pPr>
        <w:pStyle w:val="ListBullet"/>
      </w:pPr>
      <w:r>
        <w:lastRenderedPageBreak/>
        <w:t xml:space="preserve">A4: </w:t>
      </w:r>
      <w:r w:rsidR="001A43B1">
        <w:t xml:space="preserve">the scope and function of </w:t>
      </w:r>
      <w:r>
        <w:t>Referenced Documents; and</w:t>
      </w:r>
    </w:p>
    <w:p w:rsidR="00FE37D3" w:rsidRDefault="00FE37D3" w:rsidP="008B202B">
      <w:pPr>
        <w:pStyle w:val="ListBullet"/>
      </w:pPr>
      <w:r>
        <w:t xml:space="preserve">A5: Documentation and evidence required to show compliance with the NCC for a material, product, form of construction and design. </w:t>
      </w:r>
    </w:p>
    <w:p w:rsidR="00FE37D3" w:rsidRDefault="00FE37D3" w:rsidP="008B202B">
      <w:r>
        <w:t>A Performance Solution must be ‘</w:t>
      </w:r>
      <w:r w:rsidRPr="00223544">
        <w:t>shown to comply</w:t>
      </w:r>
      <w:r>
        <w:t>’ with the relevant Performance Requirements.</w:t>
      </w:r>
      <w:r w:rsidRPr="005E1DCB">
        <w:rPr>
          <w:rStyle w:val="FootnoteReference"/>
          <w:rFonts w:asciiTheme="minorHAnsi" w:hAnsiTheme="minorHAnsi" w:cstheme="minorHAnsi"/>
        </w:rPr>
        <w:footnoteReference w:id="22"/>
      </w:r>
      <w:r w:rsidRPr="005E1DCB">
        <w:rPr>
          <w:sz w:val="28"/>
        </w:rPr>
        <w:t xml:space="preserve"> </w:t>
      </w:r>
      <w:r>
        <w:t>The NCC details a combination of Assessment Methods including, Evidence of Suitability in accordance with A5 and comparison with the DTS Provisions or expert judgement. Evidence used must be appropriate to the use of the material, product, form of construction or design to which it relates, yet</w:t>
      </w:r>
      <w:r w:rsidRPr="00BA010D">
        <w:t xml:space="preserve"> </w:t>
      </w:r>
      <w:r>
        <w:t>documentation is reportedly poor.</w:t>
      </w:r>
      <w:r w:rsidRPr="005E1DCB">
        <w:rPr>
          <w:rStyle w:val="FootnoteReference"/>
          <w:rFonts w:asciiTheme="minorHAnsi" w:hAnsiTheme="minorHAnsi" w:cstheme="minorHAnsi"/>
          <w:szCs w:val="24"/>
        </w:rPr>
        <w:footnoteReference w:id="23"/>
      </w:r>
      <w:r w:rsidRPr="00B141DF">
        <w:rPr>
          <w:szCs w:val="24"/>
          <w:vertAlign w:val="superscript"/>
        </w:rPr>
        <w:t>,</w:t>
      </w:r>
      <w:r w:rsidRPr="005E1DCB">
        <w:rPr>
          <w:rStyle w:val="FootnoteReference"/>
          <w:rFonts w:asciiTheme="minorHAnsi" w:hAnsiTheme="minorHAnsi" w:cstheme="minorHAnsi"/>
          <w:szCs w:val="24"/>
        </w:rPr>
        <w:footnoteReference w:id="24"/>
      </w:r>
      <w:r w:rsidRPr="00B141DF">
        <w:rPr>
          <w:szCs w:val="24"/>
        </w:rPr>
        <w:t xml:space="preserve"> </w:t>
      </w:r>
      <w:r>
        <w:t>T</w:t>
      </w:r>
      <w:r w:rsidRPr="00BA010D">
        <w:t xml:space="preserve">he </w:t>
      </w:r>
      <w:r>
        <w:t>NCC’s Governing R</w:t>
      </w:r>
      <w:r w:rsidRPr="00BA010D">
        <w:t>equirements</w:t>
      </w:r>
      <w:r w:rsidR="007566FA">
        <w:t xml:space="preserve"> and most state and territory governments</w:t>
      </w:r>
      <w:r>
        <w:t xml:space="preserve"> do not mandate the process for </w:t>
      </w:r>
      <w:r w:rsidR="001A43B1">
        <w:t xml:space="preserve">the </w:t>
      </w:r>
      <w:r>
        <w:t xml:space="preserve">assessment of a </w:t>
      </w:r>
      <w:r w:rsidR="001A43B1">
        <w:t>Performance S</w:t>
      </w:r>
      <w:r>
        <w:t>olution. I</w:t>
      </w:r>
      <w:r w:rsidRPr="00BA010D">
        <w:t xml:space="preserve">n concept, a Performance Solution could be developed based on </w:t>
      </w:r>
      <w:r>
        <w:t>one individual’s expert judgement. T</w:t>
      </w:r>
      <w:r w:rsidRPr="00E3693C">
        <w:t xml:space="preserve">hese judgements and the level of competency required </w:t>
      </w:r>
      <w:r>
        <w:t>should</w:t>
      </w:r>
      <w:r w:rsidRPr="00E3693C">
        <w:t xml:space="preserve"> be commensurate with the complexity of the Performance Solution</w:t>
      </w:r>
      <w:r>
        <w:t>.</w:t>
      </w:r>
    </w:p>
    <w:p w:rsidR="00FE37D3" w:rsidRDefault="00FE37D3" w:rsidP="008B202B">
      <w:r>
        <w:t>Acceptance</w:t>
      </w:r>
      <w:r w:rsidR="001A43B1">
        <w:t xml:space="preserve"> of a Performance Solution</w:t>
      </w:r>
      <w:r>
        <w:t xml:space="preserve"> is the </w:t>
      </w:r>
      <w:r w:rsidR="007566FA">
        <w:t xml:space="preserve">role </w:t>
      </w:r>
      <w:r>
        <w:t>of the appropriate authority. However, r</w:t>
      </w:r>
      <w:r w:rsidRPr="00BA010D">
        <w:t>oles and re</w:t>
      </w:r>
      <w:r>
        <w:t xml:space="preserve">sponsibilities of parties involved in the building </w:t>
      </w:r>
      <w:r w:rsidR="007566FA">
        <w:t xml:space="preserve">approval, construction and certification </w:t>
      </w:r>
      <w:r>
        <w:t>process, are unique to each jurisdiction’s administrative system.</w:t>
      </w:r>
      <w:r w:rsidRPr="00BA010D">
        <w:t xml:space="preserve"> </w:t>
      </w:r>
      <w:r>
        <w:t xml:space="preserve">Some define roles to limit involvement of </w:t>
      </w:r>
      <w:r w:rsidRPr="00BA010D">
        <w:t>approval</w:t>
      </w:r>
      <w:r>
        <w:t xml:space="preserve"> authorities in the development of a solution.</w:t>
      </w:r>
      <w:r w:rsidRPr="00BA010D">
        <w:t xml:space="preserve"> </w:t>
      </w:r>
      <w:r>
        <w:t xml:space="preserve">Others require disclosure </w:t>
      </w:r>
      <w:r w:rsidRPr="00BA010D">
        <w:t>and document</w:t>
      </w:r>
      <w:r>
        <w:t>ation</w:t>
      </w:r>
      <w:r w:rsidRPr="00BA010D">
        <w:t xml:space="preserve"> </w:t>
      </w:r>
      <w:r>
        <w:t xml:space="preserve">for </w:t>
      </w:r>
      <w:r w:rsidRPr="00BA010D">
        <w:t xml:space="preserve">certain </w:t>
      </w:r>
      <w:r>
        <w:t xml:space="preserve">building classifications </w:t>
      </w:r>
      <w:r w:rsidRPr="00BA010D">
        <w:t xml:space="preserve">or topics such as fire safety or </w:t>
      </w:r>
      <w:r>
        <w:t>disability access.</w:t>
      </w:r>
      <w:r w:rsidRPr="005E1DCB">
        <w:rPr>
          <w:rStyle w:val="FootnoteReference"/>
          <w:rFonts w:asciiTheme="minorHAnsi" w:hAnsiTheme="minorHAnsi" w:cstheme="minorHAnsi"/>
        </w:rPr>
        <w:footnoteReference w:id="25"/>
      </w:r>
      <w:r w:rsidRPr="005E1DCB">
        <w:rPr>
          <w:sz w:val="28"/>
        </w:rPr>
        <w:t xml:space="preserve"> </w:t>
      </w:r>
    </w:p>
    <w:p w:rsidR="00FE37D3" w:rsidRDefault="00FE37D3" w:rsidP="008B202B">
      <w:r>
        <w:t>This arrangement gives rise to</w:t>
      </w:r>
      <w:r w:rsidRPr="00BA010D">
        <w:t xml:space="preserve"> </w:t>
      </w:r>
      <w:r>
        <w:t>the</w:t>
      </w:r>
      <w:r w:rsidRPr="00BA010D">
        <w:t xml:space="preserve"> </w:t>
      </w:r>
      <w:r>
        <w:t xml:space="preserve">potential for </w:t>
      </w:r>
      <w:r w:rsidRPr="00BA010D">
        <w:t>administrative overlap or gaps to exist be</w:t>
      </w:r>
      <w:r>
        <w:t>tween the intentions of performance-</w:t>
      </w:r>
      <w:r w:rsidRPr="00BA010D">
        <w:t>based code</w:t>
      </w:r>
      <w:r>
        <w:t>s</w:t>
      </w:r>
      <w:r w:rsidRPr="00BA010D">
        <w:t xml:space="preserve"> and </w:t>
      </w:r>
      <w:r>
        <w:t>their</w:t>
      </w:r>
      <w:r w:rsidRPr="00BA010D">
        <w:t xml:space="preserve"> enactment. </w:t>
      </w:r>
      <w:r>
        <w:t>The</w:t>
      </w:r>
      <w:r w:rsidRPr="00BA010D">
        <w:t xml:space="preserve"> </w:t>
      </w:r>
      <w:r>
        <w:t xml:space="preserve">potential for confusion </w:t>
      </w:r>
      <w:r w:rsidRPr="00BA010D">
        <w:t>of functions and roles under a performance-based framework were conceptually explored in a discussion paper in 1998 by the Inter-jurisdictional Regulatory Collaboration Committee</w:t>
      </w:r>
      <w:r>
        <w:t xml:space="preserve"> (IRCC)</w:t>
      </w:r>
      <w:r w:rsidRPr="00BA010D">
        <w:t xml:space="preserve">. Given the latitude for judgement, Performance Solutions require careful consideration both at design and approval.  This </w:t>
      </w:r>
      <w:r w:rsidRPr="00BA010D">
        <w:lastRenderedPageBreak/>
        <w:t xml:space="preserve">was underscored when discussing the subtle differences in design or use </w:t>
      </w:r>
      <w:r>
        <w:t>that</w:t>
      </w:r>
      <w:r w:rsidRPr="00BA010D">
        <w:t xml:space="preserve"> have a major influence over</w:t>
      </w:r>
      <w:r>
        <w:t xml:space="preserve"> fire safety.</w:t>
      </w:r>
      <w:r w:rsidRPr="005E1DCB">
        <w:rPr>
          <w:rStyle w:val="FootnoteReference"/>
          <w:rFonts w:asciiTheme="minorHAnsi" w:hAnsiTheme="minorHAnsi" w:cstheme="minorHAnsi"/>
        </w:rPr>
        <w:footnoteReference w:id="26"/>
      </w:r>
    </w:p>
    <w:p w:rsidR="00FE37D3" w:rsidRPr="00243B58" w:rsidRDefault="00FE37D3" w:rsidP="0045590D">
      <w:pPr>
        <w:pStyle w:val="NormalWeb"/>
        <w:spacing w:line="276" w:lineRule="auto"/>
        <w:ind w:left="720"/>
        <w:rPr>
          <w:rFonts w:asciiTheme="minorHAnsi" w:eastAsiaTheme="minorHAnsi" w:hAnsiTheme="minorHAnsi" w:cstheme="minorHAnsi"/>
          <w:lang w:eastAsia="en-US"/>
        </w:rPr>
      </w:pPr>
      <w:r w:rsidRPr="00243B58">
        <w:rPr>
          <w:rFonts w:asciiTheme="minorHAnsi" w:eastAsiaTheme="minorHAnsi" w:hAnsiTheme="minorHAnsi" w:cstheme="minorHAnsi"/>
          <w:i/>
          <w:lang w:eastAsia="en-US"/>
        </w:rPr>
        <w:t>‘The relationship between the acceptance criteria and the relevant Performance Requirements is often a matter of engineering judgement…can vary between practitioners and from project to project’.</w:t>
      </w:r>
      <w:r w:rsidRPr="00243B58">
        <w:rPr>
          <w:rFonts w:asciiTheme="minorHAnsi" w:eastAsiaTheme="minorHAnsi" w:hAnsiTheme="minorHAnsi" w:cstheme="minorHAnsi"/>
          <w:lang w:eastAsia="en-US"/>
        </w:rPr>
        <w:t xml:space="preserve"> </w:t>
      </w:r>
    </w:p>
    <w:p w:rsidR="00FE37D3" w:rsidRPr="00BA010D" w:rsidRDefault="00FE37D3" w:rsidP="008B202B">
      <w:r w:rsidRPr="00BA010D">
        <w:t xml:space="preserve">Such judgements are complex and </w:t>
      </w:r>
      <w:r>
        <w:t>in</w:t>
      </w:r>
      <w:r w:rsidRPr="00BA010D">
        <w:t xml:space="preserve"> effect require levels </w:t>
      </w:r>
      <w:r>
        <w:t xml:space="preserve">of </w:t>
      </w:r>
      <w:r w:rsidRPr="00BA010D">
        <w:t xml:space="preserve">rigour, analysis and competency of those </w:t>
      </w:r>
      <w:r w:rsidR="001A43B1">
        <w:t>developing</w:t>
      </w:r>
      <w:r w:rsidRPr="00BA010D">
        <w:t xml:space="preserve"> </w:t>
      </w:r>
      <w:r w:rsidR="001A43B1">
        <w:t>Performance S</w:t>
      </w:r>
      <w:r w:rsidRPr="00BA010D">
        <w:t xml:space="preserve">olutions. </w:t>
      </w:r>
    </w:p>
    <w:p w:rsidR="00FE37D3" w:rsidRPr="002C0AE8" w:rsidRDefault="00FE37D3" w:rsidP="008B202B">
      <w:pPr>
        <w:rPr>
          <w:sz w:val="20"/>
        </w:rPr>
      </w:pPr>
      <w:r>
        <w:t>Id</w:t>
      </w:r>
      <w:r w:rsidRPr="00BA010D">
        <w:t>entification of the risks to a building, the appropriate selection of calculation techniques (where available and required)</w:t>
      </w:r>
      <w:r w:rsidR="00F3655F">
        <w:t>,</w:t>
      </w:r>
      <w:r w:rsidRPr="00BA010D">
        <w:t xml:space="preserve"> scenarios to be tested and agreement between all parties</w:t>
      </w:r>
      <w:r>
        <w:t xml:space="preserve"> is a</w:t>
      </w:r>
      <w:r w:rsidRPr="00BA010D">
        <w:t xml:space="preserve"> fundamental issue. </w:t>
      </w:r>
      <w:r w:rsidRPr="008D3852">
        <w:t xml:space="preserve">The approval authority alone </w:t>
      </w:r>
      <w:r>
        <w:t>is</w:t>
      </w:r>
      <w:r w:rsidRPr="008D3852">
        <w:t xml:space="preserve"> u</w:t>
      </w:r>
      <w:r>
        <w:t xml:space="preserve">nable to address these </w:t>
      </w:r>
      <w:r w:rsidR="007566FA">
        <w:t>considerations</w:t>
      </w:r>
      <w:r w:rsidRPr="008D3852">
        <w:t>.</w:t>
      </w:r>
      <w:r w:rsidRPr="005E1DCB">
        <w:rPr>
          <w:rStyle w:val="FootnoteReference"/>
          <w:rFonts w:asciiTheme="minorHAnsi" w:hAnsiTheme="minorHAnsi" w:cstheme="minorHAnsi"/>
        </w:rPr>
        <w:footnoteReference w:id="27"/>
      </w:r>
      <w:r w:rsidRPr="00D86C77">
        <w:t xml:space="preserve"> </w:t>
      </w:r>
      <w:r w:rsidRPr="008D3852">
        <w:t xml:space="preserve"> </w:t>
      </w:r>
      <w:r>
        <w:t xml:space="preserve">For the </w:t>
      </w:r>
      <w:r w:rsidRPr="00BA010D">
        <w:t xml:space="preserve">development of </w:t>
      </w:r>
      <w:r>
        <w:t xml:space="preserve">fire-life-safety solutions, </w:t>
      </w:r>
      <w:r w:rsidR="007566FA">
        <w:t>these consideration</w:t>
      </w:r>
      <w:r w:rsidR="00276912">
        <w:t>s</w:t>
      </w:r>
      <w:r>
        <w:t xml:space="preserve"> w</w:t>
      </w:r>
      <w:r w:rsidR="00276912">
        <w:t>ere</w:t>
      </w:r>
      <w:r>
        <w:t xml:space="preserve"> proposed to be managed collaboratively</w:t>
      </w:r>
      <w:r w:rsidRPr="00BA010D">
        <w:t xml:space="preserve"> under a formalised design review and hazard assessment procedure or Fire Engineering Brief (FEB).</w:t>
      </w:r>
      <w:r w:rsidRPr="00D86C77">
        <w:t xml:space="preserve"> </w:t>
      </w:r>
      <w:r>
        <w:t>Now common practice for large or complex Performance Solutions, concerns have been raised that Performance Solutions</w:t>
      </w:r>
      <w:r w:rsidRPr="00BA010D">
        <w:t xml:space="preserve"> </w:t>
      </w:r>
      <w:r w:rsidRPr="00D86C77">
        <w:t xml:space="preserve">may </w:t>
      </w:r>
      <w:r>
        <w:t>still</w:t>
      </w:r>
      <w:r w:rsidRPr="00D86C77">
        <w:t xml:space="preserve"> </w:t>
      </w:r>
      <w:r w:rsidRPr="00BA010D">
        <w:t xml:space="preserve">not </w:t>
      </w:r>
      <w:r>
        <w:t xml:space="preserve">be </w:t>
      </w:r>
      <w:r w:rsidRPr="00BA010D">
        <w:t>subject to consultation and analysis commensurate with the complexity or risk</w:t>
      </w:r>
      <w:r>
        <w:t xml:space="preserve"> involved, particularly for small or simple Performance Solutions</w:t>
      </w:r>
      <w:r w:rsidRPr="00BA010D">
        <w:t xml:space="preserve">. </w:t>
      </w:r>
      <w:r w:rsidR="00D30E5D">
        <w:t>According to t</w:t>
      </w:r>
      <w:r>
        <w:t>he BCR</w:t>
      </w:r>
      <w:r w:rsidR="00D30E5D">
        <w:t>,</w:t>
      </w:r>
      <w:r>
        <w:t xml:space="preserve"> fire authorities </w:t>
      </w:r>
      <w:r w:rsidRPr="00BA010D">
        <w:t xml:space="preserve">have expressed clear concerns </w:t>
      </w:r>
      <w:r>
        <w:t>on behalf of brigades about their lack of involvement in the development of a Performance Solution for fire</w:t>
      </w:r>
      <w:r w:rsidRPr="00BA010D">
        <w:t xml:space="preserve">: </w:t>
      </w:r>
    </w:p>
    <w:p w:rsidR="00FE37D3" w:rsidRPr="00243B58" w:rsidRDefault="00FE37D3" w:rsidP="005F5CB4">
      <w:pPr>
        <w:pStyle w:val="NormalWeb"/>
        <w:spacing w:line="276" w:lineRule="auto"/>
        <w:ind w:left="720"/>
        <w:rPr>
          <w:rFonts w:asciiTheme="minorHAnsi" w:hAnsiTheme="minorHAnsi" w:cstheme="minorHAnsi"/>
          <w:i/>
          <w:szCs w:val="22"/>
        </w:rPr>
      </w:pPr>
      <w:r w:rsidRPr="00243B58">
        <w:rPr>
          <w:rFonts w:asciiTheme="minorHAnsi" w:hAnsiTheme="minorHAnsi" w:cstheme="minorHAnsi"/>
          <w:szCs w:val="22"/>
        </w:rPr>
        <w:t xml:space="preserve">“[if] </w:t>
      </w:r>
      <w:r w:rsidRPr="00243B58">
        <w:rPr>
          <w:rFonts w:asciiTheme="minorHAnsi" w:eastAsiaTheme="minorHAnsi" w:hAnsiTheme="minorHAnsi" w:cstheme="minorHAnsi"/>
          <w:i/>
          <w:szCs w:val="22"/>
          <w:lang w:eastAsia="en-US"/>
        </w:rPr>
        <w:t>IFEG was closely followed, the quality of fire engineering designs would improve and fire authorities would be consulted early on all designs involving Performance Solutions as part of the fire engineering design process. This would help fire authorities gain confidence in the capability of fire safety engineers to design acceptable fire safety solutions</w:t>
      </w:r>
      <w:r w:rsidRPr="00243B58">
        <w:rPr>
          <w:rFonts w:asciiTheme="minorHAnsi" w:hAnsiTheme="minorHAnsi" w:cstheme="minorHAnsi"/>
          <w:i/>
          <w:szCs w:val="22"/>
        </w:rPr>
        <w:t xml:space="preserve">”. </w:t>
      </w:r>
    </w:p>
    <w:p w:rsidR="00FE37D3" w:rsidRPr="00BA010D" w:rsidRDefault="00FE37D3" w:rsidP="008B202B">
      <w:r w:rsidRPr="00BA010D">
        <w:t>This lack of confidence appears to be with regard to</w:t>
      </w:r>
      <w:r>
        <w:t xml:space="preserve"> both</w:t>
      </w:r>
      <w:r w:rsidRPr="00BA010D">
        <w:t xml:space="preserve"> the process followed and </w:t>
      </w:r>
      <w:r>
        <w:t xml:space="preserve">the </w:t>
      </w:r>
      <w:r w:rsidRPr="00BA010D">
        <w:t xml:space="preserve">capability of a practitioner. </w:t>
      </w:r>
    </w:p>
    <w:p w:rsidR="00FE37D3" w:rsidRDefault="00FE37D3" w:rsidP="00724D77">
      <w:pPr>
        <w:pStyle w:val="Heading2"/>
      </w:pPr>
      <w:bookmarkStart w:id="18" w:name="_Toc32229020"/>
      <w:bookmarkStart w:id="19" w:name="_Toc33098414"/>
      <w:bookmarkStart w:id="20" w:name="_Toc33098873"/>
      <w:r>
        <w:lastRenderedPageBreak/>
        <w:t>Transparency and Documentation</w:t>
      </w:r>
      <w:bookmarkEnd w:id="18"/>
      <w:bookmarkEnd w:id="19"/>
      <w:bookmarkEnd w:id="20"/>
    </w:p>
    <w:p w:rsidR="00FE37D3" w:rsidRPr="00BA010D" w:rsidRDefault="00FE37D3" w:rsidP="008D3852">
      <w:pPr>
        <w:rPr>
          <w:rFonts w:asciiTheme="minorHAnsi" w:hAnsiTheme="minorHAnsi" w:cstheme="minorHAnsi"/>
        </w:rPr>
      </w:pPr>
      <w:r w:rsidRPr="00BA010D">
        <w:rPr>
          <w:rFonts w:asciiTheme="minorHAnsi" w:hAnsiTheme="minorHAnsi" w:cstheme="minorHAnsi"/>
        </w:rPr>
        <w:t>The</w:t>
      </w:r>
      <w:r>
        <w:rPr>
          <w:rFonts w:asciiTheme="minorHAnsi" w:hAnsiTheme="minorHAnsi" w:cstheme="minorHAnsi"/>
        </w:rPr>
        <w:t xml:space="preserve"> BCR</w:t>
      </w:r>
      <w:r w:rsidRPr="00BA010D">
        <w:rPr>
          <w:rFonts w:asciiTheme="minorHAnsi" w:hAnsiTheme="minorHAnsi" w:cstheme="minorHAnsi"/>
        </w:rPr>
        <w:t xml:space="preserve"> </w:t>
      </w:r>
      <w:r w:rsidR="00CD2AB9">
        <w:rPr>
          <w:rFonts w:asciiTheme="minorHAnsi" w:hAnsiTheme="minorHAnsi" w:cstheme="minorHAnsi"/>
        </w:rPr>
        <w:t>notes</w:t>
      </w:r>
      <w:r w:rsidRPr="00BA010D">
        <w:rPr>
          <w:rFonts w:asciiTheme="minorHAnsi" w:hAnsiTheme="minorHAnsi" w:cstheme="minorHAnsi"/>
        </w:rPr>
        <w:t xml:space="preserve"> that fundamental </w:t>
      </w:r>
      <w:r>
        <w:rPr>
          <w:rFonts w:asciiTheme="minorHAnsi" w:hAnsiTheme="minorHAnsi" w:cstheme="minorHAnsi"/>
        </w:rPr>
        <w:t>to</w:t>
      </w:r>
      <w:r w:rsidRPr="00BA010D">
        <w:rPr>
          <w:rFonts w:asciiTheme="minorHAnsi" w:hAnsiTheme="minorHAnsi" w:cstheme="minorHAnsi"/>
        </w:rPr>
        <w:t xml:space="preserve"> a performance-based approach to building regulation </w:t>
      </w:r>
      <w:r>
        <w:rPr>
          <w:rFonts w:asciiTheme="minorHAnsi" w:hAnsiTheme="minorHAnsi" w:cstheme="minorHAnsi"/>
        </w:rPr>
        <w:t>producing</w:t>
      </w:r>
      <w:r w:rsidRPr="00BA010D">
        <w:rPr>
          <w:rFonts w:asciiTheme="minorHAnsi" w:hAnsiTheme="minorHAnsi" w:cstheme="minorHAnsi"/>
        </w:rPr>
        <w:t xml:space="preserve"> benefits</w:t>
      </w:r>
      <w:r>
        <w:rPr>
          <w:rFonts w:asciiTheme="minorHAnsi" w:hAnsiTheme="minorHAnsi" w:cstheme="minorHAnsi"/>
        </w:rPr>
        <w:t xml:space="preserve"> is</w:t>
      </w:r>
      <w:r w:rsidRPr="00BA010D">
        <w:rPr>
          <w:rFonts w:asciiTheme="minorHAnsi" w:hAnsiTheme="minorHAnsi" w:cstheme="minorHAnsi"/>
        </w:rPr>
        <w:t>:</w:t>
      </w:r>
    </w:p>
    <w:p w:rsidR="00FE37D3" w:rsidRPr="00243B58" w:rsidRDefault="00FE37D3" w:rsidP="008D3852">
      <w:pPr>
        <w:pStyle w:val="NormalWeb"/>
        <w:ind w:left="720"/>
        <w:rPr>
          <w:rFonts w:asciiTheme="minorHAnsi" w:hAnsiTheme="minorHAnsi" w:cstheme="minorHAnsi"/>
          <w:i/>
          <w:szCs w:val="22"/>
        </w:rPr>
      </w:pPr>
      <w:r w:rsidRPr="00243B58">
        <w:rPr>
          <w:rFonts w:asciiTheme="minorHAnsi" w:hAnsiTheme="minorHAnsi" w:cstheme="minorHAnsi"/>
          <w:i/>
          <w:szCs w:val="22"/>
        </w:rPr>
        <w:t xml:space="preserve">“… a high level of awareness and understanding across the building and construction industry of how compliance can be achieved by incorporating the Performance Requirements within the design process. Second, there needs to be strong public trust that the Performance Requirements are being met and, in particular, that health and safety is assured.” </w:t>
      </w:r>
      <w:r w:rsidRPr="00243B58">
        <w:rPr>
          <w:rStyle w:val="FootnoteReference"/>
          <w:rFonts w:asciiTheme="minorHAnsi" w:hAnsiTheme="minorHAnsi" w:cstheme="minorHAnsi"/>
          <w:i/>
          <w:szCs w:val="22"/>
        </w:rPr>
        <w:footnoteReference w:id="28"/>
      </w:r>
      <w:r w:rsidRPr="00243B58">
        <w:rPr>
          <w:rFonts w:asciiTheme="minorHAnsi" w:hAnsiTheme="minorHAnsi" w:cstheme="minorHAnsi"/>
          <w:i/>
          <w:szCs w:val="22"/>
        </w:rPr>
        <w:t xml:space="preserve"> </w:t>
      </w:r>
    </w:p>
    <w:p w:rsidR="00FE37D3" w:rsidRPr="00B56CF8" w:rsidRDefault="00FE37D3" w:rsidP="008B202B">
      <w:r w:rsidRPr="00B56CF8">
        <w:t xml:space="preserve">It concludes that neither of these requirements are presently being fully met. Undermining public trust is </w:t>
      </w:r>
      <w:r w:rsidR="00CD2AB9">
        <w:t>the</w:t>
      </w:r>
      <w:r w:rsidRPr="00B56CF8">
        <w:t xml:space="preserve"> lack of transparency in decision making and record keeping. Attempts to audit buildings have revealed</w:t>
      </w:r>
      <w:r w:rsidR="00CD2AB9">
        <w:t xml:space="preserve"> that</w:t>
      </w:r>
      <w:r w:rsidRPr="00B56CF8">
        <w:t xml:space="preserve"> ‘as constructed’ documentation </w:t>
      </w:r>
      <w:r w:rsidR="00CD2AB9">
        <w:t>is often</w:t>
      </w:r>
      <w:r w:rsidRPr="00B56CF8">
        <w:t xml:space="preserve"> not available or accurate.</w:t>
      </w:r>
      <w:r w:rsidRPr="00B56CF8">
        <w:rPr>
          <w:rStyle w:val="FootnoteReference"/>
          <w:rFonts w:asciiTheme="minorHAnsi" w:hAnsiTheme="minorHAnsi" w:cstheme="minorHAnsi"/>
        </w:rPr>
        <w:footnoteReference w:id="29"/>
      </w:r>
      <w:r w:rsidRPr="00B56CF8">
        <w:rPr>
          <w:sz w:val="28"/>
        </w:rPr>
        <w:t xml:space="preserve"> </w:t>
      </w:r>
    </w:p>
    <w:p w:rsidR="00FE37D3" w:rsidRDefault="00FE37D3" w:rsidP="008B202B">
      <w:r w:rsidRPr="00B56CF8">
        <w:t>Two of the recommendations of the BCR single out Performance Solutions for the lack of adequate processes and documentation required. The BCR suggests that this is resulting in buildings not achieving compliance with the NCC’s Performance Requirements, as well as not providing transparency and accountability for decisions.</w:t>
      </w:r>
    </w:p>
    <w:p w:rsidR="00FE37D3" w:rsidRPr="00BA010D" w:rsidRDefault="00FE37D3" w:rsidP="008B202B">
      <w:r>
        <w:t>The BCR suggests c</w:t>
      </w:r>
      <w:r w:rsidRPr="00BA010D">
        <w:t xml:space="preserve">onfidence in outcomes can clearly only be achieved where there is an effective disclosure regime and </w:t>
      </w:r>
      <w:r w:rsidR="00CD2AB9">
        <w:t xml:space="preserve">when </w:t>
      </w:r>
      <w:r w:rsidRPr="00BA010D">
        <w:t>scrutiny is central to public accountability</w:t>
      </w:r>
      <w:r>
        <w:t>:</w:t>
      </w:r>
      <w:r w:rsidRPr="00BA010D">
        <w:t xml:space="preserve"> </w:t>
      </w:r>
    </w:p>
    <w:p w:rsidR="00FE37D3" w:rsidRPr="00243B58" w:rsidRDefault="00FE37D3" w:rsidP="00BA010D">
      <w:pPr>
        <w:pStyle w:val="NormalWeb"/>
        <w:spacing w:line="276" w:lineRule="auto"/>
        <w:ind w:left="720"/>
        <w:rPr>
          <w:rFonts w:asciiTheme="minorHAnsi" w:eastAsiaTheme="minorHAnsi" w:hAnsiTheme="minorHAnsi" w:cstheme="minorHAnsi"/>
          <w:i/>
          <w:szCs w:val="22"/>
          <w:lang w:eastAsia="en-US"/>
        </w:rPr>
      </w:pPr>
      <w:r>
        <w:rPr>
          <w:rFonts w:asciiTheme="minorHAnsi" w:eastAsiaTheme="minorHAnsi" w:hAnsiTheme="minorHAnsi" w:cstheme="minorHAnsi"/>
          <w:i/>
          <w:szCs w:val="22"/>
          <w:lang w:eastAsia="en-US"/>
        </w:rPr>
        <w:t>“</w:t>
      </w:r>
      <w:r w:rsidRPr="00243B58">
        <w:rPr>
          <w:rFonts w:asciiTheme="minorHAnsi" w:eastAsiaTheme="minorHAnsi" w:hAnsiTheme="minorHAnsi" w:cstheme="minorHAnsi"/>
          <w:i/>
          <w:szCs w:val="22"/>
          <w:lang w:eastAsia="en-US"/>
        </w:rPr>
        <w:t>It is widely reported that the standard of documentation supporting Performance Solutions is poor. There is a lack of basic information on matters such as the relevant Performance Requirements and the Assessment Methods applied.</w:t>
      </w:r>
      <w:r>
        <w:rPr>
          <w:rFonts w:asciiTheme="minorHAnsi" w:eastAsiaTheme="minorHAnsi" w:hAnsiTheme="minorHAnsi" w:cstheme="minorHAnsi"/>
          <w:i/>
          <w:szCs w:val="22"/>
          <w:lang w:eastAsia="en-US"/>
        </w:rPr>
        <w:t>”</w:t>
      </w:r>
    </w:p>
    <w:p w:rsidR="00FE37D3" w:rsidRPr="00BA010D" w:rsidRDefault="00FE37D3" w:rsidP="008B202B">
      <w:r>
        <w:t>The BCR also</w:t>
      </w:r>
      <w:r w:rsidRPr="00BA010D">
        <w:t xml:space="preserve"> state</w:t>
      </w:r>
      <w:r>
        <w:t>s</w:t>
      </w:r>
      <w:r w:rsidRPr="00BA010D">
        <w:t xml:space="preserve">: </w:t>
      </w:r>
    </w:p>
    <w:p w:rsidR="00FE37D3" w:rsidRPr="00243B58" w:rsidRDefault="00FE37D3" w:rsidP="00BA010D">
      <w:pPr>
        <w:pStyle w:val="NormalWeb"/>
        <w:ind w:left="720"/>
        <w:rPr>
          <w:rFonts w:asciiTheme="minorHAnsi" w:hAnsiTheme="minorHAnsi" w:cstheme="minorHAnsi"/>
          <w:i/>
          <w:szCs w:val="22"/>
        </w:rPr>
      </w:pPr>
      <w:r>
        <w:rPr>
          <w:rFonts w:asciiTheme="minorHAnsi" w:hAnsiTheme="minorHAnsi" w:cstheme="minorHAnsi"/>
          <w:i/>
          <w:szCs w:val="22"/>
        </w:rPr>
        <w:t>“</w:t>
      </w:r>
      <w:r w:rsidRPr="00243B58">
        <w:rPr>
          <w:rFonts w:asciiTheme="minorHAnsi" w:hAnsiTheme="minorHAnsi" w:cstheme="minorHAnsi"/>
          <w:i/>
          <w:szCs w:val="22"/>
        </w:rPr>
        <w:t xml:space="preserve">Confidence in the NCC requires an effective disclosure regime… Decisions made during the design and construction of a building need to become an accessible record. Scrutiny is vital to public accountability. Those responsible </w:t>
      </w:r>
      <w:r w:rsidRPr="00243B58">
        <w:rPr>
          <w:rFonts w:asciiTheme="minorHAnsi" w:hAnsiTheme="minorHAnsi" w:cstheme="minorHAnsi"/>
          <w:i/>
          <w:szCs w:val="22"/>
        </w:rPr>
        <w:lastRenderedPageBreak/>
        <w:t>for making and certifying decisions under the NCC need to be identified so that they can be held accountable for their decisions.</w:t>
      </w:r>
      <w:r>
        <w:rPr>
          <w:rFonts w:asciiTheme="minorHAnsi" w:hAnsiTheme="minorHAnsi" w:cstheme="minorHAnsi"/>
          <w:i/>
          <w:szCs w:val="22"/>
        </w:rPr>
        <w:t>”</w:t>
      </w:r>
    </w:p>
    <w:p w:rsidR="00FE37D3" w:rsidRPr="007209E7" w:rsidRDefault="00FE37D3" w:rsidP="00BA010D">
      <w:pPr>
        <w:rPr>
          <w:rFonts w:asciiTheme="minorHAnsi" w:hAnsiTheme="minorHAnsi" w:cstheme="minorHAnsi"/>
        </w:rPr>
      </w:pPr>
      <w:r w:rsidRPr="007209E7">
        <w:rPr>
          <w:rFonts w:asciiTheme="minorHAnsi" w:hAnsiTheme="minorHAnsi" w:cstheme="minorHAnsi"/>
        </w:rPr>
        <w:t>The BCR was published in 2018 and involved widespread consultation with government and industry. The recommendations have since been supported by all governments and key industry stakeholders.</w:t>
      </w:r>
      <w:r w:rsidRPr="007209E7">
        <w:rPr>
          <w:rStyle w:val="FootnoteReference"/>
          <w:rFonts w:asciiTheme="minorHAnsi" w:hAnsiTheme="minorHAnsi" w:cstheme="minorHAnsi"/>
        </w:rPr>
        <w:footnoteReference w:id="30"/>
      </w:r>
      <w:r w:rsidRPr="007209E7">
        <w:rPr>
          <w:rFonts w:asciiTheme="minorHAnsi" w:hAnsiTheme="minorHAnsi" w:cstheme="minorHAnsi"/>
        </w:rPr>
        <w:t xml:space="preserve"> </w:t>
      </w:r>
    </w:p>
    <w:p w:rsidR="00FE37D3" w:rsidRPr="00BA010D" w:rsidRDefault="00FE37D3" w:rsidP="00BA010D">
      <w:pPr>
        <w:rPr>
          <w:rFonts w:asciiTheme="minorHAnsi" w:hAnsiTheme="minorHAnsi" w:cstheme="minorHAnsi"/>
        </w:rPr>
      </w:pPr>
      <w:r w:rsidRPr="00191254">
        <w:rPr>
          <w:rFonts w:asciiTheme="minorHAnsi" w:hAnsiTheme="minorHAnsi" w:cstheme="minorHAnsi"/>
        </w:rPr>
        <w:t xml:space="preserve">A number of state government reviews of regulatory systems have delivered similar findings that </w:t>
      </w:r>
      <w:r w:rsidRPr="00B56CF8">
        <w:rPr>
          <w:rFonts w:asciiTheme="minorHAnsi" w:hAnsiTheme="minorHAnsi" w:cstheme="minorHAnsi"/>
        </w:rPr>
        <w:t>support the shortcomings.</w:t>
      </w:r>
      <w:r w:rsidRPr="007209E7">
        <w:rPr>
          <w:rStyle w:val="FootnoteReference"/>
          <w:rFonts w:asciiTheme="minorHAnsi" w:hAnsiTheme="minorHAnsi" w:cstheme="minorHAnsi"/>
        </w:rPr>
        <w:footnoteReference w:id="31"/>
      </w:r>
      <w:r w:rsidRPr="007209E7">
        <w:rPr>
          <w:rFonts w:asciiTheme="minorHAnsi" w:hAnsiTheme="minorHAnsi" w:cstheme="minorHAnsi"/>
        </w:rPr>
        <w:t xml:space="preserve"> A summary of those that reflect the intent of improved documentation</w:t>
      </w:r>
      <w:r w:rsidRPr="00191254">
        <w:rPr>
          <w:rFonts w:asciiTheme="minorHAnsi" w:hAnsiTheme="minorHAnsi" w:cstheme="minorHAnsi"/>
        </w:rPr>
        <w:t xml:space="preserve"> (Recommendation 14) include:</w:t>
      </w:r>
    </w:p>
    <w:p w:rsidR="00FE37D3" w:rsidRPr="00BA010D" w:rsidRDefault="00FE37D3" w:rsidP="00FF3BDF">
      <w:pPr>
        <w:pStyle w:val="ListParagraph"/>
        <w:numPr>
          <w:ilvl w:val="0"/>
          <w:numId w:val="6"/>
        </w:numPr>
        <w:ind w:left="426" w:hanging="426"/>
        <w:rPr>
          <w:rFonts w:asciiTheme="minorHAnsi" w:hAnsiTheme="minorHAnsi" w:cstheme="minorHAnsi"/>
        </w:rPr>
      </w:pPr>
      <w:r w:rsidRPr="007F09C5">
        <w:rPr>
          <w:rFonts w:asciiTheme="minorHAnsi" w:hAnsiTheme="minorHAnsi" w:cstheme="minorHAnsi"/>
        </w:rPr>
        <w:t>Queensland</w:t>
      </w:r>
      <w:r>
        <w:rPr>
          <w:rFonts w:asciiTheme="minorHAnsi" w:hAnsiTheme="minorHAnsi" w:cstheme="minorHAnsi"/>
          <w:i/>
        </w:rPr>
        <w:t xml:space="preserve"> – </w:t>
      </w:r>
      <w:r w:rsidRPr="00BA010D">
        <w:rPr>
          <w:rFonts w:asciiTheme="minorHAnsi" w:hAnsiTheme="minorHAnsi" w:cstheme="minorHAnsi"/>
          <w:i/>
        </w:rPr>
        <w:t>‘A minimum standard of design documentation should be established’</w:t>
      </w:r>
      <w:r w:rsidRPr="00BA010D">
        <w:rPr>
          <w:rFonts w:asciiTheme="minorHAnsi" w:hAnsiTheme="minorHAnsi" w:cstheme="minorHAnsi"/>
        </w:rPr>
        <w:t xml:space="preserve"> (Wallace </w:t>
      </w:r>
      <w:r>
        <w:rPr>
          <w:rFonts w:asciiTheme="minorHAnsi" w:hAnsiTheme="minorHAnsi" w:cstheme="minorHAnsi"/>
        </w:rPr>
        <w:t>R</w:t>
      </w:r>
      <w:r w:rsidRPr="00BA010D">
        <w:rPr>
          <w:rFonts w:asciiTheme="minorHAnsi" w:hAnsiTheme="minorHAnsi" w:cstheme="minorHAnsi"/>
        </w:rPr>
        <w:t>eview</w:t>
      </w:r>
      <w:r>
        <w:rPr>
          <w:rFonts w:asciiTheme="minorHAnsi" w:hAnsiTheme="minorHAnsi" w:cstheme="minorHAnsi"/>
        </w:rPr>
        <w:t xml:space="preserve"> -</w:t>
      </w:r>
      <w:r w:rsidRPr="00BA010D">
        <w:rPr>
          <w:rFonts w:asciiTheme="minorHAnsi" w:hAnsiTheme="minorHAnsi" w:cstheme="minorHAnsi"/>
        </w:rPr>
        <w:t xml:space="preserve"> Recommendation 105)</w:t>
      </w:r>
      <w:r>
        <w:rPr>
          <w:rFonts w:asciiTheme="minorHAnsi" w:hAnsiTheme="minorHAnsi" w:cstheme="minorHAnsi"/>
        </w:rPr>
        <w:t>.</w:t>
      </w:r>
      <w:r w:rsidRPr="00BA010D">
        <w:rPr>
          <w:rStyle w:val="FootnoteReference"/>
          <w:rFonts w:asciiTheme="minorHAnsi" w:hAnsiTheme="minorHAnsi" w:cstheme="minorHAnsi"/>
        </w:rPr>
        <w:footnoteReference w:id="32"/>
      </w:r>
      <w:r w:rsidRPr="00BA010D">
        <w:rPr>
          <w:rFonts w:asciiTheme="minorHAnsi" w:hAnsiTheme="minorHAnsi" w:cstheme="minorHAnsi"/>
        </w:rPr>
        <w:t xml:space="preserve"> </w:t>
      </w:r>
    </w:p>
    <w:p w:rsidR="00FE37D3" w:rsidRPr="00BA010D" w:rsidRDefault="00FE37D3" w:rsidP="00FF3BDF">
      <w:pPr>
        <w:pStyle w:val="ListParagraph"/>
        <w:numPr>
          <w:ilvl w:val="0"/>
          <w:numId w:val="6"/>
        </w:numPr>
        <w:ind w:left="426" w:hanging="426"/>
        <w:rPr>
          <w:rFonts w:asciiTheme="minorHAnsi" w:hAnsiTheme="minorHAnsi" w:cstheme="minorHAnsi"/>
          <w:i/>
          <w:iCs/>
        </w:rPr>
      </w:pPr>
      <w:r>
        <w:rPr>
          <w:rFonts w:asciiTheme="minorHAnsi" w:hAnsiTheme="minorHAnsi" w:cstheme="minorHAnsi"/>
        </w:rPr>
        <w:t xml:space="preserve">NSW – </w:t>
      </w:r>
      <w:r w:rsidRPr="00BA010D">
        <w:rPr>
          <w:rFonts w:asciiTheme="minorHAnsi" w:hAnsiTheme="minorHAnsi" w:cstheme="minorHAnsi"/>
        </w:rPr>
        <w:t>‘</w:t>
      </w:r>
      <w:r w:rsidRPr="00BA010D">
        <w:rPr>
          <w:rFonts w:asciiTheme="minorHAnsi" w:hAnsiTheme="minorHAnsi" w:cstheme="minorHAnsi"/>
          <w:i/>
          <w:iCs/>
        </w:rPr>
        <w:t xml:space="preserve">Standardised report requirements be developed for all classes of alternative solutions’ </w:t>
      </w:r>
      <w:r w:rsidRPr="007F09C5">
        <w:rPr>
          <w:rFonts w:asciiTheme="minorHAnsi" w:hAnsiTheme="minorHAnsi" w:cstheme="minorHAnsi"/>
          <w:iCs/>
        </w:rPr>
        <w:t>(</w:t>
      </w:r>
      <w:r w:rsidRPr="004D75D9">
        <w:rPr>
          <w:rFonts w:asciiTheme="minorHAnsi" w:hAnsiTheme="minorHAnsi" w:cstheme="minorHAnsi"/>
          <w:iCs/>
        </w:rPr>
        <w:t>Lambert Review</w:t>
      </w:r>
      <w:r>
        <w:rPr>
          <w:rFonts w:asciiTheme="minorHAnsi" w:hAnsiTheme="minorHAnsi" w:cstheme="minorHAnsi"/>
          <w:i/>
          <w:iCs/>
        </w:rPr>
        <w:t xml:space="preserve"> - </w:t>
      </w:r>
      <w:r w:rsidRPr="00BA010D">
        <w:rPr>
          <w:rFonts w:asciiTheme="minorHAnsi" w:hAnsiTheme="minorHAnsi" w:cstheme="minorHAnsi"/>
          <w:iCs/>
        </w:rPr>
        <w:t>Recommendation 6.2.6)</w:t>
      </w:r>
      <w:r>
        <w:rPr>
          <w:rFonts w:asciiTheme="minorHAnsi" w:hAnsiTheme="minorHAnsi" w:cstheme="minorHAnsi"/>
          <w:iCs/>
        </w:rPr>
        <w:t>.</w:t>
      </w:r>
      <w:r w:rsidRPr="00BA010D">
        <w:rPr>
          <w:rStyle w:val="FootnoteReference"/>
          <w:rFonts w:asciiTheme="minorHAnsi" w:hAnsiTheme="minorHAnsi" w:cstheme="minorHAnsi"/>
        </w:rPr>
        <w:footnoteReference w:id="33"/>
      </w:r>
    </w:p>
    <w:p w:rsidR="00FE37D3" w:rsidRPr="00BA010D" w:rsidRDefault="00FE37D3" w:rsidP="00FF3BDF">
      <w:pPr>
        <w:pStyle w:val="ListParagraph"/>
        <w:numPr>
          <w:ilvl w:val="0"/>
          <w:numId w:val="6"/>
        </w:numPr>
        <w:ind w:left="426" w:hanging="426"/>
        <w:rPr>
          <w:rFonts w:asciiTheme="minorHAnsi" w:hAnsiTheme="minorHAnsi" w:cstheme="minorHAnsi"/>
          <w:i/>
          <w:iCs/>
        </w:rPr>
      </w:pPr>
      <w:r w:rsidRPr="007F09C5">
        <w:rPr>
          <w:rFonts w:asciiTheme="minorHAnsi" w:hAnsiTheme="minorHAnsi" w:cstheme="minorHAnsi"/>
          <w:iCs/>
        </w:rPr>
        <w:t>Victoria –</w:t>
      </w:r>
      <w:r>
        <w:rPr>
          <w:rFonts w:asciiTheme="minorHAnsi" w:hAnsiTheme="minorHAnsi" w:cstheme="minorHAnsi"/>
          <w:i/>
          <w:iCs/>
        </w:rPr>
        <w:t xml:space="preserve"> </w:t>
      </w:r>
      <w:r w:rsidRPr="00BA010D">
        <w:rPr>
          <w:rFonts w:asciiTheme="minorHAnsi" w:hAnsiTheme="minorHAnsi" w:cstheme="minorHAnsi"/>
          <w:i/>
          <w:iCs/>
        </w:rPr>
        <w:t>‘</w:t>
      </w:r>
      <w:r w:rsidRPr="007209E7">
        <w:rPr>
          <w:rFonts w:asciiTheme="minorHAnsi" w:hAnsiTheme="minorHAnsi" w:cstheme="minorHAnsi"/>
          <w:i/>
          <w:iCs/>
        </w:rPr>
        <w:t>There was inadequate information for 96 per cent of the 401 permits</w:t>
      </w:r>
      <w:r w:rsidRPr="00BA010D">
        <w:rPr>
          <w:rFonts w:asciiTheme="minorHAnsi" w:hAnsiTheme="minorHAnsi" w:cstheme="minorHAnsi"/>
          <w:i/>
          <w:iCs/>
        </w:rPr>
        <w:t xml:space="preserve"> reviewed to demonstrate compliance with critical provisions of the Act, the regulations and the BCA.’</w:t>
      </w:r>
      <w:r w:rsidRPr="00BA010D">
        <w:rPr>
          <w:rStyle w:val="FootnoteTextChar"/>
          <w:rFonts w:asciiTheme="minorHAnsi" w:hAnsiTheme="minorHAnsi" w:cstheme="minorHAnsi"/>
        </w:rPr>
        <w:t xml:space="preserve"> </w:t>
      </w:r>
      <w:r w:rsidRPr="004D75D9">
        <w:t>(</w:t>
      </w:r>
      <w:r w:rsidRPr="004D75D9">
        <w:rPr>
          <w:rFonts w:asciiTheme="minorHAnsi" w:hAnsiTheme="minorHAnsi" w:cstheme="minorHAnsi"/>
        </w:rPr>
        <w:t>VAGO Report</w:t>
      </w:r>
      <w:r w:rsidRPr="004D75D9">
        <w:t>)</w:t>
      </w:r>
      <w:r>
        <w:rPr>
          <w:rFonts w:asciiTheme="minorHAnsi" w:hAnsiTheme="minorHAnsi" w:cstheme="minorHAnsi"/>
        </w:rPr>
        <w:t>.</w:t>
      </w:r>
      <w:r w:rsidRPr="00BA010D">
        <w:rPr>
          <w:rStyle w:val="FootnoteReference"/>
          <w:rFonts w:asciiTheme="minorHAnsi" w:hAnsiTheme="minorHAnsi" w:cstheme="minorHAnsi"/>
        </w:rPr>
        <w:footnoteReference w:id="34"/>
      </w:r>
    </w:p>
    <w:p w:rsidR="00FE37D3" w:rsidRPr="00BA010D" w:rsidRDefault="00FE37D3" w:rsidP="00BA010D">
      <w:pPr>
        <w:rPr>
          <w:rFonts w:asciiTheme="minorHAnsi" w:hAnsiTheme="minorHAnsi" w:cstheme="minorHAnsi"/>
          <w:i/>
          <w:iCs/>
        </w:rPr>
      </w:pPr>
      <w:r w:rsidRPr="00BA010D">
        <w:rPr>
          <w:rFonts w:asciiTheme="minorHAnsi" w:hAnsiTheme="minorHAnsi" w:cstheme="minorHAnsi"/>
        </w:rPr>
        <w:t>Those review recommendations</w:t>
      </w:r>
      <w:r w:rsidRPr="003419D1">
        <w:rPr>
          <w:rFonts w:asciiTheme="minorHAnsi" w:hAnsiTheme="minorHAnsi" w:cstheme="minorHAnsi"/>
          <w:vertAlign w:val="superscript"/>
        </w:rPr>
        <w:footnoteReference w:id="35"/>
      </w:r>
      <w:r>
        <w:rPr>
          <w:rFonts w:asciiTheme="minorHAnsi" w:hAnsiTheme="minorHAnsi" w:cstheme="minorHAnsi"/>
        </w:rPr>
        <w:t xml:space="preserve"> </w:t>
      </w:r>
      <w:r w:rsidRPr="00BA010D">
        <w:rPr>
          <w:rFonts w:asciiTheme="minorHAnsi" w:hAnsiTheme="minorHAnsi" w:cstheme="minorHAnsi"/>
        </w:rPr>
        <w:t>that relate to the process (</w:t>
      </w:r>
      <w:r>
        <w:rPr>
          <w:rFonts w:asciiTheme="minorHAnsi" w:hAnsiTheme="minorHAnsi" w:cstheme="minorHAnsi"/>
        </w:rPr>
        <w:t>R</w:t>
      </w:r>
      <w:r w:rsidRPr="00BA010D">
        <w:rPr>
          <w:rFonts w:asciiTheme="minorHAnsi" w:hAnsiTheme="minorHAnsi" w:cstheme="minorHAnsi"/>
        </w:rPr>
        <w:t xml:space="preserve">ecommendation </w:t>
      </w:r>
      <w:r w:rsidR="007566FA">
        <w:rPr>
          <w:rFonts w:asciiTheme="minorHAnsi" w:hAnsiTheme="minorHAnsi" w:cstheme="minorHAnsi"/>
        </w:rPr>
        <w:t>14</w:t>
      </w:r>
      <w:r w:rsidR="00740C7E">
        <w:rPr>
          <w:rFonts w:asciiTheme="minorHAnsi" w:hAnsiTheme="minorHAnsi" w:cstheme="minorHAnsi"/>
        </w:rPr>
        <w:t xml:space="preserve"> and 8</w:t>
      </w:r>
      <w:r w:rsidRPr="00BA010D">
        <w:rPr>
          <w:rFonts w:asciiTheme="minorHAnsi" w:hAnsiTheme="minorHAnsi" w:cstheme="minorHAnsi"/>
        </w:rPr>
        <w:t xml:space="preserve">) </w:t>
      </w:r>
      <w:r w:rsidRPr="00BA010D">
        <w:rPr>
          <w:rFonts w:asciiTheme="minorHAnsi" w:hAnsiTheme="minorHAnsi" w:cstheme="minorHAnsi"/>
          <w:iCs/>
        </w:rPr>
        <w:t>of developing fire safety Performance Solutions (</w:t>
      </w:r>
      <w:r>
        <w:rPr>
          <w:rFonts w:asciiTheme="minorHAnsi" w:hAnsiTheme="minorHAnsi" w:cstheme="minorHAnsi"/>
          <w:iCs/>
        </w:rPr>
        <w:t>a</w:t>
      </w:r>
      <w:r w:rsidRPr="00BA010D">
        <w:rPr>
          <w:rFonts w:asciiTheme="minorHAnsi" w:hAnsiTheme="minorHAnsi" w:cstheme="minorHAnsi"/>
          <w:iCs/>
        </w:rPr>
        <w:t xml:space="preserve">lternative </w:t>
      </w:r>
      <w:r>
        <w:rPr>
          <w:rFonts w:asciiTheme="minorHAnsi" w:hAnsiTheme="minorHAnsi" w:cstheme="minorHAnsi"/>
          <w:iCs/>
        </w:rPr>
        <w:t>s</w:t>
      </w:r>
      <w:r w:rsidRPr="00BA010D">
        <w:rPr>
          <w:rFonts w:asciiTheme="minorHAnsi" w:hAnsiTheme="minorHAnsi" w:cstheme="minorHAnsi"/>
          <w:iCs/>
        </w:rPr>
        <w:t>olutions) found</w:t>
      </w:r>
      <w:r>
        <w:rPr>
          <w:rFonts w:asciiTheme="minorHAnsi" w:hAnsiTheme="minorHAnsi" w:cstheme="minorHAnsi"/>
          <w:iCs/>
        </w:rPr>
        <w:t>:</w:t>
      </w:r>
    </w:p>
    <w:p w:rsidR="00FE37D3" w:rsidRPr="008B202B" w:rsidRDefault="00FE37D3" w:rsidP="008B202B">
      <w:pPr>
        <w:pStyle w:val="ListBullet"/>
        <w:rPr>
          <w:i/>
        </w:rPr>
      </w:pPr>
      <w:r w:rsidRPr="008B202B">
        <w:rPr>
          <w:i/>
        </w:rPr>
        <w:t xml:space="preserve">‘That properly qualified and experienced people are required in the design, installation and commissioning of fire safety alternative solutions.’ </w:t>
      </w:r>
    </w:p>
    <w:p w:rsidR="00FE37D3" w:rsidRPr="008B202B" w:rsidRDefault="00FE37D3" w:rsidP="008B202B">
      <w:pPr>
        <w:pStyle w:val="ListBullet"/>
        <w:rPr>
          <w:i/>
        </w:rPr>
      </w:pPr>
      <w:r w:rsidRPr="008B202B">
        <w:rPr>
          <w:i/>
        </w:rPr>
        <w:t xml:space="preserve">‘The potential impact of the failure to meet critical fire safety provisions can obviously be significant…There was also no evidence of approved alternative solutions needed to mitigate the issue identified in each case.’ </w:t>
      </w:r>
    </w:p>
    <w:p w:rsidR="00FE37D3" w:rsidRPr="0026534C" w:rsidRDefault="00FE37D3" w:rsidP="004146D1">
      <w:pPr>
        <w:pStyle w:val="ListBullet"/>
        <w:numPr>
          <w:ilvl w:val="0"/>
          <w:numId w:val="0"/>
        </w:numPr>
      </w:pPr>
      <w:r w:rsidRPr="0026534C">
        <w:lastRenderedPageBreak/>
        <w:t xml:space="preserve">The </w:t>
      </w:r>
      <w:r w:rsidR="006618F6">
        <w:t>Victorian</w:t>
      </w:r>
      <w:r w:rsidR="006618F6" w:rsidRPr="0026534C">
        <w:t xml:space="preserve"> </w:t>
      </w:r>
      <w:r w:rsidRPr="0026534C">
        <w:t>Building Commission</w:t>
      </w:r>
      <w:r w:rsidR="00CD2AB9">
        <w:t xml:space="preserve"> </w:t>
      </w:r>
      <w:r w:rsidRPr="0026534C">
        <w:t>(now the Victorian Building Authority), in consultation with stakeholders should:</w:t>
      </w:r>
    </w:p>
    <w:p w:rsidR="00FE37D3" w:rsidRPr="007F09C5" w:rsidRDefault="00FE37D3" w:rsidP="00AE22E1">
      <w:pPr>
        <w:pStyle w:val="ListBullet20"/>
        <w:numPr>
          <w:ilvl w:val="0"/>
          <w:numId w:val="25"/>
        </w:numPr>
        <w:spacing w:after="240"/>
        <w:ind w:left="357" w:hanging="357"/>
        <w:rPr>
          <w:rFonts w:asciiTheme="minorHAnsi" w:hAnsiTheme="minorHAnsi" w:cstheme="minorHAnsi"/>
          <w:i/>
          <w:iCs/>
        </w:rPr>
      </w:pPr>
      <w:r w:rsidRPr="00AB283E">
        <w:rPr>
          <w:i/>
        </w:rPr>
        <w:t xml:space="preserve">develop standard templates and procedures to require building surveyors to adequately document their assessment approach and basis of their decisions; and, </w:t>
      </w:r>
    </w:p>
    <w:p w:rsidR="00FE37D3" w:rsidRPr="00AB283E" w:rsidRDefault="00FE37D3" w:rsidP="00AE22E1">
      <w:pPr>
        <w:pStyle w:val="ListBullet20"/>
        <w:numPr>
          <w:ilvl w:val="0"/>
          <w:numId w:val="25"/>
        </w:numPr>
        <w:spacing w:after="240"/>
        <w:ind w:left="357" w:hanging="357"/>
        <w:rPr>
          <w:rFonts w:asciiTheme="minorHAnsi" w:hAnsiTheme="minorHAnsi" w:cstheme="minorHAnsi"/>
          <w:i/>
          <w:iCs/>
        </w:rPr>
      </w:pPr>
      <w:r w:rsidRPr="00AB283E">
        <w:rPr>
          <w:i/>
        </w:rPr>
        <w:t>require building surveyors to demonstrate, using these templates and procedures, their consideration and acquittal of mandatory safety and technical requirements.</w:t>
      </w:r>
    </w:p>
    <w:tbl>
      <w:tblPr>
        <w:tblStyle w:val="TableGrid"/>
        <w:tblW w:w="0" w:type="auto"/>
        <w:tblLook w:val="0480" w:firstRow="0" w:lastRow="0" w:firstColumn="1" w:lastColumn="0" w:noHBand="0" w:noVBand="1"/>
        <w:tblCaption w:val="Text box"/>
      </w:tblPr>
      <w:tblGrid>
        <w:gridCol w:w="9060"/>
      </w:tblGrid>
      <w:tr w:rsidR="00FE37D3" w:rsidTr="003756FF">
        <w:trPr>
          <w:trHeight w:val="1013"/>
          <w:tblHeader/>
        </w:trPr>
        <w:tc>
          <w:tcPr>
            <w:tcW w:w="9060" w:type="dxa"/>
            <w:shd w:val="clear" w:color="auto" w:fill="BFBFBF" w:themeFill="background1" w:themeFillShade="BF"/>
          </w:tcPr>
          <w:p w:rsidR="00FE37D3" w:rsidRDefault="00FE37D3" w:rsidP="00F333E3">
            <w:pPr>
              <w:pStyle w:val="Heading2"/>
              <w:spacing w:before="240" w:after="240"/>
              <w:outlineLvl w:val="1"/>
            </w:pPr>
            <w:bookmarkStart w:id="21" w:name="_Hlk35608601"/>
            <w:bookmarkStart w:id="22" w:name="_Toc32229022"/>
            <w:bookmarkStart w:id="23" w:name="_Toc33098416"/>
            <w:bookmarkStart w:id="24" w:name="_Toc33098875"/>
            <w:r w:rsidRPr="006E3E41">
              <w:rPr>
                <w:rFonts w:ascii="Arial" w:eastAsiaTheme="minorHAnsi" w:hAnsi="Arial" w:cstheme="minorBidi"/>
                <w:b w:val="0"/>
                <w:bCs w:val="0"/>
                <w:color w:val="auto"/>
                <w:sz w:val="24"/>
                <w:szCs w:val="22"/>
              </w:rPr>
              <w:t>The Consultation RIS asked stakeholders whether they agreed with the description of the problem and whether there were any othe</w:t>
            </w:r>
            <w:r>
              <w:rPr>
                <w:rFonts w:ascii="Arial" w:eastAsiaTheme="minorHAnsi" w:hAnsi="Arial" w:cstheme="minorBidi"/>
                <w:b w:val="0"/>
                <w:bCs w:val="0"/>
                <w:color w:val="auto"/>
                <w:sz w:val="24"/>
                <w:szCs w:val="22"/>
              </w:rPr>
              <w:t>r characteristics not described.</w:t>
            </w:r>
          </w:p>
        </w:tc>
      </w:tr>
    </w:tbl>
    <w:p w:rsidR="00FE37D3" w:rsidRPr="007209E7" w:rsidRDefault="00FE37D3" w:rsidP="00E20987">
      <w:bookmarkStart w:id="25" w:name="_Hlk36115140"/>
      <w:bookmarkEnd w:id="21"/>
      <w:r w:rsidRPr="00E20987">
        <w:t xml:space="preserve">A total of </w:t>
      </w:r>
      <w:r>
        <w:t>49</w:t>
      </w:r>
      <w:r w:rsidRPr="00E20987">
        <w:t xml:space="preserve"> individual submissions were received in response to the Consultation RIS, encompassing </w:t>
      </w:r>
      <w:r>
        <w:t>40</w:t>
      </w:r>
      <w:r w:rsidRPr="00E20987">
        <w:t xml:space="preserve"> </w:t>
      </w:r>
      <w:r w:rsidRPr="007209E7">
        <w:t>individuals, 3 product manufacturers, 2 state building authorities and 4 industry bodies.</w:t>
      </w:r>
      <w:bookmarkEnd w:id="25"/>
      <w:r w:rsidRPr="007209E7">
        <w:t xml:space="preserve"> Of the responses received, the majority (71 per cent) felt that the nature and extent of the problem had been adequately described.  </w:t>
      </w:r>
    </w:p>
    <w:p w:rsidR="00FE37D3" w:rsidRPr="00DE00EF" w:rsidRDefault="00FE37D3" w:rsidP="00947334">
      <w:r w:rsidRPr="007209E7">
        <w:t>Of those that disagreed with the description of the problem, three themes were relevant to the proposal</w:t>
      </w:r>
      <w:r w:rsidRPr="00194470">
        <w:rPr>
          <w:bCs/>
        </w:rPr>
        <w:t>;</w:t>
      </w:r>
      <w:r w:rsidRPr="007209E7">
        <w:t xml:space="preserve"> </w:t>
      </w:r>
      <w:r w:rsidRPr="007209E7">
        <w:rPr>
          <w:bCs/>
        </w:rPr>
        <w:t>t</w:t>
      </w:r>
      <w:r w:rsidRPr="007209E7">
        <w:t>argeting, necessity and productivity.</w:t>
      </w:r>
    </w:p>
    <w:p w:rsidR="00FE37D3" w:rsidRPr="007F09C5" w:rsidRDefault="00FE37D3" w:rsidP="007209E7">
      <w:pPr>
        <w:pStyle w:val="Heading3"/>
        <w:rPr>
          <w:rFonts w:eastAsiaTheme="minorHAnsi"/>
        </w:rPr>
      </w:pPr>
      <w:r w:rsidRPr="007F09C5">
        <w:rPr>
          <w:rFonts w:eastAsiaTheme="minorHAnsi"/>
        </w:rPr>
        <w:t xml:space="preserve">Targeting </w:t>
      </w:r>
    </w:p>
    <w:p w:rsidR="00FE37D3" w:rsidRDefault="00CD2AB9" w:rsidP="00F02722">
      <w:pPr>
        <w:rPr>
          <w:b/>
          <w:bCs/>
        </w:rPr>
      </w:pPr>
      <w:r>
        <w:t>One</w:t>
      </w:r>
      <w:r w:rsidR="00FE37D3">
        <w:t xml:space="preserve"> individual felt that </w:t>
      </w:r>
      <w:r w:rsidR="00FE37D3" w:rsidRPr="00E20987">
        <w:t xml:space="preserve">the proposal was </w:t>
      </w:r>
      <w:r w:rsidR="00FE37D3">
        <w:t xml:space="preserve">not addressing the larger problem of education and awareness of how to comply with the NCC’s Performance Requirements. This view was linked to the belief </w:t>
      </w:r>
      <w:r>
        <w:t>that there is</w:t>
      </w:r>
      <w:r w:rsidR="00FE37D3">
        <w:t xml:space="preserve"> </w:t>
      </w:r>
      <w:r w:rsidR="003344DE">
        <w:t xml:space="preserve">a </w:t>
      </w:r>
      <w:r w:rsidR="00FE37D3">
        <w:t>low level of enforcement (citing private certification as</w:t>
      </w:r>
      <w:r w:rsidR="003344DE">
        <w:t xml:space="preserve"> a</w:t>
      </w:r>
      <w:r w:rsidR="00FE37D3">
        <w:t xml:space="preserve"> contributing factor). </w:t>
      </w:r>
    </w:p>
    <w:p w:rsidR="00FE37D3" w:rsidRDefault="00FE37D3" w:rsidP="00F02722">
      <w:r>
        <w:t xml:space="preserve">The role of the NCC </w:t>
      </w:r>
      <w:r w:rsidR="00CD2AB9">
        <w:t xml:space="preserve">in </w:t>
      </w:r>
      <w:r>
        <w:t>addressing administrative problems was also challenged by an industry association wh</w:t>
      </w:r>
      <w:r w:rsidR="006E7C4D">
        <w:t>ich</w:t>
      </w:r>
      <w:r>
        <w:t xml:space="preserve"> felt that the problem was better addressed by state and territory building regulations.</w:t>
      </w:r>
      <w:r w:rsidDel="00404DFA">
        <w:t xml:space="preserve"> </w:t>
      </w:r>
      <w:r>
        <w:t xml:space="preserve">This was repeated in another submission by an individual who felt that there was no demonstrated problem relating to the core objectives of the NCC (safety, health, amenity, </w:t>
      </w:r>
      <w:r w:rsidR="003344DE">
        <w:t xml:space="preserve">accessibility and </w:t>
      </w:r>
      <w:r>
        <w:t xml:space="preserve">sustainability) and </w:t>
      </w:r>
      <w:r w:rsidR="006E7C4D">
        <w:t>that it</w:t>
      </w:r>
      <w:r>
        <w:t xml:space="preserve"> therefore </w:t>
      </w:r>
      <w:r w:rsidR="006E7C4D">
        <w:t xml:space="preserve">should not </w:t>
      </w:r>
      <w:r>
        <w:t xml:space="preserve">be </w:t>
      </w:r>
      <w:r w:rsidR="006E7C4D">
        <w:t>solved through</w:t>
      </w:r>
      <w:r>
        <w:t xml:space="preserve"> the NCC. </w:t>
      </w:r>
    </w:p>
    <w:p w:rsidR="00FE37D3" w:rsidRPr="007F09C5" w:rsidRDefault="00FE37D3" w:rsidP="00F02722">
      <w:pPr>
        <w:pStyle w:val="Heading3"/>
      </w:pPr>
      <w:r w:rsidRPr="00DE00EF">
        <w:lastRenderedPageBreak/>
        <w:t>Necessity</w:t>
      </w:r>
    </w:p>
    <w:p w:rsidR="00FE37D3" w:rsidRDefault="00FE37D3" w:rsidP="00F02722">
      <w:r>
        <w:t xml:space="preserve">The issue of regulatory burden was also raised. </w:t>
      </w:r>
      <w:r w:rsidR="00710163">
        <w:t>In particular, t</w:t>
      </w:r>
      <w:r>
        <w:t xml:space="preserve">wo respondents questioned the impact of the proposed process on ‘simple’ Performance Solutions and </w:t>
      </w:r>
      <w:r w:rsidR="00710163">
        <w:t>the use of</w:t>
      </w:r>
      <w:r>
        <w:t xml:space="preserve"> VMs. The application to low-rise residential buildings Class 1 and 10 buildings was also suggested as unnecessary by an industry association. </w:t>
      </w:r>
    </w:p>
    <w:p w:rsidR="00FE37D3" w:rsidRDefault="00FE37D3" w:rsidP="00930CAA">
      <w:pPr>
        <w:ind w:left="720"/>
        <w:rPr>
          <w:i/>
          <w:iCs/>
        </w:rPr>
      </w:pPr>
      <w:r>
        <w:rPr>
          <w:i/>
          <w:iCs/>
        </w:rPr>
        <w:t>“</w:t>
      </w:r>
      <w:r w:rsidRPr="00D16880">
        <w:rPr>
          <w:i/>
          <w:iCs/>
        </w:rPr>
        <w:t>If the proposed changes do proceed, Performance Solutions for Class 1 and 10 buildings and simple solutions that involve a minor modification from a prescriptive DTS requirement must be exempt from this provision otherwise it will create an unnecessary level of complexity and administrative burden. The Performance Solutions for those building types a</w:t>
      </w:r>
      <w:r>
        <w:rPr>
          <w:i/>
          <w:iCs/>
        </w:rPr>
        <w:t>re</w:t>
      </w:r>
      <w:r w:rsidRPr="00D16880">
        <w:rPr>
          <w:i/>
          <w:iCs/>
        </w:rPr>
        <w:t xml:space="preserve"> generally very simple solutions for elements such as minor ceiling height reductions or alternate materials that do not materially change the building. Simple plumbing and drainage solutions should also be exempt for similar reasons.</w:t>
      </w:r>
      <w:r>
        <w:rPr>
          <w:i/>
          <w:iCs/>
        </w:rPr>
        <w:t>”</w:t>
      </w:r>
    </w:p>
    <w:p w:rsidR="00FE37D3" w:rsidRPr="007F09C5" w:rsidRDefault="00FE37D3" w:rsidP="00F02722">
      <w:pPr>
        <w:pStyle w:val="Heading3"/>
      </w:pPr>
      <w:r w:rsidRPr="007F09C5">
        <w:t>Productivity</w:t>
      </w:r>
    </w:p>
    <w:p w:rsidR="00FE37D3" w:rsidRPr="000F174A" w:rsidRDefault="00FE37D3" w:rsidP="00F02722">
      <w:r w:rsidRPr="000F174A">
        <w:t>A representative from the childcare industry also strongly opposed the</w:t>
      </w:r>
      <w:r w:rsidR="00710163">
        <w:t xml:space="preserve"> application of the</w:t>
      </w:r>
      <w:r w:rsidRPr="000F174A">
        <w:t xml:space="preserve"> proposal to early childhood centres</w:t>
      </w:r>
      <w:r w:rsidR="00710163">
        <w:t>,</w:t>
      </w:r>
      <w:r w:rsidRPr="000F174A">
        <w:t xml:space="preserve"> believing that it was unnecessary</w:t>
      </w:r>
      <w:r w:rsidR="00710163">
        <w:t xml:space="preserve"> and an</w:t>
      </w:r>
      <w:r w:rsidRPr="000F174A">
        <w:t xml:space="preserve"> unproductive regulatory burden</w:t>
      </w:r>
      <w:r w:rsidR="009C5E23">
        <w:t>,</w:t>
      </w:r>
      <w:r w:rsidRPr="000F174A">
        <w:t xml:space="preserve"> and </w:t>
      </w:r>
      <w:r w:rsidR="009C5E23">
        <w:t xml:space="preserve">that </w:t>
      </w:r>
      <w:r w:rsidRPr="000F174A">
        <w:t xml:space="preserve">other more cost-effective options were available. </w:t>
      </w:r>
    </w:p>
    <w:p w:rsidR="00FE37D3" w:rsidRDefault="00FE37D3" w:rsidP="00F02722">
      <w:r>
        <w:t>The ABCB recognises the importance of continued education and awareness relating to use of the NCC</w:t>
      </w:r>
      <w:r w:rsidR="00710163">
        <w:t>,</w:t>
      </w:r>
      <w:r>
        <w:t xml:space="preserve"> as well as the need for improved auditing and enforcement. These issues are currently being considered separately as part of the </w:t>
      </w:r>
      <w:r w:rsidR="00204E1B">
        <w:t xml:space="preserve">National Framework agreed to by the BMF in </w:t>
      </w:r>
      <w:r>
        <w:t xml:space="preserve">response to the BCR recommendations. </w:t>
      </w:r>
    </w:p>
    <w:p w:rsidR="00FE37D3" w:rsidRDefault="00FE37D3" w:rsidP="00F02722">
      <w:r w:rsidRPr="007209E7">
        <w:t>The problem relates to public confidence and ensuring that societal expectations of a rigorous process being followed when designing and constructing buildings in Australia is achieved in practice. This follows a number of high-profile cases of building failures where the process followed</w:t>
      </w:r>
      <w:r w:rsidR="009A5DF3">
        <w:t>,</w:t>
      </w:r>
      <w:r w:rsidRPr="007209E7">
        <w:t xml:space="preserve"> in </w:t>
      </w:r>
      <w:r w:rsidR="00204E1B">
        <w:t xml:space="preserve">documenting and </w:t>
      </w:r>
      <w:r w:rsidRPr="007209E7">
        <w:t>approving the building</w:t>
      </w:r>
      <w:r w:rsidR="009A5DF3">
        <w:t>,</w:t>
      </w:r>
      <w:r w:rsidRPr="007209E7">
        <w:t xml:space="preserve"> was found to be deficient and consequently </w:t>
      </w:r>
      <w:r w:rsidR="00204E1B">
        <w:t>may have contributed to</w:t>
      </w:r>
      <w:r w:rsidRPr="007209E7">
        <w:t xml:space="preserve"> structural and fire safety problems.</w:t>
      </w:r>
      <w:r>
        <w:t xml:space="preserve"> </w:t>
      </w:r>
    </w:p>
    <w:p w:rsidR="00FE37D3" w:rsidRDefault="00204E1B" w:rsidP="00F02722">
      <w:r>
        <w:lastRenderedPageBreak/>
        <w:t>Alt</w:t>
      </w:r>
      <w:r w:rsidR="00FE37D3">
        <w:t>hough the approval pathways will differ by building and solution, the process problems extend to all objectives covered by the NCC (structure, health, amenity, accessibility</w:t>
      </w:r>
      <w:r>
        <w:t xml:space="preserve"> and</w:t>
      </w:r>
      <w:r w:rsidR="00FE37D3">
        <w:t xml:space="preserve"> sustainability). </w:t>
      </w:r>
      <w:r w:rsidR="00FE37D3" w:rsidRPr="007209E7">
        <w:t>So while injury and fatality data is a good indicator</w:t>
      </w:r>
      <w:r w:rsidR="00710163">
        <w:t>,</w:t>
      </w:r>
      <w:r w:rsidR="00FE37D3" w:rsidRPr="007209E7">
        <w:t xml:space="preserve"> in terms of life safety, an absence of obligations for an adequate process to be followed and documented for Performance Solutions leads to latent risk and obscures the basis for decisions when maintaining buildings. Failures that arise from </w:t>
      </w:r>
      <w:r w:rsidR="00FE37D3">
        <w:t xml:space="preserve">undocumented solutions or </w:t>
      </w:r>
      <w:r w:rsidR="00FE37D3" w:rsidRPr="007209E7">
        <w:t xml:space="preserve">other causes may also be </w:t>
      </w:r>
      <w:r w:rsidR="00FE37D3">
        <w:t>(mis)</w:t>
      </w:r>
      <w:r w:rsidR="00FE37D3" w:rsidRPr="007209E7">
        <w:t xml:space="preserve">attributed </w:t>
      </w:r>
      <w:r w:rsidR="00FE37D3">
        <w:t>to</w:t>
      </w:r>
      <w:r w:rsidR="00FE37D3" w:rsidRPr="007209E7">
        <w:t xml:space="preserve"> Performance Solutions</w:t>
      </w:r>
      <w:r w:rsidR="00FE37D3">
        <w:t>. Exempting certain solutions</w:t>
      </w:r>
      <w:r w:rsidR="001913EE">
        <w:t xml:space="preserve"> (either </w:t>
      </w:r>
      <w:r w:rsidR="00983137">
        <w:t>‘</w:t>
      </w:r>
      <w:r w:rsidR="001913EE">
        <w:t>simple</w:t>
      </w:r>
      <w:r w:rsidR="00983137">
        <w:t>’</w:t>
      </w:r>
      <w:r w:rsidR="001913EE">
        <w:t xml:space="preserve"> or non-life safety)</w:t>
      </w:r>
      <w:r w:rsidR="00FE37D3">
        <w:t xml:space="preserve"> from a minimum process and documentation would</w:t>
      </w:r>
      <w:r w:rsidR="00FE37D3" w:rsidRPr="007209E7">
        <w:t xml:space="preserve"> further </w:t>
      </w:r>
      <w:r w:rsidR="001913EE">
        <w:t xml:space="preserve">complicate and </w:t>
      </w:r>
      <w:r w:rsidR="00FE37D3" w:rsidRPr="007209E7">
        <w:t>underm</w:t>
      </w:r>
      <w:r w:rsidR="00FE37D3">
        <w:t>ine</w:t>
      </w:r>
      <w:r w:rsidR="00FE37D3" w:rsidRPr="007209E7">
        <w:t xml:space="preserve"> confidence in both a performance-based system and the </w:t>
      </w:r>
      <w:r w:rsidR="005B2F0B">
        <w:t>attain</w:t>
      </w:r>
      <w:r w:rsidR="00FE37D3" w:rsidRPr="007209E7">
        <w:t>ment of the NCC’s core objectives.</w:t>
      </w:r>
      <w:r w:rsidR="00FE37D3">
        <w:t xml:space="preserve"> </w:t>
      </w:r>
    </w:p>
    <w:p w:rsidR="00FE37D3" w:rsidRDefault="00FE37D3" w:rsidP="00F02722">
      <w:r>
        <w:t xml:space="preserve">The process followed is also proposed </w:t>
      </w:r>
      <w:r w:rsidR="0073378A">
        <w:t xml:space="preserve">under Option 2 </w:t>
      </w:r>
      <w:r>
        <w:t xml:space="preserve">to be </w:t>
      </w:r>
      <w:r w:rsidR="0073378A">
        <w:t>consistent for all topics and</w:t>
      </w:r>
      <w:r>
        <w:t xml:space="preserve"> commensurate to the nature and complexity of the Performance Solution being developed. Hence, the same level of rigor associated with a complex solution would not be expected for a simple solution. Existing guidance material addresses this issue (and the topics cited)</w:t>
      </w:r>
      <w:r w:rsidR="00204E1B">
        <w:t>,</w:t>
      </w:r>
      <w:r>
        <w:t xml:space="preserve"> which is likely to receive more promotion. </w:t>
      </w:r>
      <w:r w:rsidR="001913EE">
        <w:t>Under Option 3 an additional judgement around what life safety issues are covered by solutions would also be required.</w:t>
      </w:r>
    </w:p>
    <w:tbl>
      <w:tblPr>
        <w:tblStyle w:val="TableGrid"/>
        <w:tblW w:w="0" w:type="auto"/>
        <w:tblLook w:val="0480" w:firstRow="0" w:lastRow="0" w:firstColumn="1" w:lastColumn="0" w:noHBand="0" w:noVBand="1"/>
        <w:tblCaption w:val="Text box"/>
      </w:tblPr>
      <w:tblGrid>
        <w:gridCol w:w="9060"/>
      </w:tblGrid>
      <w:tr w:rsidR="00FE37D3" w:rsidTr="003756FF">
        <w:trPr>
          <w:tblHeader/>
        </w:trPr>
        <w:tc>
          <w:tcPr>
            <w:tcW w:w="9060" w:type="dxa"/>
            <w:shd w:val="clear" w:color="auto" w:fill="BFBFBF" w:themeFill="background1" w:themeFillShade="BF"/>
          </w:tcPr>
          <w:p w:rsidR="00FE37D3" w:rsidRDefault="00FE37D3" w:rsidP="005B2F0B">
            <w:bookmarkStart w:id="26" w:name="_Hlk35778031"/>
            <w:r w:rsidRPr="00AB283E">
              <w:t xml:space="preserve">The Consultation RIS asked stakeholders whether they </w:t>
            </w:r>
            <w:r>
              <w:t xml:space="preserve">had any examples of residential or commercial buildings where rectification work was required as a consequence of </w:t>
            </w:r>
            <w:r w:rsidR="005B2F0B">
              <w:t>a</w:t>
            </w:r>
            <w:r>
              <w:t xml:space="preserve"> Performance Solution followed. </w:t>
            </w:r>
          </w:p>
        </w:tc>
      </w:tr>
    </w:tbl>
    <w:bookmarkEnd w:id="26"/>
    <w:p w:rsidR="00FE37D3" w:rsidRDefault="00FE37D3" w:rsidP="00F02722">
      <w:r w:rsidRPr="007209E7">
        <w:t>A number of examples were provided for residential and commercial buildings, with 28</w:t>
      </w:r>
      <w:r>
        <w:t xml:space="preserve"> </w:t>
      </w:r>
      <w:r w:rsidRPr="007209E7">
        <w:t>per cent citing examples in both residential and commercial buildings.</w:t>
      </w:r>
      <w:r>
        <w:t xml:space="preserve">  </w:t>
      </w:r>
    </w:p>
    <w:p w:rsidR="00FE37D3" w:rsidRDefault="00FE37D3" w:rsidP="00F02722">
      <w:r>
        <w:t xml:space="preserve">From the perspective of a local council building </w:t>
      </w:r>
      <w:r w:rsidR="00204E1B">
        <w:t>surveyor</w:t>
      </w:r>
      <w:r>
        <w:t>:</w:t>
      </w:r>
    </w:p>
    <w:p w:rsidR="00FE37D3" w:rsidRPr="007D63E3" w:rsidRDefault="00FE37D3" w:rsidP="00930CAA">
      <w:pPr>
        <w:ind w:left="720"/>
        <w:rPr>
          <w:i/>
          <w:iCs/>
        </w:rPr>
      </w:pPr>
      <w:r>
        <w:rPr>
          <w:i/>
          <w:iCs/>
        </w:rPr>
        <w:t>“</w:t>
      </w:r>
      <w:r w:rsidRPr="007D63E3">
        <w:rPr>
          <w:i/>
          <w:iCs/>
        </w:rPr>
        <w:t>Aspects of various</w:t>
      </w:r>
      <w:r>
        <w:rPr>
          <w:i/>
          <w:iCs/>
        </w:rPr>
        <w:t xml:space="preserve"> high-rise residential buildings, commercial buildings and</w:t>
      </w:r>
      <w:r w:rsidRPr="007D63E3">
        <w:rPr>
          <w:i/>
          <w:iCs/>
        </w:rPr>
        <w:t xml:space="preserve"> industrial buildings did not comply with the </w:t>
      </w:r>
      <w:r>
        <w:rPr>
          <w:i/>
          <w:iCs/>
        </w:rPr>
        <w:t>DTS</w:t>
      </w:r>
      <w:r w:rsidRPr="007D63E3">
        <w:rPr>
          <w:i/>
          <w:iCs/>
        </w:rPr>
        <w:t xml:space="preserve"> provisions of the BCA Volume One, and the alleged Performance Solution was not detailed in the documentation accompanying the Construction Certificates issued by private accredited certifiers and lodged with Council (NSW jurisdiction).</w:t>
      </w:r>
    </w:p>
    <w:p w:rsidR="00FE37D3" w:rsidRPr="007D63E3" w:rsidRDefault="00FE37D3" w:rsidP="00930CAA">
      <w:pPr>
        <w:ind w:left="720"/>
        <w:rPr>
          <w:i/>
          <w:iCs/>
        </w:rPr>
      </w:pPr>
      <w:r w:rsidRPr="007D63E3">
        <w:rPr>
          <w:i/>
          <w:iCs/>
        </w:rPr>
        <w:lastRenderedPageBreak/>
        <w:t xml:space="preserve">Some years after Occupation Certificates were issued, fire safety concerns were brought to Council's attention (non-compliance with the </w:t>
      </w:r>
      <w:r>
        <w:rPr>
          <w:i/>
          <w:iCs/>
        </w:rPr>
        <w:t>DTS</w:t>
      </w:r>
      <w:r w:rsidRPr="007D63E3">
        <w:rPr>
          <w:i/>
          <w:iCs/>
        </w:rPr>
        <w:t xml:space="preserve"> provisions), but no Performance Solution could be identified on the Construction Certificate files.</w:t>
      </w:r>
    </w:p>
    <w:p w:rsidR="00FE37D3" w:rsidRDefault="00FE37D3" w:rsidP="00930CAA">
      <w:pPr>
        <w:ind w:left="720"/>
        <w:rPr>
          <w:i/>
          <w:iCs/>
        </w:rPr>
      </w:pPr>
      <w:r w:rsidRPr="007D63E3">
        <w:rPr>
          <w:i/>
          <w:iCs/>
        </w:rPr>
        <w:t>There was no record of a Performance Solution being applied to the developments.</w:t>
      </w:r>
      <w:r>
        <w:rPr>
          <w:i/>
          <w:iCs/>
        </w:rPr>
        <w:t>”</w:t>
      </w:r>
    </w:p>
    <w:p w:rsidR="00FE37D3" w:rsidRPr="007D63E3" w:rsidRDefault="00FE37D3" w:rsidP="00F02722">
      <w:r>
        <w:t>From the perspective of a state government department</w:t>
      </w:r>
      <w:r w:rsidRPr="007D63E3">
        <w:t>:</w:t>
      </w:r>
    </w:p>
    <w:p w:rsidR="00FE37D3" w:rsidRDefault="00FE37D3" w:rsidP="00930CAA">
      <w:pPr>
        <w:ind w:left="720"/>
        <w:rPr>
          <w:i/>
          <w:iCs/>
        </w:rPr>
      </w:pPr>
      <w:r>
        <w:rPr>
          <w:i/>
          <w:iCs/>
        </w:rPr>
        <w:t>“</w:t>
      </w:r>
      <w:r w:rsidRPr="00C36078">
        <w:rPr>
          <w:i/>
          <w:iCs/>
        </w:rPr>
        <w:t xml:space="preserve">We are aware of instances where the operator of a commercial building was completely unaware of ongoing operational requirements the building had due to the implementation of </w:t>
      </w:r>
      <w:r>
        <w:rPr>
          <w:i/>
          <w:iCs/>
        </w:rPr>
        <w:t>P</w:t>
      </w:r>
      <w:r w:rsidRPr="00C36078">
        <w:rPr>
          <w:i/>
          <w:iCs/>
        </w:rPr>
        <w:t xml:space="preserve">erformance </w:t>
      </w:r>
      <w:r>
        <w:rPr>
          <w:i/>
          <w:iCs/>
        </w:rPr>
        <w:t>S</w:t>
      </w:r>
      <w:r w:rsidRPr="00C36078">
        <w:rPr>
          <w:i/>
          <w:iCs/>
        </w:rPr>
        <w:t>olutions in the design of the building to ensure the safety of occupants.</w:t>
      </w:r>
      <w:r>
        <w:rPr>
          <w:i/>
          <w:iCs/>
        </w:rPr>
        <w:t>”</w:t>
      </w:r>
    </w:p>
    <w:p w:rsidR="00FE37D3" w:rsidRPr="007D63E3" w:rsidRDefault="00FE37D3" w:rsidP="00F02722">
      <w:r>
        <w:t>From the perspective of a product manufacturer</w:t>
      </w:r>
      <w:r w:rsidRPr="007D63E3">
        <w:t>:</w:t>
      </w:r>
    </w:p>
    <w:p w:rsidR="00FE37D3" w:rsidRDefault="00FE37D3" w:rsidP="00930CAA">
      <w:pPr>
        <w:ind w:left="720"/>
        <w:rPr>
          <w:i/>
          <w:iCs/>
        </w:rPr>
      </w:pPr>
      <w:r>
        <w:rPr>
          <w:i/>
          <w:iCs/>
        </w:rPr>
        <w:t>“</w:t>
      </w:r>
      <w:r w:rsidRPr="00C36078">
        <w:rPr>
          <w:i/>
          <w:iCs/>
        </w:rPr>
        <w:t xml:space="preserve">We have not seen rectification work being needed, but we have seen many issues where the </w:t>
      </w:r>
      <w:r>
        <w:rPr>
          <w:i/>
          <w:iCs/>
        </w:rPr>
        <w:t>P</w:t>
      </w:r>
      <w:r w:rsidRPr="00C36078">
        <w:rPr>
          <w:i/>
          <w:iCs/>
        </w:rPr>
        <w:t xml:space="preserve">erformance </w:t>
      </w:r>
      <w:r>
        <w:rPr>
          <w:i/>
          <w:iCs/>
        </w:rPr>
        <w:t>S</w:t>
      </w:r>
      <w:r w:rsidRPr="00C36078">
        <w:rPr>
          <w:i/>
          <w:iCs/>
        </w:rPr>
        <w:t>olution process was followed and the design was needed to change due to lack of expertise in signing</w:t>
      </w:r>
      <w:r>
        <w:rPr>
          <w:i/>
          <w:iCs/>
        </w:rPr>
        <w:t>-</w:t>
      </w:r>
      <w:r w:rsidRPr="00C36078">
        <w:rPr>
          <w:i/>
          <w:iCs/>
        </w:rPr>
        <w:t xml:space="preserve">off the </w:t>
      </w:r>
      <w:r>
        <w:rPr>
          <w:i/>
          <w:iCs/>
        </w:rPr>
        <w:t>P</w:t>
      </w:r>
      <w:r w:rsidRPr="00C36078">
        <w:rPr>
          <w:i/>
          <w:iCs/>
        </w:rPr>
        <w:t xml:space="preserve">erformance </w:t>
      </w:r>
      <w:r w:rsidRPr="007209E7">
        <w:rPr>
          <w:i/>
          <w:iCs/>
        </w:rPr>
        <w:t>Solutions. Therefore, we have seen significant costs in design time and delays. In one particular example, the fire brigade would not sign-off on a project and it had to go to an appeals board to get sign-off. Even though the Performance Solution process was agreed to by the appeals board in 2013, some local brigades still will not sign off on these types of solutions today in 2020.”</w:t>
      </w:r>
    </w:p>
    <w:p w:rsidR="00FE37D3" w:rsidRPr="007D63E3" w:rsidRDefault="00FE37D3" w:rsidP="00F02722">
      <w:r>
        <w:t>From the perspective of a building consultant:</w:t>
      </w:r>
    </w:p>
    <w:p w:rsidR="00FE37D3" w:rsidRDefault="00FE37D3" w:rsidP="00930CAA">
      <w:pPr>
        <w:ind w:left="720"/>
        <w:rPr>
          <w:i/>
          <w:iCs/>
        </w:rPr>
      </w:pPr>
      <w:r>
        <w:rPr>
          <w:i/>
          <w:iCs/>
        </w:rPr>
        <w:t>“</w:t>
      </w:r>
      <w:r w:rsidRPr="004A7324">
        <w:rPr>
          <w:i/>
          <w:iCs/>
        </w:rPr>
        <w:t xml:space="preserve">We are aware of at least one major residential building (with more than 40 </w:t>
      </w:r>
      <w:r w:rsidRPr="007209E7">
        <w:rPr>
          <w:i/>
          <w:iCs/>
        </w:rPr>
        <w:t xml:space="preserve">residential apartments) where the plumber was issued with a Rectification Notice by a state building authority due to major roof plumbing defects.  The plumber then obtained a Performance Solution from another plumber who acted as consultant; that Performance Solution excused all of the defects on the basis that the installation still performed and hence was acceptable, however, no evidence was presented (nor any obtained by the consultant) to show how the installation would equal or exceed the requirements of AS/NZS3500.3 or SA HB </w:t>
      </w:r>
      <w:r w:rsidRPr="007209E7">
        <w:rPr>
          <w:i/>
          <w:iCs/>
        </w:rPr>
        <w:lastRenderedPageBreak/>
        <w:t>39.  The consultant in question carried out no calculations, did no physical testing and did not even attend the site.”</w:t>
      </w:r>
    </w:p>
    <w:p w:rsidR="00FE37D3" w:rsidRPr="00C36078" w:rsidRDefault="00FE37D3" w:rsidP="00F02722">
      <w:r w:rsidRPr="000A19E4">
        <w:t xml:space="preserve">These examples </w:t>
      </w:r>
      <w:r>
        <w:t xml:space="preserve">highlight </w:t>
      </w:r>
      <w:r w:rsidRPr="000A19E4">
        <w:t>the nature of the problem</w:t>
      </w:r>
      <w:r>
        <w:t xml:space="preserve"> and </w:t>
      </w:r>
      <w:r w:rsidR="005150BD">
        <w:t xml:space="preserve">make a case that </w:t>
      </w:r>
      <w:r>
        <w:t xml:space="preserve">improvements to the process </w:t>
      </w:r>
      <w:r w:rsidR="005150BD">
        <w:t xml:space="preserve">can </w:t>
      </w:r>
      <w:r>
        <w:t xml:space="preserve">reduce the likelihood of each problem occurring. </w:t>
      </w:r>
      <w:r w:rsidRPr="000A19E4">
        <w:t xml:space="preserve"> </w:t>
      </w:r>
      <w:r w:rsidRPr="007209E7">
        <w:t>The examples also show that other benefits may accumulate other than avoided rectification costs. These benefits relate to better information to end users, particularly in regard to maintenance expectations; greater auditing ability through improved record keeping; and greater national consistency in recognising commonly approved Performance Solutions.</w:t>
      </w:r>
      <w:r>
        <w:t xml:space="preserve"> </w:t>
      </w:r>
    </w:p>
    <w:p w:rsidR="00FE37D3" w:rsidRDefault="00FE37D3" w:rsidP="005E1DCB">
      <w:pPr>
        <w:pStyle w:val="Heading2"/>
        <w:spacing w:before="360"/>
      </w:pPr>
      <w:r>
        <w:t>Extent of the Problem</w:t>
      </w:r>
      <w:bookmarkEnd w:id="22"/>
      <w:bookmarkEnd w:id="23"/>
      <w:bookmarkEnd w:id="24"/>
      <w:r>
        <w:t xml:space="preserve"> </w:t>
      </w:r>
    </w:p>
    <w:p w:rsidR="00FE37D3" w:rsidRDefault="00FE37D3" w:rsidP="00BA010D">
      <w:pPr>
        <w:spacing w:before="120"/>
        <w:rPr>
          <w:rFonts w:asciiTheme="minorHAnsi" w:hAnsiTheme="minorHAnsi" w:cstheme="minorHAnsi"/>
        </w:rPr>
      </w:pPr>
      <w:r>
        <w:rPr>
          <w:rFonts w:asciiTheme="minorHAnsi" w:hAnsiTheme="minorHAnsi" w:cstheme="minorHAnsi"/>
        </w:rPr>
        <w:t xml:space="preserve">Currently </w:t>
      </w:r>
      <w:r w:rsidR="00832CEA">
        <w:rPr>
          <w:rFonts w:asciiTheme="minorHAnsi" w:hAnsiTheme="minorHAnsi" w:cstheme="minorHAnsi"/>
        </w:rPr>
        <w:t>some</w:t>
      </w:r>
      <w:r>
        <w:rPr>
          <w:rFonts w:asciiTheme="minorHAnsi" w:hAnsiTheme="minorHAnsi" w:cstheme="minorHAnsi"/>
        </w:rPr>
        <w:t xml:space="preserve"> degree of process and documentation</w:t>
      </w:r>
      <w:r w:rsidR="00832CEA">
        <w:rPr>
          <w:rFonts w:asciiTheme="minorHAnsi" w:hAnsiTheme="minorHAnsi" w:cstheme="minorHAnsi"/>
        </w:rPr>
        <w:t>,</w:t>
      </w:r>
      <w:r>
        <w:rPr>
          <w:rFonts w:asciiTheme="minorHAnsi" w:hAnsiTheme="minorHAnsi" w:cstheme="minorHAnsi"/>
        </w:rPr>
        <w:t xml:space="preserve"> to meet the obligations of the NCC Governing Requirements and other state and territory regulations</w:t>
      </w:r>
      <w:r w:rsidR="00832CEA">
        <w:rPr>
          <w:rFonts w:asciiTheme="minorHAnsi" w:hAnsiTheme="minorHAnsi" w:cstheme="minorHAnsi"/>
        </w:rPr>
        <w:t>,</w:t>
      </w:r>
      <w:r>
        <w:rPr>
          <w:rFonts w:asciiTheme="minorHAnsi" w:hAnsiTheme="minorHAnsi" w:cstheme="minorHAnsi"/>
        </w:rPr>
        <w:t xml:space="preserve"> should be expected by the appropriate authority. The extent of the problem is influenced by the number of Performance Solutions undertaken where the process and documentation is either inadequate or not undertaken at all. </w:t>
      </w:r>
    </w:p>
    <w:p w:rsidR="00FE37D3" w:rsidRDefault="00FE37D3" w:rsidP="00B935B2">
      <w:pPr>
        <w:pStyle w:val="Heading3"/>
      </w:pPr>
      <w:bookmarkStart w:id="27" w:name="_Toc32229023"/>
      <w:bookmarkStart w:id="28" w:name="_Toc33098417"/>
      <w:bookmarkStart w:id="29" w:name="_Toc33098876"/>
      <w:r>
        <w:t>Use of Performance</w:t>
      </w:r>
      <w:bookmarkEnd w:id="27"/>
      <w:bookmarkEnd w:id="28"/>
      <w:bookmarkEnd w:id="29"/>
      <w:r>
        <w:t xml:space="preserve"> </w:t>
      </w:r>
    </w:p>
    <w:p w:rsidR="00FE37D3" w:rsidRDefault="00FE37D3" w:rsidP="00BA010D">
      <w:pPr>
        <w:spacing w:before="120"/>
        <w:rPr>
          <w:rFonts w:asciiTheme="minorHAnsi" w:hAnsiTheme="minorHAnsi" w:cstheme="minorHAnsi"/>
        </w:rPr>
      </w:pPr>
      <w:r w:rsidRPr="00BA010D">
        <w:rPr>
          <w:rFonts w:asciiTheme="minorHAnsi" w:hAnsiTheme="minorHAnsi" w:cstheme="minorHAnsi"/>
        </w:rPr>
        <w:t xml:space="preserve">There is uncertainty over the extent </w:t>
      </w:r>
      <w:r w:rsidR="00832CEA">
        <w:rPr>
          <w:rFonts w:asciiTheme="minorHAnsi" w:hAnsiTheme="minorHAnsi" w:cstheme="minorHAnsi"/>
        </w:rPr>
        <w:t>that</w:t>
      </w:r>
      <w:r w:rsidRPr="00BA010D">
        <w:rPr>
          <w:rFonts w:asciiTheme="minorHAnsi" w:hAnsiTheme="minorHAnsi" w:cstheme="minorHAnsi"/>
        </w:rPr>
        <w:t xml:space="preserve"> Performance Solutions</w:t>
      </w:r>
      <w:r w:rsidR="00832CEA">
        <w:rPr>
          <w:rFonts w:asciiTheme="minorHAnsi" w:hAnsiTheme="minorHAnsi" w:cstheme="minorHAnsi"/>
        </w:rPr>
        <w:t xml:space="preserve"> are used</w:t>
      </w:r>
      <w:r w:rsidRPr="00BA010D">
        <w:rPr>
          <w:rFonts w:asciiTheme="minorHAnsi" w:hAnsiTheme="minorHAnsi" w:cstheme="minorHAnsi"/>
        </w:rPr>
        <w:t xml:space="preserve">, as </w:t>
      </w:r>
      <w:r>
        <w:rPr>
          <w:rFonts w:asciiTheme="minorHAnsi" w:hAnsiTheme="minorHAnsi" w:cstheme="minorHAnsi"/>
        </w:rPr>
        <w:t xml:space="preserve">data is </w:t>
      </w:r>
      <w:r w:rsidRPr="00BA010D">
        <w:rPr>
          <w:rFonts w:asciiTheme="minorHAnsi" w:hAnsiTheme="minorHAnsi" w:cstheme="minorHAnsi"/>
        </w:rPr>
        <w:t>not consistently captured or reported as part of approval documentation by states</w:t>
      </w:r>
      <w:r>
        <w:rPr>
          <w:rFonts w:asciiTheme="minorHAnsi" w:hAnsiTheme="minorHAnsi" w:cstheme="minorHAnsi"/>
        </w:rPr>
        <w:t xml:space="preserve"> and territories</w:t>
      </w:r>
      <w:r w:rsidRPr="00BA010D">
        <w:rPr>
          <w:rFonts w:asciiTheme="minorHAnsi" w:hAnsiTheme="minorHAnsi" w:cstheme="minorHAnsi"/>
        </w:rPr>
        <w:t>. Given a lack of adequate reporting and docume</w:t>
      </w:r>
      <w:r>
        <w:rPr>
          <w:rFonts w:asciiTheme="minorHAnsi" w:hAnsiTheme="minorHAnsi" w:cstheme="minorHAnsi"/>
        </w:rPr>
        <w:t xml:space="preserve">ntation, the extent of </w:t>
      </w:r>
      <w:r w:rsidRPr="00BA010D">
        <w:rPr>
          <w:rFonts w:asciiTheme="minorHAnsi" w:hAnsiTheme="minorHAnsi" w:cstheme="minorHAnsi"/>
        </w:rPr>
        <w:t xml:space="preserve">use of Performance Solutions is not known with certainty. </w:t>
      </w:r>
    </w:p>
    <w:p w:rsidR="00FE37D3" w:rsidRPr="00B141DF" w:rsidRDefault="00FE37D3" w:rsidP="00243B58">
      <w:pPr>
        <w:rPr>
          <w:rFonts w:asciiTheme="minorHAnsi" w:hAnsiTheme="minorHAnsi" w:cstheme="minorHAnsi"/>
        </w:rPr>
      </w:pPr>
      <w:r>
        <w:t>Enquiries with s</w:t>
      </w:r>
      <w:r w:rsidRPr="00B526A8">
        <w:t>tate</w:t>
      </w:r>
      <w:r>
        <w:t xml:space="preserve"> and territory</w:t>
      </w:r>
      <w:r w:rsidRPr="00B526A8">
        <w:t xml:space="preserve"> building </w:t>
      </w:r>
      <w:r>
        <w:t>authorities</w:t>
      </w:r>
      <w:r w:rsidRPr="00B526A8">
        <w:t xml:space="preserve"> suggest that information may be captured by local authorities, </w:t>
      </w:r>
      <w:r>
        <w:t>al</w:t>
      </w:r>
      <w:r w:rsidRPr="00B526A8">
        <w:t>though it is generally not coordinated</w:t>
      </w:r>
      <w:r>
        <w:t xml:space="preserve"> or</w:t>
      </w:r>
      <w:r w:rsidRPr="00B526A8">
        <w:t xml:space="preserve"> consistent. Anecdotally, the use of Performance Solutions </w:t>
      </w:r>
      <w:r w:rsidR="00832CEA">
        <w:t xml:space="preserve">is generally lower </w:t>
      </w:r>
      <w:r w:rsidRPr="00B526A8">
        <w:t>in residential (Class 1) buildings</w:t>
      </w:r>
      <w:r w:rsidR="00832CEA">
        <w:t xml:space="preserve"> –</w:t>
      </w:r>
      <w:r w:rsidRPr="00B526A8">
        <w:t xml:space="preserve"> due to their lesser comparative size, complexity, variability, cost and margins</w:t>
      </w:r>
      <w:r w:rsidR="00832CEA">
        <w:t xml:space="preserve"> –</w:t>
      </w:r>
      <w:r w:rsidRPr="00B526A8">
        <w:t xml:space="preserve"> as well as in plumbing</w:t>
      </w:r>
      <w:r w:rsidRPr="005E1DCB">
        <w:rPr>
          <w:rFonts w:asciiTheme="minorHAnsi" w:hAnsiTheme="minorHAnsi" w:cstheme="minorHAnsi"/>
        </w:rPr>
        <w:t>.</w:t>
      </w:r>
      <w:r w:rsidRPr="005E1DCB">
        <w:rPr>
          <w:rStyle w:val="FootnoteReference"/>
          <w:rFonts w:asciiTheme="minorHAnsi" w:hAnsiTheme="minorHAnsi" w:cstheme="minorHAnsi"/>
        </w:rPr>
        <w:footnoteReference w:id="36"/>
      </w:r>
      <w:r w:rsidRPr="005E1DCB">
        <w:rPr>
          <w:rFonts w:asciiTheme="minorHAnsi" w:hAnsiTheme="minorHAnsi" w:cstheme="minorHAnsi"/>
          <w:vertAlign w:val="superscript"/>
        </w:rPr>
        <w:t>,</w:t>
      </w:r>
      <w:r w:rsidRPr="005E1DCB">
        <w:rPr>
          <w:rStyle w:val="FootnoteReference"/>
          <w:rFonts w:asciiTheme="minorHAnsi" w:hAnsiTheme="minorHAnsi" w:cstheme="minorHAnsi"/>
        </w:rPr>
        <w:footnoteReference w:id="37"/>
      </w:r>
    </w:p>
    <w:p w:rsidR="00FE37D3" w:rsidRPr="00B526A8" w:rsidRDefault="00FE37D3" w:rsidP="00243B58">
      <w:r w:rsidRPr="00B526A8">
        <w:lastRenderedPageBreak/>
        <w:t>Notwithstanding the lack of reliable data, the estimates</w:t>
      </w:r>
      <w:r>
        <w:t xml:space="preserve"> in Table 1</w:t>
      </w:r>
      <w:r w:rsidRPr="00B526A8">
        <w:t xml:space="preserve"> have been derived </w:t>
      </w:r>
      <w:r>
        <w:t xml:space="preserve">using </w:t>
      </w:r>
      <w:r w:rsidRPr="00B526A8">
        <w:t>figures from voluntary reporting of around two</w:t>
      </w:r>
      <w:r w:rsidR="00832CEA">
        <w:t>-</w:t>
      </w:r>
      <w:r w:rsidRPr="00B526A8">
        <w:t>thirds of local government areas in one state (W</w:t>
      </w:r>
      <w:r w:rsidR="00832CEA">
        <w:t xml:space="preserve">estern </w:t>
      </w:r>
      <w:r w:rsidRPr="00B526A8">
        <w:t>A</w:t>
      </w:r>
      <w:r w:rsidR="00832CEA">
        <w:t>ustralia</w:t>
      </w:r>
      <w:r w:rsidRPr="00B526A8">
        <w:t xml:space="preserve">), which if reflective of other </w:t>
      </w:r>
      <w:r>
        <w:t>jurisdictions</w:t>
      </w:r>
      <w:r w:rsidRPr="00B526A8">
        <w:t xml:space="preserve"> would imply the following: </w:t>
      </w:r>
    </w:p>
    <w:p w:rsidR="00FE37D3" w:rsidRPr="00243B58" w:rsidRDefault="00FE37D3" w:rsidP="0094445C">
      <w:pPr>
        <w:pStyle w:val="Caption"/>
        <w:keepLines/>
      </w:pPr>
      <w:r w:rsidRPr="00243B58">
        <w:t xml:space="preserve">Table </w:t>
      </w:r>
      <w:r>
        <w:rPr>
          <w:noProof/>
        </w:rPr>
        <w:fldChar w:fldCharType="begin"/>
      </w:r>
      <w:r>
        <w:rPr>
          <w:noProof/>
        </w:rPr>
        <w:instrText xml:space="preserve"> SEQ Table \* ARABIC </w:instrText>
      </w:r>
      <w:r>
        <w:rPr>
          <w:noProof/>
        </w:rPr>
        <w:fldChar w:fldCharType="separate"/>
      </w:r>
      <w:r w:rsidR="002D1698">
        <w:rPr>
          <w:noProof/>
        </w:rPr>
        <w:t>1</w:t>
      </w:r>
      <w:r>
        <w:rPr>
          <w:noProof/>
        </w:rPr>
        <w:fldChar w:fldCharType="end"/>
      </w:r>
      <w:r w:rsidRPr="00243B58">
        <w:t>: Implied proportion of solutions using performance-based design</w:t>
      </w:r>
    </w:p>
    <w:tbl>
      <w:tblPr>
        <w:tblStyle w:val="TableGrid"/>
        <w:tblW w:w="0" w:type="auto"/>
        <w:tblLook w:val="04A0" w:firstRow="1" w:lastRow="0" w:firstColumn="1" w:lastColumn="0" w:noHBand="0" w:noVBand="1"/>
        <w:tblCaption w:val="Table 1: Implied proportion of solutions using performance-based design"/>
      </w:tblPr>
      <w:tblGrid>
        <w:gridCol w:w="2835"/>
        <w:gridCol w:w="1545"/>
        <w:gridCol w:w="1545"/>
        <w:gridCol w:w="1545"/>
        <w:gridCol w:w="1546"/>
      </w:tblGrid>
      <w:tr w:rsidR="00FE37D3" w:rsidTr="003756FF">
        <w:trPr>
          <w:tblHeader/>
        </w:trPr>
        <w:tc>
          <w:tcPr>
            <w:tcW w:w="2835" w:type="dxa"/>
            <w:tcBorders>
              <w:top w:val="nil"/>
              <w:left w:val="nil"/>
              <w:bottom w:val="single" w:sz="4" w:space="0" w:color="184897"/>
              <w:right w:val="nil"/>
            </w:tcBorders>
            <w:shd w:val="clear" w:color="auto" w:fill="184897"/>
          </w:tcPr>
          <w:p w:rsidR="00FE37D3" w:rsidRPr="00521D7B" w:rsidRDefault="00FE37D3" w:rsidP="0094445C">
            <w:pPr>
              <w:pStyle w:val="TableHeading"/>
              <w:keepLines/>
            </w:pPr>
            <w:r w:rsidRPr="00521D7B">
              <w:t>Class 1</w:t>
            </w:r>
          </w:p>
        </w:tc>
        <w:tc>
          <w:tcPr>
            <w:tcW w:w="1545" w:type="dxa"/>
            <w:tcBorders>
              <w:top w:val="nil"/>
              <w:left w:val="nil"/>
              <w:bottom w:val="single" w:sz="4" w:space="0" w:color="184897"/>
              <w:right w:val="nil"/>
            </w:tcBorders>
            <w:shd w:val="clear" w:color="auto" w:fill="184897"/>
          </w:tcPr>
          <w:p w:rsidR="00FE37D3" w:rsidRPr="00521D7B" w:rsidRDefault="00FE37D3" w:rsidP="0094445C">
            <w:pPr>
              <w:pStyle w:val="TableHeading"/>
              <w:keepLines/>
              <w:jc w:val="center"/>
            </w:pPr>
            <w:r>
              <w:t>Sample</w:t>
            </w:r>
          </w:p>
        </w:tc>
        <w:tc>
          <w:tcPr>
            <w:tcW w:w="1545" w:type="dxa"/>
            <w:tcBorders>
              <w:top w:val="nil"/>
              <w:left w:val="nil"/>
              <w:bottom w:val="single" w:sz="4" w:space="0" w:color="184897"/>
              <w:right w:val="nil"/>
            </w:tcBorders>
            <w:shd w:val="clear" w:color="auto" w:fill="184897"/>
          </w:tcPr>
          <w:p w:rsidR="00FE37D3" w:rsidRPr="00521D7B" w:rsidRDefault="00FE37D3" w:rsidP="0094445C">
            <w:pPr>
              <w:pStyle w:val="TableHeading"/>
              <w:keepLines/>
              <w:jc w:val="center"/>
            </w:pPr>
            <w:r>
              <w:t>State</w:t>
            </w:r>
            <w:r w:rsidRPr="00C3091E">
              <w:rPr>
                <w:vertAlign w:val="superscript"/>
              </w:rPr>
              <w:t>2</w:t>
            </w:r>
          </w:p>
        </w:tc>
        <w:tc>
          <w:tcPr>
            <w:tcW w:w="1545" w:type="dxa"/>
            <w:tcBorders>
              <w:top w:val="nil"/>
              <w:left w:val="nil"/>
              <w:bottom w:val="single" w:sz="4" w:space="0" w:color="184897"/>
              <w:right w:val="nil"/>
            </w:tcBorders>
            <w:shd w:val="clear" w:color="auto" w:fill="184897"/>
          </w:tcPr>
          <w:p w:rsidR="00FE37D3" w:rsidRPr="00521D7B" w:rsidRDefault="00FE37D3" w:rsidP="0094445C">
            <w:pPr>
              <w:pStyle w:val="TableHeading"/>
              <w:keepLines/>
              <w:jc w:val="center"/>
            </w:pPr>
            <w:r>
              <w:t>Australia</w:t>
            </w:r>
            <w:r w:rsidRPr="00C3091E">
              <w:rPr>
                <w:vertAlign w:val="superscript"/>
              </w:rPr>
              <w:t>3</w:t>
            </w:r>
          </w:p>
        </w:tc>
        <w:tc>
          <w:tcPr>
            <w:tcW w:w="1546" w:type="dxa"/>
            <w:tcBorders>
              <w:top w:val="nil"/>
              <w:left w:val="nil"/>
              <w:bottom w:val="single" w:sz="4" w:space="0" w:color="184897"/>
              <w:right w:val="nil"/>
            </w:tcBorders>
            <w:shd w:val="clear" w:color="auto" w:fill="184897"/>
          </w:tcPr>
          <w:p w:rsidR="00FE37D3" w:rsidRPr="00521D7B" w:rsidRDefault="00FE37D3" w:rsidP="0094445C">
            <w:pPr>
              <w:pStyle w:val="TableHeading"/>
              <w:keepLines/>
              <w:jc w:val="center"/>
            </w:pPr>
            <w:r>
              <w:t>Percentage</w:t>
            </w:r>
          </w:p>
        </w:tc>
      </w:tr>
      <w:tr w:rsidR="00FE37D3" w:rsidRPr="00243B58" w:rsidTr="005E1DCB">
        <w:tc>
          <w:tcPr>
            <w:tcW w:w="2835" w:type="dxa"/>
            <w:tcBorders>
              <w:top w:val="single" w:sz="4" w:space="0" w:color="184897"/>
              <w:left w:val="nil"/>
              <w:bottom w:val="single" w:sz="4" w:space="0" w:color="184897"/>
              <w:right w:val="nil"/>
            </w:tcBorders>
          </w:tcPr>
          <w:p w:rsidR="00FE37D3" w:rsidRPr="00243B58" w:rsidRDefault="00FE37D3" w:rsidP="0094445C">
            <w:pPr>
              <w:pStyle w:val="TableBody"/>
              <w:keepNext/>
              <w:keepLines/>
            </w:pPr>
            <w:r w:rsidRPr="00243B58">
              <w:t>Number of buildings</w:t>
            </w:r>
          </w:p>
        </w:tc>
        <w:tc>
          <w:tcPr>
            <w:tcW w:w="1545" w:type="dxa"/>
            <w:tcBorders>
              <w:top w:val="single" w:sz="4" w:space="0" w:color="184897"/>
              <w:left w:val="nil"/>
              <w:bottom w:val="single" w:sz="4" w:space="0" w:color="184897"/>
              <w:right w:val="nil"/>
            </w:tcBorders>
          </w:tcPr>
          <w:p w:rsidR="00FE37D3" w:rsidRPr="00243B58" w:rsidRDefault="00FE37D3" w:rsidP="0094445C">
            <w:pPr>
              <w:pStyle w:val="TableBody"/>
              <w:keepNext/>
              <w:keepLines/>
              <w:jc w:val="center"/>
            </w:pPr>
            <w:r>
              <w:t>6,711</w:t>
            </w:r>
          </w:p>
        </w:tc>
        <w:tc>
          <w:tcPr>
            <w:tcW w:w="1545" w:type="dxa"/>
            <w:tcBorders>
              <w:top w:val="single" w:sz="4" w:space="0" w:color="184897"/>
              <w:left w:val="nil"/>
              <w:bottom w:val="single" w:sz="4" w:space="0" w:color="184897"/>
              <w:right w:val="nil"/>
            </w:tcBorders>
          </w:tcPr>
          <w:p w:rsidR="00FE37D3" w:rsidRPr="00243B58" w:rsidRDefault="00FE37D3" w:rsidP="0094445C">
            <w:pPr>
              <w:pStyle w:val="TableBody"/>
              <w:keepNext/>
              <w:keepLines/>
              <w:jc w:val="center"/>
            </w:pPr>
            <w:r w:rsidRPr="00243B58">
              <w:t>20,729</w:t>
            </w:r>
          </w:p>
        </w:tc>
        <w:tc>
          <w:tcPr>
            <w:tcW w:w="1545" w:type="dxa"/>
            <w:tcBorders>
              <w:top w:val="single" w:sz="4" w:space="0" w:color="184897"/>
              <w:left w:val="nil"/>
              <w:bottom w:val="single" w:sz="4" w:space="0" w:color="184897"/>
              <w:right w:val="nil"/>
            </w:tcBorders>
          </w:tcPr>
          <w:p w:rsidR="00FE37D3" w:rsidRPr="00243B58" w:rsidRDefault="00FE37D3" w:rsidP="0094445C">
            <w:pPr>
              <w:pStyle w:val="TableBody"/>
              <w:keepNext/>
              <w:keepLines/>
              <w:jc w:val="center"/>
            </w:pPr>
            <w:r w:rsidRPr="00243B58">
              <w:t>116,548</w:t>
            </w:r>
          </w:p>
        </w:tc>
        <w:tc>
          <w:tcPr>
            <w:tcW w:w="1546" w:type="dxa"/>
            <w:tcBorders>
              <w:top w:val="single" w:sz="4" w:space="0" w:color="184897"/>
              <w:left w:val="nil"/>
              <w:bottom w:val="single" w:sz="4" w:space="0" w:color="184897"/>
              <w:right w:val="nil"/>
            </w:tcBorders>
          </w:tcPr>
          <w:p w:rsidR="00FE37D3" w:rsidRPr="00243B58" w:rsidRDefault="00FE37D3" w:rsidP="0094445C">
            <w:pPr>
              <w:pStyle w:val="TableBody"/>
              <w:keepNext/>
              <w:keepLines/>
              <w:jc w:val="center"/>
            </w:pPr>
            <w:r w:rsidRPr="00243B58">
              <w:t>(100%)</w:t>
            </w:r>
          </w:p>
        </w:tc>
      </w:tr>
      <w:tr w:rsidR="00FE37D3" w:rsidRPr="00243B58" w:rsidTr="005E1DCB">
        <w:tc>
          <w:tcPr>
            <w:tcW w:w="2835" w:type="dxa"/>
            <w:tcBorders>
              <w:top w:val="single" w:sz="4" w:space="0" w:color="184897"/>
              <w:left w:val="nil"/>
              <w:bottom w:val="single" w:sz="4" w:space="0" w:color="184897"/>
              <w:right w:val="nil"/>
            </w:tcBorders>
          </w:tcPr>
          <w:p w:rsidR="00FE37D3" w:rsidRPr="00243B58" w:rsidRDefault="00FE37D3" w:rsidP="0094445C">
            <w:pPr>
              <w:pStyle w:val="TableBody"/>
              <w:keepNext/>
              <w:keepLines/>
            </w:pPr>
            <w:r w:rsidRPr="00243B58">
              <w:t>Number of Performance Solutions</w:t>
            </w:r>
          </w:p>
        </w:tc>
        <w:tc>
          <w:tcPr>
            <w:tcW w:w="1545" w:type="dxa"/>
            <w:tcBorders>
              <w:top w:val="single" w:sz="4" w:space="0" w:color="184897"/>
              <w:left w:val="nil"/>
              <w:bottom w:val="single" w:sz="4" w:space="0" w:color="184897"/>
              <w:right w:val="nil"/>
            </w:tcBorders>
          </w:tcPr>
          <w:p w:rsidR="00FE37D3" w:rsidRPr="00243B58" w:rsidRDefault="00FE37D3" w:rsidP="0094445C">
            <w:pPr>
              <w:pStyle w:val="TableBody"/>
              <w:keepNext/>
              <w:keepLines/>
              <w:jc w:val="center"/>
            </w:pPr>
            <w:r>
              <w:t>594</w:t>
            </w:r>
          </w:p>
        </w:tc>
        <w:tc>
          <w:tcPr>
            <w:tcW w:w="1545" w:type="dxa"/>
            <w:tcBorders>
              <w:top w:val="single" w:sz="4" w:space="0" w:color="184897"/>
              <w:left w:val="nil"/>
              <w:bottom w:val="single" w:sz="4" w:space="0" w:color="184897"/>
              <w:right w:val="nil"/>
            </w:tcBorders>
          </w:tcPr>
          <w:p w:rsidR="00FE37D3" w:rsidRPr="00243B58" w:rsidRDefault="00FE37D3" w:rsidP="0094445C">
            <w:pPr>
              <w:pStyle w:val="TableBody"/>
              <w:keepNext/>
              <w:keepLines/>
              <w:jc w:val="center"/>
            </w:pPr>
            <w:r>
              <w:t>1,741</w:t>
            </w:r>
          </w:p>
        </w:tc>
        <w:tc>
          <w:tcPr>
            <w:tcW w:w="1545" w:type="dxa"/>
            <w:tcBorders>
              <w:top w:val="single" w:sz="4" w:space="0" w:color="184897"/>
              <w:left w:val="nil"/>
              <w:bottom w:val="single" w:sz="4" w:space="0" w:color="184897"/>
              <w:right w:val="nil"/>
            </w:tcBorders>
          </w:tcPr>
          <w:p w:rsidR="00FE37D3" w:rsidRPr="00243B58" w:rsidRDefault="00FE37D3" w:rsidP="0094445C">
            <w:pPr>
              <w:pStyle w:val="TableBody"/>
              <w:keepNext/>
              <w:keepLines/>
              <w:jc w:val="center"/>
            </w:pPr>
            <w:r w:rsidRPr="00243B58">
              <w:t>3</w:t>
            </w:r>
            <w:r>
              <w:t>,3</w:t>
            </w:r>
            <w:r w:rsidRPr="00243B58">
              <w:t>45</w:t>
            </w:r>
            <w:r w:rsidRPr="00B56CF8">
              <w:rPr>
                <w:vertAlign w:val="superscript"/>
              </w:rPr>
              <w:t>2</w:t>
            </w:r>
          </w:p>
        </w:tc>
        <w:tc>
          <w:tcPr>
            <w:tcW w:w="1546" w:type="dxa"/>
            <w:tcBorders>
              <w:top w:val="single" w:sz="4" w:space="0" w:color="184897"/>
              <w:left w:val="nil"/>
              <w:bottom w:val="single" w:sz="4" w:space="0" w:color="184897"/>
              <w:right w:val="nil"/>
            </w:tcBorders>
          </w:tcPr>
          <w:p w:rsidR="00FE37D3" w:rsidRPr="00243B58" w:rsidRDefault="00FE37D3" w:rsidP="0094445C">
            <w:pPr>
              <w:pStyle w:val="TableBody"/>
              <w:keepNext/>
              <w:keepLines/>
              <w:jc w:val="center"/>
            </w:pPr>
            <w:r w:rsidRPr="00243B58">
              <w:t>(2.</w:t>
            </w:r>
            <w:r>
              <w:t>87</w:t>
            </w:r>
            <w:r w:rsidRPr="00243B58">
              <w:t>%)</w:t>
            </w:r>
          </w:p>
        </w:tc>
      </w:tr>
      <w:tr w:rsidR="00FE37D3" w:rsidTr="005E1DCB">
        <w:tc>
          <w:tcPr>
            <w:tcW w:w="2835" w:type="dxa"/>
            <w:tcBorders>
              <w:top w:val="single" w:sz="4" w:space="0" w:color="184897"/>
              <w:left w:val="nil"/>
              <w:bottom w:val="single" w:sz="4" w:space="0" w:color="184897"/>
              <w:right w:val="nil"/>
            </w:tcBorders>
            <w:shd w:val="clear" w:color="auto" w:fill="184897"/>
          </w:tcPr>
          <w:p w:rsidR="00FE37D3" w:rsidRPr="00521D7B" w:rsidRDefault="00FE37D3" w:rsidP="0094445C">
            <w:pPr>
              <w:pStyle w:val="TableHeading"/>
              <w:keepLines/>
            </w:pPr>
            <w:r>
              <w:t>Class 2 – 9</w:t>
            </w:r>
          </w:p>
        </w:tc>
        <w:tc>
          <w:tcPr>
            <w:tcW w:w="1545" w:type="dxa"/>
            <w:tcBorders>
              <w:top w:val="single" w:sz="4" w:space="0" w:color="184897"/>
              <w:left w:val="nil"/>
              <w:bottom w:val="single" w:sz="4" w:space="0" w:color="184897"/>
              <w:right w:val="nil"/>
            </w:tcBorders>
            <w:shd w:val="clear" w:color="auto" w:fill="184897"/>
          </w:tcPr>
          <w:p w:rsidR="00FE37D3" w:rsidRPr="00521D7B" w:rsidRDefault="00FE37D3" w:rsidP="0094445C">
            <w:pPr>
              <w:pStyle w:val="TableHeading"/>
              <w:keepLines/>
              <w:jc w:val="center"/>
            </w:pPr>
            <w:r>
              <w:t>Sample</w:t>
            </w:r>
          </w:p>
        </w:tc>
        <w:tc>
          <w:tcPr>
            <w:tcW w:w="1545" w:type="dxa"/>
            <w:tcBorders>
              <w:top w:val="single" w:sz="4" w:space="0" w:color="184897"/>
              <w:left w:val="nil"/>
              <w:bottom w:val="single" w:sz="4" w:space="0" w:color="184897"/>
              <w:right w:val="nil"/>
            </w:tcBorders>
            <w:shd w:val="clear" w:color="auto" w:fill="184897"/>
          </w:tcPr>
          <w:p w:rsidR="00FE37D3" w:rsidRPr="00521D7B" w:rsidRDefault="00FE37D3" w:rsidP="0094445C">
            <w:pPr>
              <w:pStyle w:val="TableHeading"/>
              <w:keepLines/>
              <w:jc w:val="center"/>
            </w:pPr>
            <w:r>
              <w:t>State</w:t>
            </w:r>
            <w:r w:rsidRPr="00C3091E">
              <w:rPr>
                <w:vertAlign w:val="superscript"/>
              </w:rPr>
              <w:t>2</w:t>
            </w:r>
          </w:p>
        </w:tc>
        <w:tc>
          <w:tcPr>
            <w:tcW w:w="1545" w:type="dxa"/>
            <w:tcBorders>
              <w:top w:val="single" w:sz="4" w:space="0" w:color="184897"/>
              <w:left w:val="nil"/>
              <w:bottom w:val="single" w:sz="4" w:space="0" w:color="184897"/>
              <w:right w:val="nil"/>
            </w:tcBorders>
            <w:shd w:val="clear" w:color="auto" w:fill="184897"/>
          </w:tcPr>
          <w:p w:rsidR="00FE37D3" w:rsidRPr="00521D7B" w:rsidRDefault="00FE37D3" w:rsidP="0094445C">
            <w:pPr>
              <w:pStyle w:val="TableHeading"/>
              <w:keepLines/>
              <w:jc w:val="center"/>
            </w:pPr>
            <w:r>
              <w:t>Australia</w:t>
            </w:r>
            <w:r w:rsidRPr="00C3091E">
              <w:rPr>
                <w:vertAlign w:val="superscript"/>
              </w:rPr>
              <w:t>3</w:t>
            </w:r>
          </w:p>
        </w:tc>
        <w:tc>
          <w:tcPr>
            <w:tcW w:w="1546" w:type="dxa"/>
            <w:tcBorders>
              <w:top w:val="single" w:sz="4" w:space="0" w:color="184897"/>
              <w:left w:val="nil"/>
              <w:bottom w:val="single" w:sz="4" w:space="0" w:color="184897"/>
              <w:right w:val="nil"/>
            </w:tcBorders>
            <w:shd w:val="clear" w:color="auto" w:fill="184897"/>
          </w:tcPr>
          <w:p w:rsidR="00FE37D3" w:rsidRPr="00521D7B" w:rsidRDefault="00FE37D3" w:rsidP="0094445C">
            <w:pPr>
              <w:pStyle w:val="TableHeading"/>
              <w:keepLines/>
              <w:jc w:val="center"/>
            </w:pPr>
            <w:r>
              <w:t>Percentage</w:t>
            </w:r>
          </w:p>
        </w:tc>
      </w:tr>
      <w:tr w:rsidR="00FE37D3" w:rsidTr="005E1DCB">
        <w:tc>
          <w:tcPr>
            <w:tcW w:w="2835" w:type="dxa"/>
            <w:tcBorders>
              <w:top w:val="single" w:sz="4" w:space="0" w:color="184897"/>
              <w:left w:val="nil"/>
              <w:bottom w:val="single" w:sz="4" w:space="0" w:color="184897"/>
              <w:right w:val="nil"/>
            </w:tcBorders>
          </w:tcPr>
          <w:p w:rsidR="00FE37D3" w:rsidRPr="00521D7B" w:rsidRDefault="00FE37D3" w:rsidP="0094445C">
            <w:pPr>
              <w:pStyle w:val="TableBody"/>
              <w:keepNext/>
              <w:keepLines/>
            </w:pPr>
            <w:r>
              <w:t>Number of buildings</w:t>
            </w:r>
          </w:p>
        </w:tc>
        <w:tc>
          <w:tcPr>
            <w:tcW w:w="1545" w:type="dxa"/>
            <w:tcBorders>
              <w:top w:val="single" w:sz="4" w:space="0" w:color="184897"/>
              <w:left w:val="nil"/>
              <w:bottom w:val="single" w:sz="4" w:space="0" w:color="184897"/>
              <w:right w:val="nil"/>
            </w:tcBorders>
          </w:tcPr>
          <w:p w:rsidR="00FE37D3" w:rsidRPr="00521D7B" w:rsidRDefault="00FE37D3" w:rsidP="0094445C">
            <w:pPr>
              <w:pStyle w:val="TableBody"/>
              <w:keepNext/>
              <w:keepLines/>
              <w:jc w:val="center"/>
            </w:pPr>
            <w:r>
              <w:t>1,156</w:t>
            </w:r>
            <w:r w:rsidRPr="00C65623">
              <w:rPr>
                <w:vertAlign w:val="superscript"/>
              </w:rPr>
              <w:t>4</w:t>
            </w:r>
          </w:p>
        </w:tc>
        <w:tc>
          <w:tcPr>
            <w:tcW w:w="1545" w:type="dxa"/>
            <w:tcBorders>
              <w:top w:val="single" w:sz="4" w:space="0" w:color="184897"/>
              <w:left w:val="nil"/>
              <w:bottom w:val="single" w:sz="4" w:space="0" w:color="184897"/>
              <w:right w:val="nil"/>
            </w:tcBorders>
          </w:tcPr>
          <w:p w:rsidR="00FE37D3" w:rsidRPr="00521D7B" w:rsidRDefault="00FE37D3" w:rsidP="0094445C">
            <w:pPr>
              <w:pStyle w:val="TableBody"/>
              <w:keepNext/>
              <w:keepLines/>
              <w:jc w:val="center"/>
            </w:pPr>
            <w:r>
              <w:t>3,240</w:t>
            </w:r>
            <w:r w:rsidRPr="00C65623">
              <w:rPr>
                <w:vertAlign w:val="superscript"/>
              </w:rPr>
              <w:t>6</w:t>
            </w:r>
          </w:p>
        </w:tc>
        <w:tc>
          <w:tcPr>
            <w:tcW w:w="1545" w:type="dxa"/>
            <w:tcBorders>
              <w:top w:val="single" w:sz="4" w:space="0" w:color="184897"/>
              <w:left w:val="nil"/>
              <w:bottom w:val="single" w:sz="4" w:space="0" w:color="184897"/>
              <w:right w:val="nil"/>
            </w:tcBorders>
          </w:tcPr>
          <w:p w:rsidR="00FE37D3" w:rsidRPr="00521D7B" w:rsidRDefault="00FE37D3" w:rsidP="0094445C">
            <w:pPr>
              <w:pStyle w:val="TableBody"/>
              <w:keepNext/>
              <w:keepLines/>
              <w:jc w:val="center"/>
            </w:pPr>
            <w:r>
              <w:t>24,000</w:t>
            </w:r>
          </w:p>
        </w:tc>
        <w:tc>
          <w:tcPr>
            <w:tcW w:w="1546" w:type="dxa"/>
            <w:tcBorders>
              <w:top w:val="single" w:sz="4" w:space="0" w:color="184897"/>
              <w:left w:val="nil"/>
              <w:bottom w:val="single" w:sz="4" w:space="0" w:color="184897"/>
              <w:right w:val="nil"/>
            </w:tcBorders>
          </w:tcPr>
          <w:p w:rsidR="00FE37D3" w:rsidRPr="00521D7B" w:rsidRDefault="00FE37D3" w:rsidP="0094445C">
            <w:pPr>
              <w:pStyle w:val="TableBody"/>
              <w:keepNext/>
              <w:keepLines/>
              <w:jc w:val="center"/>
            </w:pPr>
            <w:r>
              <w:t>(100%)</w:t>
            </w:r>
          </w:p>
        </w:tc>
      </w:tr>
      <w:tr w:rsidR="00FE37D3" w:rsidTr="005E1DCB">
        <w:tc>
          <w:tcPr>
            <w:tcW w:w="2835" w:type="dxa"/>
            <w:tcBorders>
              <w:top w:val="single" w:sz="4" w:space="0" w:color="184897"/>
              <w:left w:val="nil"/>
              <w:bottom w:val="single" w:sz="4" w:space="0" w:color="184897"/>
              <w:right w:val="nil"/>
            </w:tcBorders>
          </w:tcPr>
          <w:p w:rsidR="00FE37D3" w:rsidRPr="00521D7B" w:rsidRDefault="00FE37D3" w:rsidP="0094445C">
            <w:pPr>
              <w:pStyle w:val="TableBody"/>
              <w:keepNext/>
              <w:keepLines/>
            </w:pPr>
            <w:r>
              <w:t>Number of Performance Solutions</w:t>
            </w:r>
          </w:p>
        </w:tc>
        <w:tc>
          <w:tcPr>
            <w:tcW w:w="1545" w:type="dxa"/>
            <w:tcBorders>
              <w:top w:val="single" w:sz="4" w:space="0" w:color="184897"/>
              <w:left w:val="nil"/>
              <w:bottom w:val="single" w:sz="4" w:space="0" w:color="184897"/>
              <w:right w:val="nil"/>
            </w:tcBorders>
          </w:tcPr>
          <w:p w:rsidR="00FE37D3" w:rsidRPr="00521D7B" w:rsidRDefault="00FE37D3" w:rsidP="0094445C">
            <w:pPr>
              <w:pStyle w:val="TableBody"/>
              <w:keepNext/>
              <w:keepLines/>
              <w:jc w:val="center"/>
            </w:pPr>
            <w:r>
              <w:t>62</w:t>
            </w:r>
            <w:r w:rsidRPr="00C65623">
              <w:rPr>
                <w:vertAlign w:val="superscript"/>
              </w:rPr>
              <w:t>4</w:t>
            </w:r>
          </w:p>
        </w:tc>
        <w:tc>
          <w:tcPr>
            <w:tcW w:w="1545" w:type="dxa"/>
            <w:tcBorders>
              <w:top w:val="single" w:sz="4" w:space="0" w:color="184897"/>
              <w:left w:val="nil"/>
              <w:bottom w:val="single" w:sz="4" w:space="0" w:color="184897"/>
              <w:right w:val="nil"/>
            </w:tcBorders>
          </w:tcPr>
          <w:p w:rsidR="00FE37D3" w:rsidRPr="00521D7B" w:rsidRDefault="00FE37D3" w:rsidP="0094445C">
            <w:pPr>
              <w:pStyle w:val="TableBody"/>
              <w:keepNext/>
              <w:keepLines/>
              <w:jc w:val="center"/>
            </w:pPr>
            <w:r>
              <w:t>792</w:t>
            </w:r>
            <w:r w:rsidRPr="00C65623">
              <w:rPr>
                <w:vertAlign w:val="superscript"/>
              </w:rPr>
              <w:t>5</w:t>
            </w:r>
          </w:p>
        </w:tc>
        <w:tc>
          <w:tcPr>
            <w:tcW w:w="1545" w:type="dxa"/>
            <w:tcBorders>
              <w:top w:val="single" w:sz="4" w:space="0" w:color="184897"/>
              <w:left w:val="nil"/>
              <w:bottom w:val="single" w:sz="4" w:space="0" w:color="184897"/>
              <w:right w:val="nil"/>
            </w:tcBorders>
          </w:tcPr>
          <w:p w:rsidR="00FE37D3" w:rsidRPr="00521D7B" w:rsidRDefault="00FE37D3" w:rsidP="0094445C">
            <w:pPr>
              <w:pStyle w:val="TableBody"/>
              <w:keepNext/>
              <w:keepLines/>
              <w:jc w:val="center"/>
            </w:pPr>
            <w:r>
              <w:t>3,052</w:t>
            </w:r>
          </w:p>
        </w:tc>
        <w:tc>
          <w:tcPr>
            <w:tcW w:w="1546" w:type="dxa"/>
            <w:tcBorders>
              <w:top w:val="single" w:sz="4" w:space="0" w:color="184897"/>
              <w:left w:val="nil"/>
              <w:bottom w:val="single" w:sz="4" w:space="0" w:color="184897"/>
              <w:right w:val="nil"/>
            </w:tcBorders>
          </w:tcPr>
          <w:p w:rsidR="00FE37D3" w:rsidRPr="00521D7B" w:rsidRDefault="00FE37D3" w:rsidP="0094445C">
            <w:pPr>
              <w:pStyle w:val="TableBody"/>
              <w:keepNext/>
              <w:keepLines/>
              <w:jc w:val="center"/>
            </w:pPr>
            <w:r>
              <w:t>(12.72%)</w:t>
            </w:r>
          </w:p>
        </w:tc>
      </w:tr>
    </w:tbl>
    <w:p w:rsidR="00FE37D3" w:rsidRPr="004146D1" w:rsidRDefault="00FE37D3" w:rsidP="00243B58">
      <w:pPr>
        <w:spacing w:before="120" w:after="120" w:line="240" w:lineRule="auto"/>
        <w:rPr>
          <w:rFonts w:asciiTheme="minorHAnsi" w:hAnsiTheme="minorHAnsi" w:cstheme="minorHAnsi"/>
          <w:sz w:val="18"/>
          <w:szCs w:val="20"/>
        </w:rPr>
      </w:pPr>
      <w:r w:rsidRPr="004146D1">
        <w:rPr>
          <w:rFonts w:asciiTheme="minorHAnsi" w:hAnsiTheme="minorHAnsi" w:cstheme="minorHAnsi"/>
          <w:sz w:val="18"/>
          <w:szCs w:val="20"/>
        </w:rPr>
        <w:t xml:space="preserve">Notes: </w:t>
      </w:r>
    </w:p>
    <w:p w:rsidR="00FE37D3" w:rsidRPr="004146D1" w:rsidRDefault="00FE37D3" w:rsidP="00164CBF">
      <w:pPr>
        <w:spacing w:before="120" w:after="120" w:line="240" w:lineRule="auto"/>
        <w:rPr>
          <w:rFonts w:asciiTheme="minorHAnsi" w:hAnsiTheme="minorHAnsi" w:cstheme="minorHAnsi"/>
          <w:sz w:val="18"/>
          <w:szCs w:val="20"/>
        </w:rPr>
      </w:pPr>
      <w:r w:rsidRPr="004146D1">
        <w:rPr>
          <w:rFonts w:asciiTheme="minorHAnsi" w:hAnsiTheme="minorHAnsi" w:cstheme="minorHAnsi"/>
          <w:sz w:val="18"/>
          <w:szCs w:val="20"/>
        </w:rPr>
        <w:t xml:space="preserve">1. Jurisdictional data based on totals by </w:t>
      </w:r>
      <w:r w:rsidR="00832CEA">
        <w:rPr>
          <w:rFonts w:asciiTheme="minorHAnsi" w:hAnsiTheme="minorHAnsi" w:cstheme="minorHAnsi"/>
          <w:sz w:val="18"/>
          <w:szCs w:val="20"/>
        </w:rPr>
        <w:t>C</w:t>
      </w:r>
      <w:r w:rsidRPr="004146D1">
        <w:rPr>
          <w:rFonts w:asciiTheme="minorHAnsi" w:hAnsiTheme="minorHAnsi" w:cstheme="minorHAnsi"/>
          <w:sz w:val="18"/>
          <w:szCs w:val="20"/>
        </w:rPr>
        <w:t xml:space="preserve">lass </w:t>
      </w:r>
      <w:r w:rsidR="00832CEA">
        <w:rPr>
          <w:rFonts w:asciiTheme="minorHAnsi" w:hAnsiTheme="minorHAnsi" w:cstheme="minorHAnsi"/>
          <w:sz w:val="18"/>
          <w:szCs w:val="20"/>
        </w:rPr>
        <w:t xml:space="preserve">- </w:t>
      </w:r>
      <w:r w:rsidRPr="004146D1">
        <w:rPr>
          <w:rFonts w:asciiTheme="minorHAnsi" w:hAnsiTheme="minorHAnsi" w:cstheme="minorHAnsi"/>
          <w:sz w:val="18"/>
          <w:szCs w:val="20"/>
        </w:rPr>
        <w:t xml:space="preserve">September 2018 to September 2019 </w:t>
      </w:r>
    </w:p>
    <w:p w:rsidR="00FE37D3" w:rsidRPr="004146D1" w:rsidRDefault="00FE37D3" w:rsidP="00164CBF">
      <w:pPr>
        <w:spacing w:before="120" w:after="120" w:line="240" w:lineRule="auto"/>
        <w:rPr>
          <w:rFonts w:asciiTheme="minorHAnsi" w:hAnsiTheme="minorHAnsi" w:cstheme="minorHAnsi"/>
          <w:sz w:val="18"/>
          <w:szCs w:val="20"/>
        </w:rPr>
      </w:pPr>
      <w:r w:rsidRPr="004146D1">
        <w:rPr>
          <w:rFonts w:asciiTheme="minorHAnsi" w:hAnsiTheme="minorHAnsi" w:cstheme="minorHAnsi"/>
          <w:sz w:val="18"/>
          <w:szCs w:val="20"/>
        </w:rPr>
        <w:t xml:space="preserve">2. Extrapolated based the sample’s share of state development. </w:t>
      </w:r>
    </w:p>
    <w:p w:rsidR="00FE37D3" w:rsidRPr="004146D1" w:rsidRDefault="00FE37D3" w:rsidP="00164CBF">
      <w:pPr>
        <w:spacing w:before="120" w:after="120" w:line="240" w:lineRule="auto"/>
        <w:rPr>
          <w:rFonts w:asciiTheme="minorHAnsi" w:hAnsiTheme="minorHAnsi" w:cstheme="minorHAnsi"/>
          <w:sz w:val="18"/>
          <w:szCs w:val="20"/>
        </w:rPr>
      </w:pPr>
      <w:r w:rsidRPr="004146D1">
        <w:rPr>
          <w:rFonts w:asciiTheme="minorHAnsi" w:hAnsiTheme="minorHAnsi" w:cstheme="minorHAnsi"/>
          <w:sz w:val="18"/>
          <w:szCs w:val="20"/>
        </w:rPr>
        <w:t>3. Calculated using a five-year average of building approvals from 2013 to 2018 for state share of national data.</w:t>
      </w:r>
    </w:p>
    <w:p w:rsidR="00FE37D3" w:rsidRPr="004146D1" w:rsidRDefault="00FE37D3" w:rsidP="00164CBF">
      <w:pPr>
        <w:spacing w:before="120" w:after="120" w:line="240" w:lineRule="auto"/>
        <w:rPr>
          <w:rFonts w:asciiTheme="minorHAnsi" w:hAnsiTheme="minorHAnsi" w:cstheme="minorHAnsi"/>
          <w:sz w:val="18"/>
          <w:szCs w:val="20"/>
        </w:rPr>
      </w:pPr>
      <w:r w:rsidRPr="004146D1">
        <w:rPr>
          <w:rFonts w:asciiTheme="minorHAnsi" w:hAnsiTheme="minorHAnsi" w:cstheme="minorHAnsi"/>
          <w:sz w:val="18"/>
          <w:szCs w:val="20"/>
        </w:rPr>
        <w:t xml:space="preserve">4. September 2018 to September 2019 (Excluding Class 2 and Class 3 buildings). </w:t>
      </w:r>
    </w:p>
    <w:p w:rsidR="00FE37D3" w:rsidRPr="004146D1" w:rsidRDefault="00FE37D3" w:rsidP="00164CBF">
      <w:pPr>
        <w:spacing w:before="120" w:after="120" w:line="240" w:lineRule="auto"/>
        <w:rPr>
          <w:rFonts w:asciiTheme="minorHAnsi" w:hAnsiTheme="minorHAnsi" w:cstheme="minorHAnsi"/>
          <w:sz w:val="18"/>
          <w:szCs w:val="20"/>
        </w:rPr>
      </w:pPr>
      <w:r w:rsidRPr="004146D1">
        <w:rPr>
          <w:rFonts w:asciiTheme="minorHAnsi" w:hAnsiTheme="minorHAnsi" w:cstheme="minorHAnsi"/>
          <w:sz w:val="18"/>
          <w:szCs w:val="20"/>
        </w:rPr>
        <w:t xml:space="preserve">5. </w:t>
      </w:r>
      <w:r w:rsidRPr="004146D1">
        <w:rPr>
          <w:rFonts w:asciiTheme="minorHAnsi" w:eastAsia="Times New Roman" w:hAnsiTheme="minorHAnsi" w:cstheme="minorHAnsi"/>
          <w:sz w:val="18"/>
          <w:szCs w:val="20"/>
          <w:lang w:eastAsia="en-AU"/>
        </w:rPr>
        <w:t>N</w:t>
      </w:r>
      <w:r w:rsidRPr="004146D1">
        <w:rPr>
          <w:rFonts w:asciiTheme="minorHAnsi" w:hAnsiTheme="minorHAnsi" w:cstheme="minorHAnsi"/>
          <w:sz w:val="18"/>
          <w:szCs w:val="20"/>
        </w:rPr>
        <w:t>umber of Performance Solutions assessed by a state fire authority annually.</w:t>
      </w:r>
    </w:p>
    <w:p w:rsidR="00FE37D3" w:rsidRDefault="00FE37D3" w:rsidP="00164CBF">
      <w:pPr>
        <w:spacing w:before="120" w:after="120" w:line="240" w:lineRule="auto"/>
        <w:rPr>
          <w:rFonts w:asciiTheme="minorHAnsi" w:hAnsiTheme="minorHAnsi" w:cstheme="minorHAnsi"/>
          <w:sz w:val="18"/>
          <w:szCs w:val="20"/>
        </w:rPr>
      </w:pPr>
      <w:r w:rsidRPr="004146D1">
        <w:rPr>
          <w:rFonts w:asciiTheme="minorHAnsi" w:hAnsiTheme="minorHAnsi" w:cstheme="minorHAnsi"/>
          <w:sz w:val="18"/>
          <w:szCs w:val="20"/>
        </w:rPr>
        <w:t xml:space="preserve">6. Jurisdictional data including Class 2 buildings. </w:t>
      </w:r>
    </w:p>
    <w:p w:rsidR="00FE37D3" w:rsidRPr="004146D1" w:rsidRDefault="00FE37D3" w:rsidP="00164CBF">
      <w:pPr>
        <w:spacing w:before="120" w:after="120" w:line="240" w:lineRule="auto"/>
        <w:rPr>
          <w:rFonts w:asciiTheme="minorHAnsi" w:hAnsiTheme="minorHAnsi" w:cstheme="minorHAnsi"/>
          <w:sz w:val="18"/>
          <w:szCs w:val="20"/>
        </w:rPr>
      </w:pPr>
    </w:p>
    <w:tbl>
      <w:tblPr>
        <w:tblStyle w:val="TableGrid"/>
        <w:tblW w:w="0" w:type="auto"/>
        <w:tblLook w:val="0480" w:firstRow="0" w:lastRow="0" w:firstColumn="1" w:lastColumn="0" w:noHBand="0" w:noVBand="1"/>
        <w:tblCaption w:val="Text box"/>
      </w:tblPr>
      <w:tblGrid>
        <w:gridCol w:w="9060"/>
      </w:tblGrid>
      <w:tr w:rsidR="00FE37D3" w:rsidTr="003756FF">
        <w:trPr>
          <w:tblHeader/>
        </w:trPr>
        <w:tc>
          <w:tcPr>
            <w:tcW w:w="9060" w:type="dxa"/>
            <w:shd w:val="clear" w:color="auto" w:fill="BFBFBF" w:themeFill="background1" w:themeFillShade="BF"/>
          </w:tcPr>
          <w:p w:rsidR="00FE37D3" w:rsidRDefault="00FE37D3" w:rsidP="005B3F81">
            <w:bookmarkStart w:id="30" w:name="_Toc32229024"/>
            <w:bookmarkStart w:id="31" w:name="_Toc33098418"/>
            <w:bookmarkStart w:id="32" w:name="_Toc33098877"/>
            <w:r w:rsidRPr="00AB283E">
              <w:t xml:space="preserve">The Consultation RIS asked stakeholders whether </w:t>
            </w:r>
            <w:r w:rsidR="00832CEA">
              <w:t xml:space="preserve">they </w:t>
            </w:r>
            <w:r>
              <w:t>had any information relating to the extent Performance Solutions were used in residential and commercial buildings.</w:t>
            </w:r>
          </w:p>
        </w:tc>
      </w:tr>
    </w:tbl>
    <w:p w:rsidR="00FE37D3" w:rsidRDefault="00FE37D3" w:rsidP="006C2872">
      <w:r>
        <w:t xml:space="preserve">Of those that responded to the question, most (12 out of 15) stakeholders agreed that the extent </w:t>
      </w:r>
      <w:r w:rsidR="00D84735">
        <w:t xml:space="preserve">of </w:t>
      </w:r>
      <w:r>
        <w:t>Performance Solutions used in residential buildings is small</w:t>
      </w:r>
      <w:r w:rsidR="00832CEA">
        <w:t>, with</w:t>
      </w:r>
      <w:r>
        <w:t xml:space="preserve"> responses rang</w:t>
      </w:r>
      <w:r w:rsidR="00832CEA">
        <w:t>ing</w:t>
      </w:r>
      <w:r>
        <w:t xml:space="preserve"> from 0 to 3 per cent. </w:t>
      </w:r>
    </w:p>
    <w:p w:rsidR="00FE37D3" w:rsidRDefault="00FE37D3" w:rsidP="006C2872">
      <w:r>
        <w:t>There were three exceptions:</w:t>
      </w:r>
    </w:p>
    <w:p w:rsidR="00FE37D3" w:rsidRDefault="00FE37D3" w:rsidP="00AE22E1">
      <w:pPr>
        <w:pStyle w:val="ListParagraph"/>
        <w:numPr>
          <w:ilvl w:val="0"/>
          <w:numId w:val="34"/>
        </w:numPr>
      </w:pPr>
      <w:r>
        <w:lastRenderedPageBreak/>
        <w:t xml:space="preserve">In </w:t>
      </w:r>
      <w:r w:rsidR="00C52D71">
        <w:t>one jurisdiction</w:t>
      </w:r>
      <w:r>
        <w:t>, a number of residential buildings us</w:t>
      </w:r>
      <w:r w:rsidR="00C52D71">
        <w:t>ing</w:t>
      </w:r>
      <w:r>
        <w:t xml:space="preserve"> </w:t>
      </w:r>
      <w:r w:rsidR="00C52D71">
        <w:t>a</w:t>
      </w:r>
      <w:r>
        <w:t xml:space="preserve"> Verification Method to demonstrate compliance with the NCC </w:t>
      </w:r>
      <w:r w:rsidR="00C52D71">
        <w:t>under a</w:t>
      </w:r>
      <w:r>
        <w:t xml:space="preserve"> Performance Solution</w:t>
      </w:r>
      <w:r w:rsidR="00C52D71">
        <w:t xml:space="preserve"> </w:t>
      </w:r>
      <w:r>
        <w:t xml:space="preserve">for energy efficiency </w:t>
      </w:r>
      <w:r w:rsidR="00C52D71">
        <w:t>were doing so inappropriately</w:t>
      </w:r>
      <w:r>
        <w:t>.</w:t>
      </w:r>
      <w:r>
        <w:rPr>
          <w:rStyle w:val="FootnoteReference"/>
        </w:rPr>
        <w:footnoteReference w:id="38"/>
      </w:r>
      <w:r>
        <w:t xml:space="preserve">  </w:t>
      </w:r>
    </w:p>
    <w:p w:rsidR="00FE37D3" w:rsidRPr="005F69A7" w:rsidRDefault="00FE37D3" w:rsidP="00AE22E1">
      <w:pPr>
        <w:pStyle w:val="ListParagraph"/>
        <w:numPr>
          <w:ilvl w:val="0"/>
          <w:numId w:val="34"/>
        </w:numPr>
        <w:rPr>
          <w:lang w:val="en-US"/>
        </w:rPr>
      </w:pPr>
      <w:r>
        <w:t xml:space="preserve">An industry association </w:t>
      </w:r>
      <w:r w:rsidRPr="00C45A45">
        <w:rPr>
          <w:lang w:val="en-US"/>
        </w:rPr>
        <w:t>estimate</w:t>
      </w:r>
      <w:r w:rsidRPr="00161AB2">
        <w:rPr>
          <w:lang w:val="en-US"/>
        </w:rPr>
        <w:t>d one in five Class 1 buildings built would use Performance Solutions. This reflected the use of polyst</w:t>
      </w:r>
      <w:r w:rsidRPr="005F69A7">
        <w:rPr>
          <w:lang w:val="en-US"/>
        </w:rPr>
        <w:t>yrene cladding and other cladding products with no corresponding DTS provisions.</w:t>
      </w:r>
    </w:p>
    <w:p w:rsidR="00FE37D3" w:rsidRPr="00C528A9" w:rsidRDefault="00FE37D3" w:rsidP="00AE22E1">
      <w:pPr>
        <w:pStyle w:val="ListParagraph"/>
        <w:numPr>
          <w:ilvl w:val="0"/>
          <w:numId w:val="34"/>
        </w:numPr>
        <w:rPr>
          <w:lang w:val="en-US"/>
        </w:rPr>
      </w:pPr>
      <w:r w:rsidRPr="009C5E23">
        <w:rPr>
          <w:lang w:val="en-US"/>
        </w:rPr>
        <w:t>A state building administration suggests that the use of Performance Solutions in Class</w:t>
      </w:r>
      <w:r w:rsidR="008E0D88" w:rsidRPr="004D5902">
        <w:rPr>
          <w:lang w:val="en-US"/>
        </w:rPr>
        <w:t> </w:t>
      </w:r>
      <w:r w:rsidRPr="00C528A9">
        <w:rPr>
          <w:lang w:val="en-US"/>
        </w:rPr>
        <w:t xml:space="preserve">1 buildings may be more widespread, however, they are not often identified as a Performance Solution due to the minor nature of the departure from the DTS </w:t>
      </w:r>
      <w:r w:rsidR="008E0D88" w:rsidRPr="00C528A9">
        <w:rPr>
          <w:lang w:val="en-US"/>
        </w:rPr>
        <w:t>P</w:t>
      </w:r>
      <w:r w:rsidRPr="00C528A9">
        <w:rPr>
          <w:lang w:val="en-US"/>
        </w:rPr>
        <w:t xml:space="preserve">rovisions or a lack of understanding of what </w:t>
      </w:r>
      <w:r w:rsidR="008E0D88" w:rsidRPr="00C528A9">
        <w:rPr>
          <w:lang w:val="en-US"/>
        </w:rPr>
        <w:t>constitutes</w:t>
      </w:r>
      <w:r w:rsidRPr="00C528A9">
        <w:rPr>
          <w:lang w:val="en-US"/>
        </w:rPr>
        <w:t xml:space="preserve"> a Performance Solution.  </w:t>
      </w:r>
    </w:p>
    <w:p w:rsidR="00FE37D3" w:rsidRDefault="00FE37D3" w:rsidP="006C2872">
      <w:r>
        <w:t xml:space="preserve">For commercial buildings, the number of Performance Solutions could be higher than reported in the Consultation RIS based on responses received. One stakeholder raised weatherproofing as an example of where a Performance Solution would be required because no corresponding DTS </w:t>
      </w:r>
      <w:r w:rsidR="008E0D88">
        <w:t>P</w:t>
      </w:r>
      <w:r>
        <w:t xml:space="preserve">rovisions exist. Three respondents (an individual and two industry associations) also commented that multiple Performance Solutions are </w:t>
      </w:r>
      <w:r w:rsidR="008E0D88">
        <w:t xml:space="preserve">often </w:t>
      </w:r>
      <w:r>
        <w:t xml:space="preserve">used in commercial buildings. </w:t>
      </w:r>
    </w:p>
    <w:p w:rsidR="00FE37D3" w:rsidRDefault="00FE37D3" w:rsidP="006C2872">
      <w:r w:rsidRPr="00B56CF8">
        <w:t xml:space="preserve">Previous ABCB consultation </w:t>
      </w:r>
      <w:r w:rsidR="008E0D88">
        <w:t>has indicated that</w:t>
      </w:r>
      <w:r w:rsidRPr="00B56CF8">
        <w:t xml:space="preserve"> Performance Solutions are not evenly distributed, including where its use would be expected to be widespread.</w:t>
      </w:r>
      <w:r w:rsidRPr="00B56CF8">
        <w:rPr>
          <w:rStyle w:val="FootnoteReference"/>
        </w:rPr>
        <w:footnoteReference w:id="39"/>
      </w:r>
      <w:r w:rsidRPr="00B56CF8">
        <w:t xml:space="preserve"> A number of behavioural barriers to classifying solutions as Performance Solutions could lead to under</w:t>
      </w:r>
      <w:r w:rsidR="008E0D88">
        <w:t>-</w:t>
      </w:r>
      <w:r w:rsidRPr="00B56CF8">
        <w:t xml:space="preserve">reporting due to the need to pay fees, limitations on licencing or a desire to avoid </w:t>
      </w:r>
      <w:r w:rsidR="008E0D88">
        <w:t xml:space="preserve">the </w:t>
      </w:r>
      <w:r w:rsidRPr="00B56CF8">
        <w:t>administrative burden (residential buildings).</w:t>
      </w:r>
      <w:r>
        <w:t xml:space="preserve"> </w:t>
      </w:r>
    </w:p>
    <w:p w:rsidR="00FE37D3" w:rsidRDefault="00FE37D3" w:rsidP="00CD3EEB">
      <w:r>
        <w:t xml:space="preserve">As no additional evidence or data was provided, previous surveys of </w:t>
      </w:r>
      <w:r w:rsidR="00C52D71">
        <w:t>practitioners</w:t>
      </w:r>
      <w:r>
        <w:t xml:space="preserve"> involved in performance–based design were interrogated. Those </w:t>
      </w:r>
      <w:r w:rsidR="008E0D88">
        <w:t>that</w:t>
      </w:r>
      <w:r>
        <w:t xml:space="preserve"> reported </w:t>
      </w:r>
      <w:r w:rsidR="008E0D88">
        <w:t xml:space="preserve">a </w:t>
      </w:r>
      <w:r>
        <w:t xml:space="preserve">proportion of projects using Performance Solutions </w:t>
      </w:r>
      <w:r w:rsidR="008E0D88">
        <w:t>provide</w:t>
      </w:r>
      <w:r>
        <w:t xml:space="preserve"> an indication of its distribution, which if representative of the broader industry, suggests:</w:t>
      </w:r>
    </w:p>
    <w:p w:rsidR="00FE37D3" w:rsidRDefault="00FE37D3" w:rsidP="00E367C8">
      <w:pPr>
        <w:pStyle w:val="ListParagraph"/>
        <w:numPr>
          <w:ilvl w:val="0"/>
          <w:numId w:val="30"/>
        </w:numPr>
      </w:pPr>
      <w:r>
        <w:lastRenderedPageBreak/>
        <w:t>for residential (</w:t>
      </w:r>
      <w:r w:rsidR="008E0D88">
        <w:t>C</w:t>
      </w:r>
      <w:r>
        <w:t>lass 1 and 10) a large number of respondents were involved in fewer projects using Performance Solutions. The median of responses to the 2019 survey lies between 20-30 per cent</w:t>
      </w:r>
      <w:r w:rsidR="008E0D88">
        <w:t>,</w:t>
      </w:r>
      <w:r>
        <w:t xml:space="preserve"> and the mode 1-10 per cent.</w:t>
      </w:r>
      <w:r w:rsidRPr="00CD3EEB">
        <w:t xml:space="preserve"> </w:t>
      </w:r>
    </w:p>
    <w:p w:rsidR="00FE37D3" w:rsidRDefault="00FE37D3" w:rsidP="00E367C8">
      <w:pPr>
        <w:pStyle w:val="ListParagraph"/>
        <w:numPr>
          <w:ilvl w:val="0"/>
          <w:numId w:val="30"/>
        </w:numPr>
      </w:pPr>
      <w:r>
        <w:t>in commercial buildings, the proportion of respondents involved with projects with Performance Solutions was larger</w:t>
      </w:r>
      <w:r w:rsidR="008E0D88">
        <w:t>, with</w:t>
      </w:r>
      <w:r>
        <w:t xml:space="preserve"> the median</w:t>
      </w:r>
      <w:r w:rsidR="008E0D88">
        <w:t xml:space="preserve"> being</w:t>
      </w:r>
      <w:r>
        <w:t xml:space="preserve"> between 51-60 per cent</w:t>
      </w:r>
      <w:r w:rsidR="008E0D88">
        <w:t>, and</w:t>
      </w:r>
      <w:r>
        <w:t xml:space="preserve"> the mode 91-100 per cent. </w:t>
      </w:r>
    </w:p>
    <w:p w:rsidR="00FE37D3" w:rsidRDefault="00FE37D3" w:rsidP="001B2E88">
      <w:r>
        <w:t>To apply the</w:t>
      </w:r>
      <w:r w:rsidR="00C45A45">
        <w:t>se</w:t>
      </w:r>
      <w:r>
        <w:t xml:space="preserve"> results to the analysis would be too crude a metric, as it</w:t>
      </w:r>
      <w:r w:rsidRPr="00CD3EEB">
        <w:t xml:space="preserve"> </w:t>
      </w:r>
      <w:r>
        <w:t>assumes all respondents are involved in an equal share of the same type of projects</w:t>
      </w:r>
      <w:r w:rsidR="00C45A45">
        <w:t>.</w:t>
      </w:r>
      <w:r>
        <w:t xml:space="preserve"> These results are also likely to overestimate </w:t>
      </w:r>
      <w:r w:rsidR="00C45A45">
        <w:t>the</w:t>
      </w:r>
      <w:r>
        <w:t xml:space="preserve"> use</w:t>
      </w:r>
      <w:r w:rsidR="00C45A45">
        <w:t xml:space="preserve"> of Performance Solutions,</w:t>
      </w:r>
      <w:r>
        <w:t xml:space="preserve"> as the survey intentionally excluded respondents who were not involved in Performance Solutions. Notably, it supports</w:t>
      </w:r>
      <w:r w:rsidRPr="001B2E88">
        <w:rPr>
          <w:lang w:val="en-US"/>
        </w:rPr>
        <w:t xml:space="preserve"> </w:t>
      </w:r>
      <w:r w:rsidRPr="00310FB2">
        <w:rPr>
          <w:lang w:val="en-US"/>
        </w:rPr>
        <w:t xml:space="preserve">the view </w:t>
      </w:r>
      <w:r w:rsidR="00ED2BF4">
        <w:rPr>
          <w:lang w:val="en-US"/>
        </w:rPr>
        <w:t xml:space="preserve">that </w:t>
      </w:r>
      <w:r w:rsidRPr="00310FB2">
        <w:rPr>
          <w:lang w:val="en-US"/>
        </w:rPr>
        <w:t xml:space="preserve">Performance Solutions in Class 1 and 10 </w:t>
      </w:r>
      <w:r>
        <w:rPr>
          <w:lang w:val="en-US"/>
        </w:rPr>
        <w:t>buildings are not distributed equally and</w:t>
      </w:r>
      <w:r w:rsidR="00C45A45">
        <w:rPr>
          <w:lang w:val="en-US"/>
        </w:rPr>
        <w:t>,</w:t>
      </w:r>
      <w:r>
        <w:rPr>
          <w:lang w:val="en-US"/>
        </w:rPr>
        <w:t xml:space="preserve"> on average</w:t>
      </w:r>
      <w:r w:rsidR="00C45A45">
        <w:rPr>
          <w:lang w:val="en-US"/>
        </w:rPr>
        <w:t>,</w:t>
      </w:r>
      <w:r>
        <w:rPr>
          <w:lang w:val="en-US"/>
        </w:rPr>
        <w:t xml:space="preserve"> could be lower</w:t>
      </w:r>
      <w:r w:rsidRPr="001B2E88">
        <w:rPr>
          <w:lang w:val="en-US"/>
        </w:rPr>
        <w:t xml:space="preserve">. </w:t>
      </w:r>
      <w:r w:rsidRPr="00B56CF8">
        <w:rPr>
          <w:lang w:val="en-US"/>
        </w:rPr>
        <w:t>The central estimates for residential buildings</w:t>
      </w:r>
      <w:r w:rsidR="00C45A45">
        <w:rPr>
          <w:lang w:val="en-US"/>
        </w:rPr>
        <w:t>,</w:t>
      </w:r>
      <w:r w:rsidRPr="00B56CF8">
        <w:rPr>
          <w:lang w:val="en-US"/>
        </w:rPr>
        <w:t xml:space="preserve"> therefore</w:t>
      </w:r>
      <w:r w:rsidR="00C45A45">
        <w:rPr>
          <w:lang w:val="en-US"/>
        </w:rPr>
        <w:t>,</w:t>
      </w:r>
      <w:r w:rsidRPr="00B56CF8">
        <w:rPr>
          <w:lang w:val="en-US"/>
        </w:rPr>
        <w:t xml:space="preserve"> remain unchanged in line with the majority of feedback. Sensitivity analysis has been expanded to test the outcomes associated with a 20 per cent uptake of Performance Solutions in Class 1 and 10 buildings</w:t>
      </w:r>
      <w:r w:rsidR="00C45A45">
        <w:rPr>
          <w:lang w:val="en-US"/>
        </w:rPr>
        <w:t>,</w:t>
      </w:r>
      <w:r w:rsidRPr="00B56CF8">
        <w:rPr>
          <w:lang w:val="en-US"/>
        </w:rPr>
        <w:t xml:space="preserve"> which aligns with the views of the</w:t>
      </w:r>
      <w:r w:rsidR="00C45A45">
        <w:rPr>
          <w:lang w:val="en-US"/>
        </w:rPr>
        <w:t xml:space="preserve"> abovementioned</w:t>
      </w:r>
      <w:r w:rsidRPr="00B56CF8">
        <w:rPr>
          <w:lang w:val="en-US"/>
        </w:rPr>
        <w:t xml:space="preserve"> industry association.</w:t>
      </w:r>
      <w:r w:rsidRPr="00310FB2">
        <w:rPr>
          <w:lang w:val="en-US"/>
        </w:rPr>
        <w:t xml:space="preserve">  </w:t>
      </w:r>
    </w:p>
    <w:p w:rsidR="00FE37D3" w:rsidRDefault="00FE37D3" w:rsidP="00ED3B52">
      <w:r>
        <w:t xml:space="preserve">In response to </w:t>
      </w:r>
      <w:r w:rsidR="00C45A45">
        <w:t xml:space="preserve">the </w:t>
      </w:r>
      <w:r>
        <w:t>feedback</w:t>
      </w:r>
      <w:r w:rsidR="00C45A45">
        <w:t xml:space="preserve"> provided</w:t>
      </w:r>
      <w:r>
        <w:t>, the number of Performance Solutions of commercial buildings ha</w:t>
      </w:r>
      <w:r w:rsidR="00C45A45">
        <w:t>s</w:t>
      </w:r>
      <w:r>
        <w:t xml:space="preserve"> </w:t>
      </w:r>
      <w:r w:rsidR="00C45A45">
        <w:t xml:space="preserve">been </w:t>
      </w:r>
      <w:r>
        <w:t xml:space="preserve">doubled since the Consultation RIS. This is intended to reflect </w:t>
      </w:r>
      <w:r w:rsidR="00C45A45">
        <w:t xml:space="preserve">the fact </w:t>
      </w:r>
      <w:r>
        <w:t>that both the number of buildings using Performance Solutions and the number of topics covered (i.e. the number of Performance Solutions used in each building) could be higher.</w:t>
      </w:r>
    </w:p>
    <w:tbl>
      <w:tblPr>
        <w:tblStyle w:val="TableGrid"/>
        <w:tblW w:w="0" w:type="auto"/>
        <w:tblLook w:val="0480" w:firstRow="0" w:lastRow="0" w:firstColumn="1" w:lastColumn="0" w:noHBand="0" w:noVBand="1"/>
        <w:tblCaption w:val="Text box"/>
      </w:tblPr>
      <w:tblGrid>
        <w:gridCol w:w="9060"/>
      </w:tblGrid>
      <w:tr w:rsidR="00FE37D3" w:rsidTr="003756FF">
        <w:trPr>
          <w:tblHeader/>
        </w:trPr>
        <w:tc>
          <w:tcPr>
            <w:tcW w:w="9060" w:type="dxa"/>
            <w:shd w:val="clear" w:color="auto" w:fill="BFBFBF" w:themeFill="background1" w:themeFillShade="BF"/>
          </w:tcPr>
          <w:p w:rsidR="00FE37D3" w:rsidRDefault="00FE37D3" w:rsidP="00001C62">
            <w:r>
              <w:t xml:space="preserve">The Consultation RIS asked stakeholders if they were </w:t>
            </w:r>
            <w:r w:rsidRPr="0012012E">
              <w:t>aware of any studies on the costs of rectifying building work as a result of ina</w:t>
            </w:r>
            <w:r>
              <w:t>dequate Performance Solutions</w:t>
            </w:r>
            <w:r w:rsidR="00C45A45">
              <w:t>.</w:t>
            </w:r>
          </w:p>
        </w:tc>
      </w:tr>
    </w:tbl>
    <w:p w:rsidR="00FE37D3" w:rsidRDefault="00FE37D3" w:rsidP="00AD1DAE">
      <w:r w:rsidRPr="00AC760F">
        <w:t>The Consultation RIS attempted to determine the size of the problem in terms of annual rectification work. This was not able to be established from the responses received.</w:t>
      </w:r>
    </w:p>
    <w:p w:rsidR="00FE37D3" w:rsidRDefault="00FE37D3" w:rsidP="00ED3B52">
      <w:r>
        <w:t>T</w:t>
      </w:r>
      <w:r w:rsidRPr="00B56CF8">
        <w:t>he</w:t>
      </w:r>
      <w:bookmarkEnd w:id="30"/>
      <w:bookmarkEnd w:id="31"/>
      <w:bookmarkEnd w:id="32"/>
      <w:r w:rsidRPr="00B56CF8">
        <w:t xml:space="preserve"> inadequacies </w:t>
      </w:r>
      <w:r w:rsidR="00C45A45">
        <w:t>of</w:t>
      </w:r>
      <w:r w:rsidRPr="00B56CF8">
        <w:t xml:space="preserve"> the process for Performance Solutions has resulted in costly rectification work and legal fees</w:t>
      </w:r>
      <w:r>
        <w:t xml:space="preserve"> both in Australia and internationally</w:t>
      </w:r>
      <w:r w:rsidRPr="005871D0">
        <w:t xml:space="preserve">. </w:t>
      </w:r>
      <w:r>
        <w:t xml:space="preserve">Where inadequate solutions have been found, they have typically been in the area of fire safety, external cladding, energy efficiency and weatherproofing.  There is, however, anecdotal </w:t>
      </w:r>
      <w:r>
        <w:lastRenderedPageBreak/>
        <w:t xml:space="preserve">information from industry sources and media reports that problems occur in all areas covered by the NCC, largely in commercial buildings </w:t>
      </w:r>
      <w:r w:rsidR="00ED2BF4">
        <w:t xml:space="preserve">(including multi-storey residential) </w:t>
      </w:r>
      <w:r>
        <w:t xml:space="preserve">and less frequently in the </w:t>
      </w:r>
      <w:r w:rsidR="00ED2BF4">
        <w:t xml:space="preserve">domestic </w:t>
      </w:r>
      <w:r>
        <w:t xml:space="preserve">housing sector. </w:t>
      </w:r>
    </w:p>
    <w:p w:rsidR="00FE37D3" w:rsidRPr="005871D0" w:rsidRDefault="00FE37D3" w:rsidP="00ED3B52">
      <w:r>
        <w:t xml:space="preserve">When problems do occur, the cost of rectification work can vary greatly and is often dependent on the size and use of the building in addition to the extent the Performance Solution influences the physical features of the building. </w:t>
      </w:r>
    </w:p>
    <w:p w:rsidR="00FE37D3" w:rsidRDefault="00FE37D3" w:rsidP="00ED3B52">
      <w:r w:rsidRPr="00B56CF8">
        <w:t>There is limited information in Australia and internationally on the total cost of inadequate Performance Solutions</w:t>
      </w:r>
      <w:r>
        <w:t>. One study from New Zealand found that the cost of inadequate Performance Solutions could be in the range of $12 billion in 2008 dollars. This report included both residential and commercial buildings and found many</w:t>
      </w:r>
      <w:r w:rsidRPr="00B03F87">
        <w:t xml:space="preserve"> factors </w:t>
      </w:r>
      <w:r>
        <w:t xml:space="preserve">contributing to a </w:t>
      </w:r>
      <w:r w:rsidRPr="00B03F87">
        <w:t>systematic failure</w:t>
      </w:r>
      <w:r>
        <w:t xml:space="preserve"> of performance-based design.  The greatest weaknes</w:t>
      </w:r>
      <w:r w:rsidRPr="00B03F87">
        <w:t xml:space="preserve">s </w:t>
      </w:r>
      <w:r>
        <w:t xml:space="preserve">has been </w:t>
      </w:r>
      <w:r w:rsidRPr="00B03F87">
        <w:t>described as “naive blind faith” that the industry would self-correct deficiencies without any emphasis on accountability</w:t>
      </w:r>
      <w:r>
        <w:t>.</w:t>
      </w:r>
      <w:r>
        <w:rPr>
          <w:rStyle w:val="FootnoteReference"/>
        </w:rPr>
        <w:footnoteReference w:id="40"/>
      </w:r>
      <w:r w:rsidRPr="00B03F87">
        <w:t xml:space="preserve"> </w:t>
      </w:r>
      <w:r>
        <w:t xml:space="preserve"> No other studies on the total cost of inadequate solutions are known. </w:t>
      </w:r>
    </w:p>
    <w:p w:rsidR="00FE37D3" w:rsidRPr="00605C5E" w:rsidRDefault="00FE37D3" w:rsidP="00ED3B52">
      <w:r>
        <w:t>The New Zealand experience</w:t>
      </w:r>
      <w:r w:rsidRPr="00605C5E">
        <w:t xml:space="preserve"> s</w:t>
      </w:r>
      <w:r>
        <w:t>hows that</w:t>
      </w:r>
      <w:r w:rsidRPr="00605C5E">
        <w:t xml:space="preserve"> the </w:t>
      </w:r>
      <w:r>
        <w:t xml:space="preserve">cost of rectifying a single storey dwelling may range between $50,000 and $110,000 and for a sole-occupancy unit within an apartment building between $30,000 and $36,000. A breakdown of these costs in 2019 Australian dollars is shown in Table 5. </w:t>
      </w:r>
    </w:p>
    <w:p w:rsidR="00FE37D3" w:rsidRPr="005E1DCB" w:rsidRDefault="00FE37D3" w:rsidP="005E1DCB">
      <w:pPr>
        <w:pStyle w:val="Caption"/>
        <w:rPr>
          <w:bCs w:val="0"/>
        </w:rPr>
      </w:pPr>
      <w:r w:rsidRPr="00CB0F62">
        <w:t xml:space="preserve">Table </w:t>
      </w:r>
      <w:r w:rsidRPr="00B141DF">
        <w:fldChar w:fldCharType="begin"/>
      </w:r>
      <w:r w:rsidRPr="005E1DCB">
        <w:instrText xml:space="preserve"> SEQ Table \* ARABIC </w:instrText>
      </w:r>
      <w:r w:rsidRPr="00B141DF">
        <w:fldChar w:fldCharType="separate"/>
      </w:r>
      <w:r w:rsidR="002D1698">
        <w:rPr>
          <w:noProof/>
        </w:rPr>
        <w:t>2</w:t>
      </w:r>
      <w:r w:rsidRPr="00B141DF">
        <w:fldChar w:fldCharType="end"/>
      </w:r>
      <w:r w:rsidRPr="005E1DCB">
        <w:t xml:space="preserve"> Single and </w:t>
      </w:r>
      <w:r>
        <w:t>m</w:t>
      </w:r>
      <w:r w:rsidRPr="005E1DCB">
        <w:t>ulti-dwelling cost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565"/>
        <w:gridCol w:w="1564"/>
        <w:gridCol w:w="2010"/>
        <w:gridCol w:w="2010"/>
      </w:tblGrid>
      <w:tr w:rsidR="00FE37D3" w:rsidRPr="003842F9" w:rsidTr="005E1DCB">
        <w:trPr>
          <w:trHeight w:val="615"/>
        </w:trPr>
        <w:tc>
          <w:tcPr>
            <w:tcW w:w="0" w:type="auto"/>
            <w:tcBorders>
              <w:top w:val="nil"/>
              <w:left w:val="nil"/>
              <w:bottom w:val="single" w:sz="4" w:space="0" w:color="184897"/>
              <w:right w:val="nil"/>
            </w:tcBorders>
            <w:shd w:val="clear" w:color="auto" w:fill="184897"/>
            <w:vAlign w:val="center"/>
            <w:hideMark/>
          </w:tcPr>
          <w:p w:rsidR="00FE37D3" w:rsidRPr="003842F9" w:rsidRDefault="00FE37D3" w:rsidP="005E1DCB">
            <w:pPr>
              <w:pStyle w:val="TableHeading"/>
            </w:pPr>
            <w:r w:rsidRPr="003842F9">
              <w:t>Type of expense</w:t>
            </w:r>
          </w:p>
        </w:tc>
        <w:tc>
          <w:tcPr>
            <w:tcW w:w="0" w:type="auto"/>
            <w:tcBorders>
              <w:top w:val="nil"/>
              <w:left w:val="nil"/>
              <w:bottom w:val="single" w:sz="4" w:space="0" w:color="184897"/>
              <w:right w:val="nil"/>
            </w:tcBorders>
            <w:shd w:val="clear" w:color="auto" w:fill="184897"/>
            <w:vAlign w:val="center"/>
            <w:hideMark/>
          </w:tcPr>
          <w:p w:rsidR="00FE37D3" w:rsidRPr="003842F9" w:rsidRDefault="00FE37D3" w:rsidP="005E1DCB">
            <w:pPr>
              <w:pStyle w:val="TableHeading"/>
              <w:jc w:val="center"/>
            </w:pPr>
            <w:r>
              <w:t>Single dwelling</w:t>
            </w:r>
          </w:p>
        </w:tc>
        <w:tc>
          <w:tcPr>
            <w:tcW w:w="0" w:type="auto"/>
            <w:tcBorders>
              <w:top w:val="nil"/>
              <w:left w:val="nil"/>
              <w:bottom w:val="single" w:sz="4" w:space="0" w:color="184897"/>
              <w:right w:val="nil"/>
            </w:tcBorders>
            <w:shd w:val="clear" w:color="auto" w:fill="184897"/>
            <w:vAlign w:val="center"/>
            <w:hideMark/>
          </w:tcPr>
          <w:p w:rsidR="00FE37D3" w:rsidRPr="003842F9" w:rsidRDefault="00FE37D3" w:rsidP="005E1DCB">
            <w:pPr>
              <w:pStyle w:val="TableHeading"/>
              <w:jc w:val="center"/>
            </w:pPr>
            <w:r>
              <w:t>Single dwelling</w:t>
            </w:r>
          </w:p>
        </w:tc>
        <w:tc>
          <w:tcPr>
            <w:tcW w:w="0" w:type="auto"/>
            <w:tcBorders>
              <w:top w:val="nil"/>
              <w:left w:val="nil"/>
              <w:bottom w:val="single" w:sz="4" w:space="0" w:color="184897"/>
              <w:right w:val="nil"/>
            </w:tcBorders>
            <w:shd w:val="clear" w:color="auto" w:fill="184897"/>
            <w:vAlign w:val="center"/>
            <w:hideMark/>
          </w:tcPr>
          <w:p w:rsidR="00FE37D3" w:rsidRPr="003842F9" w:rsidRDefault="00FE37D3" w:rsidP="005E1DCB">
            <w:pPr>
              <w:pStyle w:val="TableHeading"/>
              <w:jc w:val="center"/>
            </w:pPr>
            <w:r>
              <w:t>Sole-occupancy unit</w:t>
            </w:r>
          </w:p>
        </w:tc>
        <w:tc>
          <w:tcPr>
            <w:tcW w:w="0" w:type="auto"/>
            <w:tcBorders>
              <w:top w:val="nil"/>
              <w:left w:val="nil"/>
              <w:bottom w:val="single" w:sz="4" w:space="0" w:color="184897"/>
              <w:right w:val="nil"/>
            </w:tcBorders>
            <w:shd w:val="clear" w:color="auto" w:fill="184897"/>
            <w:vAlign w:val="center"/>
            <w:hideMark/>
          </w:tcPr>
          <w:p w:rsidR="00FE37D3" w:rsidRPr="003842F9" w:rsidRDefault="00FE37D3" w:rsidP="005E1DCB">
            <w:pPr>
              <w:pStyle w:val="TableHeading"/>
              <w:jc w:val="center"/>
            </w:pPr>
            <w:r>
              <w:t>Sole-occupancy unit</w:t>
            </w:r>
          </w:p>
        </w:tc>
      </w:tr>
      <w:tr w:rsidR="00FE37D3" w:rsidRPr="00ED3B52" w:rsidTr="005E1DCB">
        <w:trPr>
          <w:trHeight w:val="315"/>
        </w:trPr>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rPr>
                <w:i/>
              </w:rPr>
            </w:pPr>
            <w:r w:rsidRPr="005E1DCB">
              <w:rPr>
                <w:i/>
              </w:rPr>
              <w:t>Intervention</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i/>
              </w:rPr>
            </w:pPr>
            <w:r w:rsidRPr="005E1DCB">
              <w:rPr>
                <w:i/>
              </w:rPr>
              <w:t>Targeted</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i/>
              </w:rPr>
            </w:pPr>
            <w:r w:rsidRPr="005E1DCB">
              <w:rPr>
                <w:i/>
              </w:rPr>
              <w:t>Full reclad</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i/>
              </w:rPr>
            </w:pPr>
            <w:r w:rsidRPr="005E1DCB">
              <w:rPr>
                <w:i/>
              </w:rPr>
              <w:t>Targeted</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i/>
              </w:rPr>
            </w:pPr>
            <w:r w:rsidRPr="005E1DCB">
              <w:rPr>
                <w:i/>
              </w:rPr>
              <w:t>Partial</w:t>
            </w:r>
          </w:p>
        </w:tc>
      </w:tr>
      <w:tr w:rsidR="00FE37D3" w:rsidRPr="003842F9" w:rsidTr="005E1DCB">
        <w:trPr>
          <w:trHeight w:val="315"/>
        </w:trPr>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pPr>
            <w:r w:rsidRPr="003842F9">
              <w:t>Design</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$4,474</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$13,422</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$2,013</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$2,461</w:t>
            </w:r>
          </w:p>
        </w:tc>
      </w:tr>
      <w:tr w:rsidR="00FE37D3" w:rsidRPr="003842F9" w:rsidTr="005E1DCB">
        <w:trPr>
          <w:trHeight w:val="315"/>
        </w:trPr>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pPr>
            <w:r w:rsidRPr="003842F9">
              <w:t>Legal</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$26,844</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$67,111</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$12,527</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$14,317</w:t>
            </w:r>
          </w:p>
        </w:tc>
      </w:tr>
      <w:tr w:rsidR="00FE37D3" w:rsidRPr="003842F9" w:rsidTr="005E1DCB">
        <w:trPr>
          <w:trHeight w:val="315"/>
        </w:trPr>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pPr>
            <w:r w:rsidRPr="003842F9">
              <w:t>Experts</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$4,474</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$8,948</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$4,027</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$4,921</w:t>
            </w:r>
          </w:p>
        </w:tc>
      </w:tr>
      <w:tr w:rsidR="00FE37D3" w:rsidRPr="003842F9" w:rsidTr="005E1DCB">
        <w:trPr>
          <w:trHeight w:val="315"/>
        </w:trPr>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pPr>
            <w:r w:rsidRPr="003842F9">
              <w:t>Consequential</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$8,948</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$8,948</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$8,053</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$10,738</w:t>
            </w:r>
          </w:p>
        </w:tc>
      </w:tr>
      <w:tr w:rsidR="00FE37D3" w:rsidRPr="00BA737E" w:rsidTr="005E1DCB">
        <w:trPr>
          <w:trHeight w:val="315"/>
        </w:trPr>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rPr>
                <w:b/>
              </w:rPr>
            </w:pPr>
            <w:r w:rsidRPr="005E1DCB">
              <w:rPr>
                <w:b/>
              </w:rPr>
              <w:t>Total</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b/>
              </w:rPr>
            </w:pPr>
            <w:r w:rsidRPr="005E1DCB">
              <w:rPr>
                <w:b/>
              </w:rPr>
              <w:t>$44,740</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b/>
              </w:rPr>
            </w:pPr>
            <w:r w:rsidRPr="005E1DCB">
              <w:rPr>
                <w:b/>
              </w:rPr>
              <w:t>$98,429</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b/>
              </w:rPr>
            </w:pPr>
            <w:r w:rsidRPr="005E1DCB">
              <w:rPr>
                <w:b/>
              </w:rPr>
              <w:t>$26,621</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b/>
              </w:rPr>
            </w:pPr>
            <w:r w:rsidRPr="005E1DCB">
              <w:rPr>
                <w:b/>
              </w:rPr>
              <w:t>$32,437</w:t>
            </w:r>
          </w:p>
        </w:tc>
      </w:tr>
    </w:tbl>
    <w:p w:rsidR="00FE37D3" w:rsidRPr="004146D1" w:rsidRDefault="00FE37D3" w:rsidP="00605C5E">
      <w:pPr>
        <w:spacing w:before="120"/>
        <w:rPr>
          <w:rFonts w:asciiTheme="minorHAnsi" w:hAnsiTheme="minorHAnsi" w:cstheme="minorHAnsi"/>
          <w:sz w:val="18"/>
          <w:szCs w:val="20"/>
        </w:rPr>
      </w:pPr>
      <w:r w:rsidRPr="004146D1">
        <w:rPr>
          <w:rFonts w:asciiTheme="minorHAnsi" w:hAnsiTheme="minorHAnsi" w:cstheme="minorHAnsi"/>
          <w:sz w:val="18"/>
          <w:szCs w:val="20"/>
        </w:rPr>
        <w:lastRenderedPageBreak/>
        <w:t>Source: Weather tightness – Estimating the cost (PWC 2009)</w:t>
      </w:r>
    </w:p>
    <w:p w:rsidR="00ED2BF4" w:rsidRDefault="00FE37D3" w:rsidP="00605C5E">
      <w:pPr>
        <w:rPr>
          <w:rFonts w:asciiTheme="minorHAnsi" w:hAnsiTheme="minorHAnsi" w:cstheme="minorHAnsi"/>
        </w:rPr>
      </w:pPr>
      <w:r>
        <w:rPr>
          <w:rFonts w:asciiTheme="minorHAnsi" w:hAnsiTheme="minorHAnsi" w:cstheme="minorHAnsi"/>
        </w:rPr>
        <w:t>To determine whether the costs incurred in New Zealand could be similar to the costs incurred in Australia, several Australian examples were assessed using case law files.</w:t>
      </w:r>
      <w:r>
        <w:rPr>
          <w:rStyle w:val="FootnoteReference"/>
          <w:rFonts w:asciiTheme="minorHAnsi" w:hAnsiTheme="minorHAnsi" w:cstheme="minorHAnsi"/>
        </w:rPr>
        <w:footnoteReference w:id="41"/>
      </w:r>
      <w:r w:rsidRPr="00BF1DE3">
        <w:rPr>
          <w:rFonts w:asciiTheme="minorHAnsi" w:hAnsiTheme="minorHAnsi" w:cstheme="minorHAnsi"/>
          <w:vertAlign w:val="superscript"/>
        </w:rPr>
        <w:t>,</w:t>
      </w:r>
      <w:r>
        <w:rPr>
          <w:rStyle w:val="FootnoteReference"/>
          <w:rFonts w:asciiTheme="minorHAnsi" w:hAnsiTheme="minorHAnsi" w:cstheme="minorHAnsi"/>
        </w:rPr>
        <w:footnoteReference w:id="42"/>
      </w:r>
      <w:r w:rsidRPr="00BF1DE3">
        <w:rPr>
          <w:rFonts w:asciiTheme="minorHAnsi" w:hAnsiTheme="minorHAnsi" w:cstheme="minorHAnsi"/>
          <w:vertAlign w:val="superscript"/>
        </w:rPr>
        <w:t>,</w:t>
      </w:r>
      <w:r>
        <w:rPr>
          <w:rStyle w:val="FootnoteReference"/>
          <w:rFonts w:asciiTheme="minorHAnsi" w:hAnsiTheme="minorHAnsi" w:cstheme="minorHAnsi"/>
        </w:rPr>
        <w:footnoteReference w:id="43"/>
      </w:r>
      <w:r>
        <w:rPr>
          <w:rFonts w:asciiTheme="minorHAnsi" w:hAnsiTheme="minorHAnsi" w:cstheme="minorHAnsi"/>
        </w:rPr>
        <w:t xml:space="preserve"> </w:t>
      </w:r>
      <w:r w:rsidRPr="00D216DC">
        <w:rPr>
          <w:rFonts w:asciiTheme="minorHAnsi" w:hAnsiTheme="minorHAnsi" w:cstheme="minorHAnsi"/>
        </w:rPr>
        <w:t xml:space="preserve">In one </w:t>
      </w:r>
      <w:r>
        <w:rPr>
          <w:rFonts w:asciiTheme="minorHAnsi" w:hAnsiTheme="minorHAnsi" w:cstheme="minorHAnsi"/>
        </w:rPr>
        <w:t xml:space="preserve">known </w:t>
      </w:r>
      <w:r w:rsidRPr="00D216DC">
        <w:rPr>
          <w:rFonts w:asciiTheme="minorHAnsi" w:hAnsiTheme="minorHAnsi" w:cstheme="minorHAnsi"/>
        </w:rPr>
        <w:t>case</w:t>
      </w:r>
      <w:r>
        <w:rPr>
          <w:rFonts w:asciiTheme="minorHAnsi" w:hAnsiTheme="minorHAnsi" w:cstheme="minorHAnsi"/>
        </w:rPr>
        <w:t>,</w:t>
      </w:r>
      <w:r w:rsidRPr="00D216DC">
        <w:rPr>
          <w:rFonts w:asciiTheme="minorHAnsi" w:hAnsiTheme="minorHAnsi" w:cstheme="minorHAnsi"/>
        </w:rPr>
        <w:t xml:space="preserve"> the façade of an office building required </w:t>
      </w:r>
      <w:r>
        <w:rPr>
          <w:rFonts w:asciiTheme="minorHAnsi" w:hAnsiTheme="minorHAnsi" w:cstheme="minorHAnsi"/>
        </w:rPr>
        <w:t xml:space="preserve">full </w:t>
      </w:r>
      <w:r w:rsidRPr="00D216DC">
        <w:rPr>
          <w:rFonts w:asciiTheme="minorHAnsi" w:hAnsiTheme="minorHAnsi" w:cstheme="minorHAnsi"/>
        </w:rPr>
        <w:t>replacement</w:t>
      </w:r>
      <w:r w:rsidR="00161AB2">
        <w:rPr>
          <w:rFonts w:asciiTheme="minorHAnsi" w:hAnsiTheme="minorHAnsi" w:cstheme="minorHAnsi"/>
        </w:rPr>
        <w:t>,</w:t>
      </w:r>
      <w:r w:rsidRPr="00D216DC">
        <w:rPr>
          <w:rFonts w:asciiTheme="minorHAnsi" w:hAnsiTheme="minorHAnsi" w:cstheme="minorHAnsi"/>
        </w:rPr>
        <w:t xml:space="preserve"> after approval for occupation</w:t>
      </w:r>
      <w:r w:rsidR="00161AB2">
        <w:rPr>
          <w:rFonts w:asciiTheme="minorHAnsi" w:hAnsiTheme="minorHAnsi" w:cstheme="minorHAnsi"/>
        </w:rPr>
        <w:t>,</w:t>
      </w:r>
      <w:r w:rsidRPr="00D216DC">
        <w:rPr>
          <w:rFonts w:asciiTheme="minorHAnsi" w:hAnsiTheme="minorHAnsi" w:cstheme="minorHAnsi"/>
        </w:rPr>
        <w:t xml:space="preserve"> </w:t>
      </w:r>
      <w:r>
        <w:rPr>
          <w:rFonts w:asciiTheme="minorHAnsi" w:hAnsiTheme="minorHAnsi" w:cstheme="minorHAnsi"/>
        </w:rPr>
        <w:t>when it was found that water penetration was not addressed at the time of assessment</w:t>
      </w:r>
      <w:r w:rsidRPr="00D216DC">
        <w:rPr>
          <w:rFonts w:asciiTheme="minorHAnsi" w:hAnsiTheme="minorHAnsi" w:cstheme="minorHAnsi"/>
        </w:rPr>
        <w:t xml:space="preserve">. </w:t>
      </w:r>
      <w:r>
        <w:rPr>
          <w:rFonts w:asciiTheme="minorHAnsi" w:hAnsiTheme="minorHAnsi" w:cstheme="minorHAnsi"/>
        </w:rPr>
        <w:t xml:space="preserve">The cost of this rectification was not made publicly available, however, </w:t>
      </w:r>
      <w:r w:rsidR="00161AB2">
        <w:rPr>
          <w:rFonts w:asciiTheme="minorHAnsi" w:hAnsiTheme="minorHAnsi" w:cstheme="minorHAnsi"/>
        </w:rPr>
        <w:t xml:space="preserve">it </w:t>
      </w:r>
      <w:r>
        <w:rPr>
          <w:rFonts w:asciiTheme="minorHAnsi" w:hAnsiTheme="minorHAnsi" w:cstheme="minorHAnsi"/>
        </w:rPr>
        <w:t xml:space="preserve">is highly likely to be at least consistent with the New Zealand experience. </w:t>
      </w:r>
    </w:p>
    <w:p w:rsidR="00FE37D3" w:rsidRDefault="00FE37D3" w:rsidP="00605C5E">
      <w:pPr>
        <w:rPr>
          <w:rFonts w:asciiTheme="minorHAnsi" w:hAnsiTheme="minorHAnsi" w:cstheme="minorHAnsi"/>
        </w:rPr>
      </w:pPr>
      <w:r w:rsidRPr="00D216DC">
        <w:rPr>
          <w:rFonts w:asciiTheme="minorHAnsi" w:hAnsiTheme="minorHAnsi" w:cstheme="minorHAnsi"/>
        </w:rPr>
        <w:t xml:space="preserve">One residential apartment </w:t>
      </w:r>
      <w:r>
        <w:rPr>
          <w:rFonts w:asciiTheme="minorHAnsi" w:hAnsiTheme="minorHAnsi" w:cstheme="minorHAnsi"/>
        </w:rPr>
        <w:t>was also found to require</w:t>
      </w:r>
      <w:r w:rsidRPr="00D216DC">
        <w:rPr>
          <w:rFonts w:asciiTheme="minorHAnsi" w:hAnsiTheme="minorHAnsi" w:cstheme="minorHAnsi"/>
        </w:rPr>
        <w:t xml:space="preserve"> removal and replacement </w:t>
      </w:r>
      <w:r>
        <w:rPr>
          <w:rFonts w:asciiTheme="minorHAnsi" w:hAnsiTheme="minorHAnsi" w:cstheme="minorHAnsi"/>
        </w:rPr>
        <w:t xml:space="preserve">of its façade </w:t>
      </w:r>
      <w:r w:rsidRPr="00D216DC">
        <w:rPr>
          <w:rFonts w:asciiTheme="minorHAnsi" w:hAnsiTheme="minorHAnsi" w:cstheme="minorHAnsi"/>
        </w:rPr>
        <w:t xml:space="preserve">equivalent to </w:t>
      </w:r>
      <w:r>
        <w:rPr>
          <w:rFonts w:asciiTheme="minorHAnsi" w:hAnsiTheme="minorHAnsi" w:cstheme="minorHAnsi"/>
        </w:rPr>
        <w:t>$72,000 per sole-occupancy unit</w:t>
      </w:r>
      <w:r w:rsidR="00161AB2">
        <w:rPr>
          <w:rFonts w:asciiTheme="minorHAnsi" w:hAnsiTheme="minorHAnsi" w:cstheme="minorHAnsi"/>
        </w:rPr>
        <w:t>,</w:t>
      </w:r>
      <w:r>
        <w:rPr>
          <w:rFonts w:asciiTheme="minorHAnsi" w:hAnsiTheme="minorHAnsi" w:cstheme="minorHAnsi"/>
        </w:rPr>
        <w:t xml:space="preserve"> with one other complex incurring a rectification cost of $60,000 per sole-occupancy unit following deficiencies with the way the buildings were assessed. In these examples, the costs incurred by the Australian market may be at least equal to the reported costs in New Zealand, and could be much higher. </w:t>
      </w:r>
    </w:p>
    <w:p w:rsidR="00FE37D3" w:rsidRDefault="00FE37D3" w:rsidP="00ED3B52">
      <w:r>
        <w:t>Alt</w:t>
      </w:r>
      <w:r w:rsidRPr="00B526A8" w:rsidDel="006C4ED6">
        <w:t xml:space="preserve">hough Australian examples of </w:t>
      </w:r>
      <w:r>
        <w:t>complete</w:t>
      </w:r>
      <w:r w:rsidRPr="00B526A8" w:rsidDel="006C4ED6">
        <w:t xml:space="preserve"> failure are rare, there are documented examples of whole building failures where design choices in pursuit of increased sustainability have led to fire and increased risks to life safety</w:t>
      </w:r>
      <w:r>
        <w:t>.</w:t>
      </w:r>
      <w:r>
        <w:rPr>
          <w:rStyle w:val="FootnoteReference"/>
        </w:rPr>
        <w:footnoteReference w:id="44"/>
      </w:r>
      <w:r w:rsidRPr="00B526A8" w:rsidDel="006C4ED6">
        <w:t xml:space="preserve"> </w:t>
      </w:r>
      <w:r w:rsidDel="006C4ED6">
        <w:t xml:space="preserve">A lack of technical knowledge </w:t>
      </w:r>
      <w:r w:rsidR="00161AB2">
        <w:t>by</w:t>
      </w:r>
      <w:r w:rsidDel="006C4ED6">
        <w:t xml:space="preserve"> decision makers</w:t>
      </w:r>
      <w:r w:rsidR="00161AB2">
        <w:t>,</w:t>
      </w:r>
      <w:r w:rsidDel="006C4ED6">
        <w:t xml:space="preserve"> and </w:t>
      </w:r>
      <w:r>
        <w:t xml:space="preserve">a </w:t>
      </w:r>
      <w:r w:rsidDel="006C4ED6">
        <w:t>lack of involvement of specialists at the design stage</w:t>
      </w:r>
      <w:r w:rsidR="00161AB2">
        <w:t>,</w:t>
      </w:r>
      <w:r w:rsidDel="006C4ED6">
        <w:t xml:space="preserve"> is cited as among the root causes of impacts </w:t>
      </w:r>
      <w:r>
        <w:t>to construction</w:t>
      </w:r>
      <w:r w:rsidDel="006C4ED6">
        <w:t xml:space="preserve"> schedule</w:t>
      </w:r>
      <w:r>
        <w:t>s</w:t>
      </w:r>
      <w:r w:rsidDel="006C4ED6">
        <w:t xml:space="preserve"> and costs. </w:t>
      </w:r>
    </w:p>
    <w:tbl>
      <w:tblPr>
        <w:tblStyle w:val="TableGrid"/>
        <w:tblW w:w="0" w:type="auto"/>
        <w:tblLook w:val="0480" w:firstRow="0" w:lastRow="0" w:firstColumn="1" w:lastColumn="0" w:noHBand="0" w:noVBand="1"/>
        <w:tblCaption w:val="Text box"/>
      </w:tblPr>
      <w:tblGrid>
        <w:gridCol w:w="9060"/>
      </w:tblGrid>
      <w:tr w:rsidR="00FE37D3" w:rsidTr="003756FF">
        <w:trPr>
          <w:tblHeader/>
        </w:trPr>
        <w:tc>
          <w:tcPr>
            <w:tcW w:w="9060" w:type="dxa"/>
            <w:shd w:val="clear" w:color="auto" w:fill="BFBFBF" w:themeFill="background1" w:themeFillShade="BF"/>
          </w:tcPr>
          <w:p w:rsidR="00FE37D3" w:rsidRDefault="00FE37D3" w:rsidP="005B3F81">
            <w:bookmarkStart w:id="33" w:name="_Hlk35959962"/>
            <w:r w:rsidRPr="00AB283E">
              <w:t>The Consultation RIS asked stakeholders whether they agreed with the rectification costs outline in Table 5.</w:t>
            </w:r>
          </w:p>
        </w:tc>
      </w:tr>
    </w:tbl>
    <w:bookmarkEnd w:id="33"/>
    <w:p w:rsidR="00FE37D3" w:rsidRPr="000024AE" w:rsidRDefault="00FE37D3" w:rsidP="00ED3B52">
      <w:pPr>
        <w:rPr>
          <w:rFonts w:cstheme="minorHAnsi"/>
        </w:rPr>
      </w:pPr>
      <w:r>
        <w:rPr>
          <w:rFonts w:cstheme="minorHAnsi"/>
        </w:rPr>
        <w:t>Many respondents expressed the view rectification costs varied depending on building type, size and the extent of the problem</w:t>
      </w:r>
      <w:r w:rsidR="00161AB2">
        <w:rPr>
          <w:rFonts w:cstheme="minorHAnsi"/>
        </w:rPr>
        <w:t>, which</w:t>
      </w:r>
      <w:r>
        <w:rPr>
          <w:rFonts w:cstheme="minorHAnsi"/>
        </w:rPr>
        <w:t xml:space="preserve"> led to difficulty responding to this question. </w:t>
      </w:r>
      <w:r w:rsidRPr="000024AE">
        <w:rPr>
          <w:rFonts w:cstheme="minorHAnsi"/>
        </w:rPr>
        <w:t xml:space="preserve">Of those that expressed </w:t>
      </w:r>
      <w:r w:rsidR="00161AB2">
        <w:rPr>
          <w:rFonts w:cstheme="minorHAnsi"/>
        </w:rPr>
        <w:t xml:space="preserve">an </w:t>
      </w:r>
      <w:r w:rsidRPr="000024AE">
        <w:rPr>
          <w:rFonts w:cstheme="minorHAnsi"/>
        </w:rPr>
        <w:t xml:space="preserve">opinion on the reported costs, 58 per cent agreed </w:t>
      </w:r>
      <w:r w:rsidRPr="000024AE">
        <w:rPr>
          <w:rFonts w:cstheme="minorHAnsi"/>
        </w:rPr>
        <w:lastRenderedPageBreak/>
        <w:t xml:space="preserve">and the remainder suggested costs were understated and could be much higher depending on the circumstance.  </w:t>
      </w:r>
    </w:p>
    <w:p w:rsidR="00FE37D3" w:rsidRDefault="00FE37D3" w:rsidP="00ED3B52">
      <w:pPr>
        <w:rPr>
          <w:rFonts w:cstheme="minorHAnsi"/>
        </w:rPr>
      </w:pPr>
      <w:r w:rsidRPr="000024AE">
        <w:rPr>
          <w:rFonts w:cstheme="minorHAnsi"/>
        </w:rPr>
        <w:t>Following stakeholder feedback, the sensitivity analysis has been revised to include a high and very high scenario for rectification costs.</w:t>
      </w:r>
      <w:r>
        <w:rPr>
          <w:rFonts w:cstheme="minorHAnsi"/>
        </w:rPr>
        <w:t xml:space="preserve"> </w:t>
      </w:r>
    </w:p>
    <w:tbl>
      <w:tblPr>
        <w:tblStyle w:val="TableGrid"/>
        <w:tblW w:w="0" w:type="auto"/>
        <w:tblLook w:val="0480" w:firstRow="0" w:lastRow="0" w:firstColumn="1" w:lastColumn="0" w:noHBand="0" w:noVBand="1"/>
        <w:tblCaption w:val="Text box"/>
      </w:tblPr>
      <w:tblGrid>
        <w:gridCol w:w="9060"/>
      </w:tblGrid>
      <w:tr w:rsidR="00FE37D3" w:rsidTr="003756FF">
        <w:trPr>
          <w:tblHeader/>
        </w:trPr>
        <w:tc>
          <w:tcPr>
            <w:tcW w:w="9060" w:type="dxa"/>
            <w:shd w:val="clear" w:color="auto" w:fill="BFBFBF" w:themeFill="background1" w:themeFillShade="BF"/>
          </w:tcPr>
          <w:p w:rsidR="00FE37D3" w:rsidRDefault="00FE37D3" w:rsidP="00ED3264">
            <w:r w:rsidRPr="00AB283E">
              <w:t xml:space="preserve">The Consultation RIS asked stakeholders whether </w:t>
            </w:r>
            <w:r>
              <w:t xml:space="preserve">stakeholder involvement in determining acceptance criteria would lead to a higher confidence in Performance Solutions. </w:t>
            </w:r>
          </w:p>
        </w:tc>
      </w:tr>
    </w:tbl>
    <w:p w:rsidR="00FE37D3" w:rsidRPr="003F74AA" w:rsidRDefault="00FE37D3" w:rsidP="00ED3B52">
      <w:pPr>
        <w:rPr>
          <w:lang w:eastAsia="en-AU"/>
        </w:rPr>
      </w:pPr>
      <w:r>
        <w:rPr>
          <w:lang w:eastAsia="en-AU"/>
        </w:rPr>
        <w:t xml:space="preserve">There was a mixed response to this question with the majority believing better building outcomes would be achieved. </w:t>
      </w:r>
      <w:r>
        <w:rPr>
          <w:rFonts w:cstheme="minorHAnsi"/>
        </w:rPr>
        <w:t>43 per cent said yes, 27 per cent said no and 14 per cent said that they were unsure. No respondents elaborated on their response.</w:t>
      </w:r>
    </w:p>
    <w:tbl>
      <w:tblPr>
        <w:tblStyle w:val="TableGrid"/>
        <w:tblW w:w="0" w:type="auto"/>
        <w:tblLook w:val="0480" w:firstRow="0" w:lastRow="0" w:firstColumn="1" w:lastColumn="0" w:noHBand="0" w:noVBand="1"/>
        <w:tblCaption w:val="Text box"/>
      </w:tblPr>
      <w:tblGrid>
        <w:gridCol w:w="9060"/>
      </w:tblGrid>
      <w:tr w:rsidR="00FE37D3" w:rsidTr="003756FF">
        <w:trPr>
          <w:tblHeader/>
        </w:trPr>
        <w:tc>
          <w:tcPr>
            <w:tcW w:w="9060" w:type="dxa"/>
            <w:shd w:val="clear" w:color="auto" w:fill="BFBFBF" w:themeFill="background1" w:themeFillShade="BF"/>
          </w:tcPr>
          <w:p w:rsidR="00FE37D3" w:rsidRDefault="00FE37D3" w:rsidP="005B3F81">
            <w:r w:rsidRPr="00AB283E">
              <w:t xml:space="preserve">The Consultation RIS asked stakeholders whether </w:t>
            </w:r>
            <w:r w:rsidR="00161AB2">
              <w:t>they</w:t>
            </w:r>
            <w:r w:rsidRPr="00AB283E">
              <w:t xml:space="preserve"> </w:t>
            </w:r>
            <w:r>
              <w:t xml:space="preserve">believed that better building outcomes would be achieved by improvements to the Performance Solution process. </w:t>
            </w:r>
          </w:p>
        </w:tc>
      </w:tr>
    </w:tbl>
    <w:p w:rsidR="00FE37D3" w:rsidRPr="000024AE" w:rsidRDefault="00FE37D3" w:rsidP="00ED3B52">
      <w:pPr>
        <w:rPr>
          <w:rFonts w:cstheme="minorHAnsi"/>
        </w:rPr>
      </w:pPr>
      <w:r w:rsidRPr="000024AE">
        <w:rPr>
          <w:rFonts w:cstheme="minorHAnsi"/>
        </w:rPr>
        <w:t xml:space="preserve">Most stakeholders responded to the question and 67 per cent felt that greater stakeholder involvement would lead to better building outcomes. </w:t>
      </w:r>
    </w:p>
    <w:p w:rsidR="00FE37D3" w:rsidRPr="000024AE" w:rsidRDefault="00FE37D3" w:rsidP="00ED3B52">
      <w:pPr>
        <w:rPr>
          <w:rFonts w:cstheme="minorHAnsi"/>
        </w:rPr>
      </w:pPr>
      <w:r w:rsidRPr="000024AE">
        <w:rPr>
          <w:rFonts w:cstheme="minorHAnsi"/>
        </w:rPr>
        <w:t xml:space="preserve">Of those that thought outcomes would improve, one individual </w:t>
      </w:r>
      <w:r w:rsidR="00161AB2">
        <w:rPr>
          <w:rFonts w:cstheme="minorHAnsi"/>
        </w:rPr>
        <w:t>pointed out</w:t>
      </w:r>
      <w:r w:rsidRPr="000024AE">
        <w:rPr>
          <w:rFonts w:cstheme="minorHAnsi"/>
        </w:rPr>
        <w:t xml:space="preserve"> that proper design and forethought would improve the reliability of solutions. This was also reflected by another individual:</w:t>
      </w:r>
    </w:p>
    <w:p w:rsidR="00FE37D3" w:rsidRPr="000024AE" w:rsidRDefault="00FE37D3" w:rsidP="00AD1DAE">
      <w:pPr>
        <w:spacing w:line="276" w:lineRule="auto"/>
        <w:ind w:left="720"/>
        <w:rPr>
          <w:rFonts w:cstheme="minorHAnsi"/>
        </w:rPr>
      </w:pPr>
      <w:r w:rsidRPr="000024AE">
        <w:rPr>
          <w:rFonts w:cstheme="minorHAnsi"/>
          <w:i/>
          <w:iCs/>
        </w:rPr>
        <w:t>“Traceable outcomes give auditable information and allows quick and cheap resolution of building disputes as well as defining the areas required to be rectified.”</w:t>
      </w:r>
    </w:p>
    <w:p w:rsidR="00FE37D3" w:rsidRPr="000024AE" w:rsidRDefault="00FE37D3" w:rsidP="00ED3B52">
      <w:pPr>
        <w:rPr>
          <w:rFonts w:cstheme="minorHAnsi"/>
        </w:rPr>
      </w:pPr>
      <w:r w:rsidRPr="000024AE">
        <w:rPr>
          <w:rFonts w:cstheme="minorHAnsi"/>
        </w:rPr>
        <w:t>Respondents</w:t>
      </w:r>
      <w:r>
        <w:rPr>
          <w:rFonts w:cstheme="minorHAnsi"/>
        </w:rPr>
        <w:t xml:space="preserve"> </w:t>
      </w:r>
      <w:r w:rsidRPr="000024AE">
        <w:rPr>
          <w:rFonts w:cstheme="minorHAnsi"/>
        </w:rPr>
        <w:t xml:space="preserve">also felt that the industry needed clearly defined rules when developing Performance Solutions and that the proposal, if implemented, would make practitioners more accountable. </w:t>
      </w:r>
      <w:r>
        <w:rPr>
          <w:rFonts w:cstheme="minorHAnsi"/>
        </w:rPr>
        <w:t xml:space="preserve">This was particularly reflected by a response from an advocate for small business who felt that having a clearly defined set of rules was important in boosting consumer confidence. </w:t>
      </w:r>
    </w:p>
    <w:p w:rsidR="00FE37D3" w:rsidRDefault="00FE37D3" w:rsidP="00ED3B52">
      <w:pPr>
        <w:rPr>
          <w:rFonts w:cstheme="minorHAnsi"/>
        </w:rPr>
      </w:pPr>
      <w:r w:rsidRPr="000024AE">
        <w:rPr>
          <w:rFonts w:cstheme="minorHAnsi"/>
        </w:rPr>
        <w:lastRenderedPageBreak/>
        <w:t xml:space="preserve">While believing better building outcomes would be achieved by this proposal, one </w:t>
      </w:r>
      <w:r w:rsidR="0009270B">
        <w:rPr>
          <w:rFonts w:cstheme="minorHAnsi"/>
        </w:rPr>
        <w:t>surveyor</w:t>
      </w:r>
      <w:r w:rsidR="0009270B" w:rsidRPr="000024AE">
        <w:rPr>
          <w:rFonts w:cstheme="minorHAnsi"/>
        </w:rPr>
        <w:t xml:space="preserve"> </w:t>
      </w:r>
      <w:r w:rsidRPr="000024AE">
        <w:rPr>
          <w:rFonts w:cstheme="minorHAnsi"/>
        </w:rPr>
        <w:t xml:space="preserve">commented that the introduction of this process may have limited effectiveness without corresponding change to streamline issues within the DTS </w:t>
      </w:r>
      <w:r w:rsidR="005F69A7">
        <w:rPr>
          <w:rFonts w:cstheme="minorHAnsi"/>
        </w:rPr>
        <w:t>P</w:t>
      </w:r>
      <w:r w:rsidRPr="000024AE">
        <w:rPr>
          <w:rFonts w:cstheme="minorHAnsi"/>
        </w:rPr>
        <w:t>rovisions. On this basis</w:t>
      </w:r>
      <w:r w:rsidR="005F69A7">
        <w:rPr>
          <w:rFonts w:cstheme="minorHAnsi"/>
        </w:rPr>
        <w:t>,</w:t>
      </w:r>
      <w:r w:rsidRPr="000024AE">
        <w:rPr>
          <w:rFonts w:cstheme="minorHAnsi"/>
        </w:rPr>
        <w:t xml:space="preserve"> they felt the change may be better delayed until NCC 2022 is adopted.</w:t>
      </w:r>
      <w:r>
        <w:rPr>
          <w:rFonts w:cstheme="minorHAnsi"/>
        </w:rPr>
        <w:t xml:space="preserve"> </w:t>
      </w:r>
    </w:p>
    <w:p w:rsidR="00FE37D3" w:rsidRDefault="00FE37D3" w:rsidP="00ED3B52">
      <w:pPr>
        <w:rPr>
          <w:rFonts w:cstheme="minorHAnsi"/>
        </w:rPr>
      </w:pPr>
      <w:r>
        <w:rPr>
          <w:rFonts w:cstheme="minorHAnsi"/>
        </w:rPr>
        <w:t>Of those who thought building outcomes would not improve, one described it as being potentially ‘an administrative nightmare’</w:t>
      </w:r>
      <w:r w:rsidR="005F69A7">
        <w:rPr>
          <w:rFonts w:cstheme="minorHAnsi"/>
        </w:rPr>
        <w:t>,</w:t>
      </w:r>
      <w:r>
        <w:rPr>
          <w:rFonts w:cstheme="minorHAnsi"/>
        </w:rPr>
        <w:t xml:space="preserve"> while another thought that it would only add cost and time to the approval process. A further two respondents suggested that it would only be effective if it were supported by enhanced education of practitioners. </w:t>
      </w:r>
    </w:p>
    <w:p w:rsidR="00FE37D3" w:rsidRDefault="00FE37D3" w:rsidP="00ED3B52">
      <w:pPr>
        <w:rPr>
          <w:rFonts w:cstheme="minorHAnsi"/>
        </w:rPr>
      </w:pPr>
      <w:r w:rsidRPr="000024AE">
        <w:rPr>
          <w:rFonts w:cstheme="minorHAnsi"/>
        </w:rPr>
        <w:t>One respondent considered that the IFEG already clearly defined the expectations of practitioners when developing Performance Solutions and questioned the need for more intervention other than a greater degree of enforcement.</w:t>
      </w:r>
    </w:p>
    <w:p w:rsidR="00FE37D3" w:rsidRDefault="00FE37D3" w:rsidP="009D6E5E">
      <w:pPr>
        <w:rPr>
          <w:rFonts w:cstheme="minorHAnsi"/>
        </w:rPr>
      </w:pPr>
      <w:r>
        <w:rPr>
          <w:rFonts w:cstheme="minorHAnsi"/>
        </w:rPr>
        <w:t>These results generally reflect those of an ABCB survey</w:t>
      </w:r>
      <w:r w:rsidR="005F69A7">
        <w:rPr>
          <w:rFonts w:cstheme="minorHAnsi"/>
        </w:rPr>
        <w:t xml:space="preserve"> conducted</w:t>
      </w:r>
      <w:r>
        <w:rPr>
          <w:rFonts w:cstheme="minorHAnsi"/>
        </w:rPr>
        <w:t xml:space="preserve"> in 2019 of expectations that both outcomes, and use of performance-based design</w:t>
      </w:r>
      <w:r w:rsidR="005F69A7">
        <w:rPr>
          <w:rFonts w:cstheme="minorHAnsi"/>
        </w:rPr>
        <w:t>,</w:t>
      </w:r>
      <w:r>
        <w:rPr>
          <w:rFonts w:cstheme="minorHAnsi"/>
        </w:rPr>
        <w:t xml:space="preserve"> would improve through stakeholder involvement:</w:t>
      </w:r>
    </w:p>
    <w:p w:rsidR="00FE37D3" w:rsidRDefault="00FE37D3" w:rsidP="009D6E5E">
      <w:pPr>
        <w:pStyle w:val="Caption"/>
        <w:jc w:val="both"/>
      </w:pPr>
      <w:r>
        <w:lastRenderedPageBreak/>
        <w:t xml:space="preserve">Figure 2: Users expectations </w:t>
      </w:r>
      <w:r w:rsidRPr="009D6E5E">
        <w:t>of consulting stakeholders</w:t>
      </w:r>
    </w:p>
    <w:p w:rsidR="00FE37D3" w:rsidRDefault="00FE37D3" w:rsidP="009D6E5E">
      <w:pPr>
        <w:keepNext/>
      </w:pPr>
      <w:r>
        <w:rPr>
          <w:noProof/>
          <w:lang w:eastAsia="en-AU"/>
        </w:rPr>
        <w:drawing>
          <wp:inline distT="0" distB="0" distL="0" distR="0" wp14:anchorId="3D41D35C" wp14:editId="1A359B63">
            <wp:extent cx="5759450" cy="3238671"/>
            <wp:effectExtent l="0" t="0" r="12700" b="0"/>
            <wp:docPr id="2" name="Chart 2" title="Figure 2: Users expectations of consulting stakehold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E37D3" w:rsidRPr="00AC7CB6" w:rsidRDefault="00FE37D3" w:rsidP="009D6E5E">
      <w:pPr>
        <w:pStyle w:val="Caption"/>
        <w:jc w:val="both"/>
        <w:rPr>
          <w:b w:val="0"/>
          <w:sz w:val="20"/>
        </w:rPr>
      </w:pPr>
      <w:r w:rsidRPr="00AC7CB6">
        <w:rPr>
          <w:b w:val="0"/>
          <w:sz w:val="20"/>
        </w:rPr>
        <w:t>Source: ABCB Survey, 2019</w:t>
      </w:r>
    </w:p>
    <w:p w:rsidR="00FE37D3" w:rsidRDefault="00FE37D3" w:rsidP="00ED3B52">
      <w:pPr>
        <w:rPr>
          <w:rFonts w:cstheme="minorHAnsi"/>
        </w:rPr>
      </w:pPr>
      <w:r>
        <w:rPr>
          <w:rFonts w:cstheme="minorHAnsi"/>
        </w:rPr>
        <w:t xml:space="preserve">The final analysis reflects that not all Performance Solutions will be impacted by the proposed changes. Those </w:t>
      </w:r>
      <w:r w:rsidR="0066502F">
        <w:rPr>
          <w:rFonts w:cstheme="minorHAnsi"/>
        </w:rPr>
        <w:t xml:space="preserve">practitioners </w:t>
      </w:r>
      <w:r>
        <w:rPr>
          <w:rFonts w:cstheme="minorHAnsi"/>
        </w:rPr>
        <w:t>adequately undertaking the process</w:t>
      </w:r>
      <w:r w:rsidR="0066502F">
        <w:rPr>
          <w:rFonts w:cstheme="minorHAnsi"/>
        </w:rPr>
        <w:t>,</w:t>
      </w:r>
      <w:r>
        <w:rPr>
          <w:rFonts w:cstheme="minorHAnsi"/>
        </w:rPr>
        <w:t xml:space="preserve"> </w:t>
      </w:r>
      <w:r w:rsidR="0066502F">
        <w:rPr>
          <w:rFonts w:cstheme="minorHAnsi"/>
        </w:rPr>
        <w:t>and</w:t>
      </w:r>
      <w:r>
        <w:rPr>
          <w:rFonts w:cstheme="minorHAnsi"/>
        </w:rPr>
        <w:t xml:space="preserve"> in the case of jurisdictions with requirements for both consultation and documentation (e.g. fire solutions in some states), will not be impacted under either option. In this way, costs are expected to be proportional to the effectiveness of the options.  </w:t>
      </w:r>
    </w:p>
    <w:p w:rsidR="00FE37D3" w:rsidRPr="00FE69FF" w:rsidRDefault="00FE37D3" w:rsidP="00ED3B52">
      <w:pPr>
        <w:rPr>
          <w:rFonts w:cstheme="minorHAnsi"/>
        </w:rPr>
      </w:pPr>
      <w:r>
        <w:rPr>
          <w:rFonts w:cstheme="minorHAnsi"/>
        </w:rPr>
        <w:t xml:space="preserve">The cost-benefit analysis summarises the costs associated with each option. These costs reflect the incremental administrative costs associated with improving the Performance Solution process. </w:t>
      </w:r>
    </w:p>
    <w:p w:rsidR="00FE37D3" w:rsidRPr="00555A3A" w:rsidRDefault="00FE37D3" w:rsidP="005E1DCB">
      <w:pPr>
        <w:pStyle w:val="Heading1"/>
      </w:pPr>
      <w:bookmarkStart w:id="34" w:name="_Toc33098879"/>
      <w:r w:rsidRPr="00555A3A">
        <w:t>Objectives</w:t>
      </w:r>
      <w:bookmarkEnd w:id="34"/>
    </w:p>
    <w:p w:rsidR="00FE37D3" w:rsidRPr="00FB0E0C" w:rsidRDefault="00FE37D3" w:rsidP="00BA010D">
      <w:pPr>
        <w:spacing w:before="120" w:after="0"/>
        <w:rPr>
          <w:rFonts w:asciiTheme="minorHAnsi" w:eastAsia="Times New Roman" w:hAnsiTheme="minorHAnsi" w:cstheme="minorHAnsi"/>
          <w:szCs w:val="16"/>
          <w:lang w:eastAsia="en-AU"/>
        </w:rPr>
      </w:pPr>
      <w:r w:rsidRPr="00FB0E0C">
        <w:rPr>
          <w:rFonts w:asciiTheme="minorHAnsi" w:eastAsia="Times New Roman" w:hAnsiTheme="minorHAnsi" w:cstheme="minorHAnsi"/>
          <w:szCs w:val="16"/>
          <w:lang w:eastAsia="en-AU"/>
        </w:rPr>
        <w:t xml:space="preserve">The objectives of the proposal </w:t>
      </w:r>
      <w:r>
        <w:rPr>
          <w:rFonts w:asciiTheme="minorHAnsi" w:eastAsia="Times New Roman" w:hAnsiTheme="minorHAnsi" w:cstheme="minorHAnsi"/>
          <w:szCs w:val="16"/>
          <w:lang w:eastAsia="en-AU"/>
        </w:rPr>
        <w:t>are</w:t>
      </w:r>
      <w:r w:rsidRPr="00FB0E0C">
        <w:rPr>
          <w:rFonts w:asciiTheme="minorHAnsi" w:eastAsia="Times New Roman" w:hAnsiTheme="minorHAnsi" w:cstheme="minorHAnsi"/>
          <w:szCs w:val="16"/>
          <w:lang w:eastAsia="en-AU"/>
        </w:rPr>
        <w:t xml:space="preserve"> to ensure that Performance Solutions:</w:t>
      </w:r>
    </w:p>
    <w:p w:rsidR="00FE37D3" w:rsidRPr="00FB0E0C" w:rsidRDefault="00FE37D3" w:rsidP="00ED3B52">
      <w:pPr>
        <w:pStyle w:val="ListBullet"/>
        <w:rPr>
          <w:lang w:eastAsia="en-AU"/>
        </w:rPr>
      </w:pPr>
      <w:r>
        <w:rPr>
          <w:lang w:eastAsia="en-AU"/>
        </w:rPr>
        <w:t>a</w:t>
      </w:r>
      <w:r w:rsidRPr="00FB0E0C">
        <w:rPr>
          <w:lang w:eastAsia="en-AU"/>
        </w:rPr>
        <w:t>re developed using an appropriate process using methods commensurate with the complexity and risk posed by the design</w:t>
      </w:r>
      <w:r>
        <w:rPr>
          <w:lang w:eastAsia="en-AU"/>
        </w:rPr>
        <w:t xml:space="preserve">; </w:t>
      </w:r>
    </w:p>
    <w:p w:rsidR="00FE37D3" w:rsidRPr="00FB0E0C" w:rsidRDefault="00FE37D3" w:rsidP="00ED3B52">
      <w:pPr>
        <w:pStyle w:val="ListBullet"/>
      </w:pPr>
      <w:r>
        <w:rPr>
          <w:lang w:eastAsia="en-AU"/>
        </w:rPr>
        <w:t>m</w:t>
      </w:r>
      <w:r w:rsidRPr="00FB0E0C">
        <w:rPr>
          <w:lang w:eastAsia="en-AU"/>
        </w:rPr>
        <w:t>eet the relevant Performance Requirements</w:t>
      </w:r>
      <w:r>
        <w:rPr>
          <w:lang w:eastAsia="en-AU"/>
        </w:rPr>
        <w:t xml:space="preserve"> of the NCC;</w:t>
      </w:r>
    </w:p>
    <w:p w:rsidR="00FE37D3" w:rsidRPr="00FB0E0C" w:rsidRDefault="00FE37D3" w:rsidP="00ED3B52">
      <w:pPr>
        <w:pStyle w:val="ListBullet"/>
      </w:pPr>
      <w:r>
        <w:rPr>
          <w:lang w:eastAsia="en-AU"/>
        </w:rPr>
        <w:t>a</w:t>
      </w:r>
      <w:r w:rsidRPr="00FB0E0C">
        <w:rPr>
          <w:lang w:eastAsia="en-AU"/>
        </w:rPr>
        <w:t>chieve the required level of health and safety, amenity, accessibility and sustainability</w:t>
      </w:r>
      <w:r>
        <w:rPr>
          <w:lang w:eastAsia="en-AU"/>
        </w:rPr>
        <w:t>; and</w:t>
      </w:r>
    </w:p>
    <w:p w:rsidR="00FE37D3" w:rsidRPr="004146D1" w:rsidRDefault="00FE37D3" w:rsidP="004146D1">
      <w:pPr>
        <w:pStyle w:val="ListBullet"/>
        <w:rPr>
          <w:rFonts w:asciiTheme="minorHAnsi" w:hAnsiTheme="minorHAnsi" w:cstheme="minorHAnsi"/>
        </w:rPr>
      </w:pPr>
      <w:r>
        <w:rPr>
          <w:lang w:eastAsia="en-AU"/>
        </w:rPr>
        <w:lastRenderedPageBreak/>
        <w:t>a</w:t>
      </w:r>
      <w:r w:rsidRPr="00FB0E0C">
        <w:rPr>
          <w:lang w:eastAsia="en-AU"/>
        </w:rPr>
        <w:t>re well documented</w:t>
      </w:r>
      <w:r w:rsidR="00FA03B3">
        <w:rPr>
          <w:lang w:eastAsia="en-AU"/>
        </w:rPr>
        <w:t>,</w:t>
      </w:r>
      <w:r w:rsidRPr="00FB0E0C">
        <w:rPr>
          <w:lang w:eastAsia="en-AU"/>
        </w:rPr>
        <w:t xml:space="preserve"> transparent</w:t>
      </w:r>
      <w:r w:rsidR="00FA03B3">
        <w:rPr>
          <w:lang w:eastAsia="en-AU"/>
        </w:rPr>
        <w:t xml:space="preserve"> and enable accountability</w:t>
      </w:r>
      <w:r>
        <w:t>.</w:t>
      </w:r>
    </w:p>
    <w:p w:rsidR="00FE37D3" w:rsidRPr="00190190" w:rsidRDefault="00FE37D3" w:rsidP="00190190">
      <w:pPr>
        <w:pStyle w:val="Heading1"/>
      </w:pPr>
      <w:bookmarkStart w:id="35" w:name="_Toc33098880"/>
      <w:r w:rsidRPr="00190190">
        <w:t>Options</w:t>
      </w:r>
      <w:bookmarkEnd w:id="35"/>
    </w:p>
    <w:p w:rsidR="00FE37D3" w:rsidRPr="00455BC5" w:rsidRDefault="00FE37D3" w:rsidP="00455BC5">
      <w:pPr>
        <w:rPr>
          <w:rFonts w:asciiTheme="minorHAnsi" w:hAnsiTheme="minorHAnsi" w:cstheme="minorHAnsi"/>
        </w:rPr>
      </w:pPr>
      <w:r w:rsidRPr="00455BC5">
        <w:rPr>
          <w:rFonts w:asciiTheme="minorHAnsi" w:hAnsiTheme="minorHAnsi" w:cstheme="minorHAnsi"/>
        </w:rPr>
        <w:t xml:space="preserve">There are three options presented </w:t>
      </w:r>
      <w:r>
        <w:rPr>
          <w:rFonts w:asciiTheme="minorHAnsi" w:hAnsiTheme="minorHAnsi" w:cstheme="minorHAnsi"/>
        </w:rPr>
        <w:t>for</w:t>
      </w:r>
      <w:r w:rsidRPr="00455BC5">
        <w:rPr>
          <w:rFonts w:asciiTheme="minorHAnsi" w:hAnsiTheme="minorHAnsi" w:cstheme="minorHAnsi"/>
        </w:rPr>
        <w:t xml:space="preserve"> decision-makers. </w:t>
      </w:r>
    </w:p>
    <w:p w:rsidR="00FE37D3" w:rsidRPr="00BA010D" w:rsidRDefault="00FE37D3" w:rsidP="00455BC5">
      <w:pPr>
        <w:pStyle w:val="Heading2"/>
        <w:spacing w:before="120"/>
      </w:pPr>
      <w:bookmarkStart w:id="36" w:name="_Toc32229027"/>
      <w:bookmarkStart w:id="37" w:name="_Toc33098422"/>
      <w:bookmarkStart w:id="38" w:name="_Toc33098881"/>
      <w:r w:rsidRPr="00BA010D">
        <w:t>Option 1: Maintain the status quo</w:t>
      </w:r>
      <w:bookmarkEnd w:id="36"/>
      <w:bookmarkEnd w:id="37"/>
      <w:bookmarkEnd w:id="38"/>
    </w:p>
    <w:p w:rsidR="00FE37D3" w:rsidRPr="00BA010D" w:rsidRDefault="00FE37D3" w:rsidP="00455BC5">
      <w:pPr>
        <w:spacing w:before="120"/>
        <w:rPr>
          <w:rFonts w:asciiTheme="minorHAnsi" w:eastAsia="Times New Roman" w:hAnsiTheme="minorHAnsi" w:cstheme="minorHAnsi"/>
          <w:szCs w:val="16"/>
          <w:lang w:eastAsia="en-AU"/>
        </w:rPr>
      </w:pPr>
      <w:r w:rsidRPr="00BA010D">
        <w:rPr>
          <w:rFonts w:asciiTheme="minorHAnsi" w:eastAsia="Times New Roman" w:hAnsiTheme="minorHAnsi" w:cstheme="minorHAnsi"/>
          <w:szCs w:val="16"/>
          <w:lang w:eastAsia="en-AU"/>
        </w:rPr>
        <w:t>The status quo involves</w:t>
      </w:r>
      <w:r>
        <w:rPr>
          <w:rFonts w:asciiTheme="minorHAnsi" w:eastAsia="Times New Roman" w:hAnsiTheme="minorHAnsi" w:cstheme="minorHAnsi"/>
          <w:szCs w:val="16"/>
          <w:lang w:eastAsia="en-AU"/>
        </w:rPr>
        <w:t xml:space="preserve"> the</w:t>
      </w:r>
      <w:r w:rsidRPr="00BA010D">
        <w:rPr>
          <w:rFonts w:asciiTheme="minorHAnsi" w:eastAsia="Times New Roman" w:hAnsiTheme="minorHAnsi" w:cstheme="minorHAnsi"/>
          <w:szCs w:val="16"/>
          <w:lang w:eastAsia="en-AU"/>
        </w:rPr>
        <w:t xml:space="preserve"> ABCB promoting non-regulatory guidance to provide information on the process to be used for the development and documentation of NCC Performance Solutions. Under this option there would be no change to the content of the current NCC. The non-regulatory document would continue to </w:t>
      </w:r>
      <w:r>
        <w:rPr>
          <w:rFonts w:asciiTheme="minorHAnsi" w:eastAsia="Times New Roman" w:hAnsiTheme="minorHAnsi" w:cstheme="minorHAnsi"/>
          <w:szCs w:val="16"/>
          <w:lang w:eastAsia="en-AU"/>
        </w:rPr>
        <w:t xml:space="preserve">be used to </w:t>
      </w:r>
      <w:r w:rsidRPr="00BA010D">
        <w:rPr>
          <w:rFonts w:asciiTheme="minorHAnsi" w:eastAsia="Times New Roman" w:hAnsiTheme="minorHAnsi" w:cstheme="minorHAnsi"/>
          <w:szCs w:val="16"/>
          <w:lang w:eastAsia="en-AU"/>
        </w:rPr>
        <w:t xml:space="preserve">explain the NCC’s </w:t>
      </w:r>
      <w:r>
        <w:rPr>
          <w:rFonts w:asciiTheme="minorHAnsi" w:eastAsia="Times New Roman" w:hAnsiTheme="minorHAnsi" w:cstheme="minorHAnsi"/>
          <w:szCs w:val="16"/>
          <w:lang w:eastAsia="en-AU"/>
        </w:rPr>
        <w:t>intent</w:t>
      </w:r>
      <w:r w:rsidRPr="00BA010D">
        <w:rPr>
          <w:rFonts w:asciiTheme="minorHAnsi" w:eastAsia="Times New Roman" w:hAnsiTheme="minorHAnsi" w:cstheme="minorHAnsi"/>
          <w:szCs w:val="16"/>
          <w:lang w:eastAsia="en-AU"/>
        </w:rPr>
        <w:t xml:space="preserve"> for the consistent development and documentation of Performance Solutions.</w:t>
      </w:r>
    </w:p>
    <w:p w:rsidR="00FE37D3" w:rsidRPr="00BA010D" w:rsidRDefault="00FE37D3" w:rsidP="00BA010D">
      <w:pPr>
        <w:rPr>
          <w:rFonts w:asciiTheme="minorHAnsi" w:eastAsia="Times New Roman" w:hAnsiTheme="minorHAnsi" w:cstheme="minorHAnsi"/>
          <w:szCs w:val="16"/>
          <w:lang w:eastAsia="en-AU"/>
        </w:rPr>
      </w:pPr>
      <w:r w:rsidRPr="00BA010D">
        <w:rPr>
          <w:rFonts w:asciiTheme="minorHAnsi" w:eastAsia="Times New Roman" w:hAnsiTheme="minorHAnsi" w:cstheme="minorHAnsi"/>
          <w:szCs w:val="16"/>
          <w:lang w:eastAsia="en-AU"/>
        </w:rPr>
        <w:t xml:space="preserve">The status quo is the default choice for decision-makers in considering alternatives to achieve the objectives. Where the incremental impacts of other options would result in more costs than benefits, or would be ineffective in addressing the problem or achieving the objectives, this analysis will conclude in favour of the status quo. </w:t>
      </w:r>
    </w:p>
    <w:p w:rsidR="00FE37D3" w:rsidRPr="00BA010D" w:rsidRDefault="00FE37D3" w:rsidP="00BA010D">
      <w:pPr>
        <w:rPr>
          <w:rFonts w:asciiTheme="minorHAnsi" w:eastAsia="Times New Roman" w:hAnsiTheme="minorHAnsi" w:cstheme="minorHAnsi"/>
          <w:szCs w:val="16"/>
          <w:lang w:eastAsia="en-AU"/>
        </w:rPr>
      </w:pPr>
      <w:r w:rsidRPr="00BA010D">
        <w:rPr>
          <w:rFonts w:asciiTheme="minorHAnsi" w:eastAsia="Times New Roman" w:hAnsiTheme="minorHAnsi" w:cstheme="minorHAnsi"/>
          <w:szCs w:val="16"/>
          <w:lang w:eastAsia="en-AU"/>
        </w:rPr>
        <w:t xml:space="preserve">The status quo will be regarded as a baseline, as a basis to determine the incremental impacts of the other options. </w:t>
      </w:r>
    </w:p>
    <w:p w:rsidR="00FE37D3" w:rsidRPr="00BA010D" w:rsidRDefault="00FE37D3" w:rsidP="00BA010D">
      <w:pPr>
        <w:pStyle w:val="Heading2"/>
      </w:pPr>
      <w:bookmarkStart w:id="39" w:name="_Toc32229028"/>
      <w:bookmarkStart w:id="40" w:name="_Toc33098423"/>
      <w:bookmarkStart w:id="41" w:name="_Toc33098882"/>
      <w:r w:rsidRPr="00BA010D">
        <w:t>Option 2: Amend the NCC Governing Requirements to include a mandatory process for the development and documentation of a Performance Solution</w:t>
      </w:r>
      <w:bookmarkEnd w:id="39"/>
      <w:bookmarkEnd w:id="40"/>
      <w:bookmarkEnd w:id="41"/>
    </w:p>
    <w:p w:rsidR="00FE37D3" w:rsidRPr="00BA010D" w:rsidRDefault="00FE37D3" w:rsidP="00455BC5">
      <w:pPr>
        <w:spacing w:before="120"/>
        <w:rPr>
          <w:rFonts w:asciiTheme="minorHAnsi" w:hAnsiTheme="minorHAnsi" w:cstheme="minorHAnsi"/>
        </w:rPr>
      </w:pPr>
      <w:r w:rsidRPr="00BA010D">
        <w:rPr>
          <w:rFonts w:asciiTheme="minorHAnsi" w:hAnsiTheme="minorHAnsi" w:cstheme="minorHAnsi"/>
        </w:rPr>
        <w:t>This option would require all Performance Solutions regardless of topic, size or complexity, to be subject to the process proposed in Attachment A to an extent commensurate with the complexity and risk of the design.</w:t>
      </w:r>
    </w:p>
    <w:p w:rsidR="00FE37D3" w:rsidRDefault="00FE37D3" w:rsidP="00BA010D">
      <w:pPr>
        <w:rPr>
          <w:rFonts w:asciiTheme="minorHAnsi" w:hAnsiTheme="minorHAnsi" w:cstheme="minorHAnsi"/>
        </w:rPr>
      </w:pPr>
      <w:r w:rsidRPr="00BA010D">
        <w:rPr>
          <w:rFonts w:asciiTheme="minorHAnsi" w:hAnsiTheme="minorHAnsi" w:cstheme="minorHAnsi"/>
        </w:rPr>
        <w:t xml:space="preserve">The intent of Option 2 is to address the need for clear expectations for the development and documentation of </w:t>
      </w:r>
      <w:r w:rsidRPr="009C1808">
        <w:rPr>
          <w:rFonts w:asciiTheme="minorHAnsi" w:hAnsiTheme="minorHAnsi" w:cstheme="minorHAnsi"/>
        </w:rPr>
        <w:t xml:space="preserve">all NCC Performance Solutions. </w:t>
      </w:r>
      <w:r w:rsidRPr="00BA010D">
        <w:rPr>
          <w:rFonts w:asciiTheme="minorHAnsi" w:hAnsiTheme="minorHAnsi" w:cstheme="minorHAnsi"/>
        </w:rPr>
        <w:t xml:space="preserve">The proposal requires the involvement of stakeholders in both the performance-based design brief, setting </w:t>
      </w:r>
      <w:r w:rsidRPr="00BA010D">
        <w:rPr>
          <w:rFonts w:asciiTheme="minorHAnsi" w:hAnsiTheme="minorHAnsi" w:cstheme="minorHAnsi"/>
        </w:rPr>
        <w:lastRenderedPageBreak/>
        <w:t>acceptance criteria and evaluation of results</w:t>
      </w:r>
      <w:r w:rsidRPr="008D3852">
        <w:rPr>
          <w:rFonts w:asciiTheme="minorHAnsi" w:hAnsiTheme="minorHAnsi" w:cstheme="minorHAnsi"/>
        </w:rPr>
        <w:t xml:space="preserve"> </w:t>
      </w:r>
      <w:r>
        <w:rPr>
          <w:rFonts w:asciiTheme="minorHAnsi" w:hAnsiTheme="minorHAnsi" w:cstheme="minorHAnsi"/>
        </w:rPr>
        <w:t>t</w:t>
      </w:r>
      <w:r w:rsidRPr="008D3852">
        <w:rPr>
          <w:rFonts w:asciiTheme="minorHAnsi" w:hAnsiTheme="minorHAnsi" w:cstheme="minorHAnsi"/>
        </w:rPr>
        <w:t xml:space="preserve">o overcome the </w:t>
      </w:r>
      <w:r>
        <w:rPr>
          <w:rFonts w:asciiTheme="minorHAnsi" w:hAnsiTheme="minorHAnsi" w:cstheme="minorHAnsi"/>
        </w:rPr>
        <w:t>problem</w:t>
      </w:r>
      <w:r w:rsidRPr="008D3852">
        <w:rPr>
          <w:rFonts w:asciiTheme="minorHAnsi" w:hAnsiTheme="minorHAnsi" w:cstheme="minorHAnsi"/>
        </w:rPr>
        <w:t xml:space="preserve"> and ensure adequate decisions are made</w:t>
      </w:r>
      <w:r w:rsidRPr="00BA010D">
        <w:rPr>
          <w:rFonts w:asciiTheme="minorHAnsi" w:hAnsiTheme="minorHAnsi" w:cstheme="minorHAnsi"/>
        </w:rPr>
        <w:t xml:space="preserve">. </w:t>
      </w:r>
    </w:p>
    <w:p w:rsidR="00FE37D3" w:rsidRPr="00BA010D" w:rsidRDefault="00FE37D3" w:rsidP="00BA010D">
      <w:pPr>
        <w:rPr>
          <w:rFonts w:asciiTheme="minorHAnsi" w:hAnsiTheme="minorHAnsi" w:cstheme="minorHAnsi"/>
        </w:rPr>
      </w:pPr>
      <w:r w:rsidRPr="00283C97">
        <w:rPr>
          <w:rFonts w:asciiTheme="minorHAnsi" w:hAnsiTheme="minorHAnsi" w:cstheme="minorHAnsi"/>
        </w:rPr>
        <w:t>This will be implemented through an amendment to the NCC’s Governing Requirements, formalising the intent of the NCC and content of current guidance material.</w:t>
      </w:r>
    </w:p>
    <w:p w:rsidR="00FE37D3" w:rsidRPr="00BA010D" w:rsidRDefault="00FE37D3" w:rsidP="00BA010D">
      <w:pPr>
        <w:pStyle w:val="Heading2"/>
      </w:pPr>
      <w:bookmarkStart w:id="42" w:name="_Toc32229029"/>
      <w:bookmarkStart w:id="43" w:name="_Toc33098424"/>
      <w:bookmarkStart w:id="44" w:name="_Toc33098883"/>
      <w:r w:rsidRPr="00BA010D">
        <w:t>Option 3: Restrict the application of the solution to life safety matters (fire and structure)</w:t>
      </w:r>
      <w:bookmarkEnd w:id="42"/>
      <w:bookmarkEnd w:id="43"/>
      <w:bookmarkEnd w:id="44"/>
      <w:r w:rsidRPr="00BA010D">
        <w:t xml:space="preserve"> </w:t>
      </w:r>
    </w:p>
    <w:p w:rsidR="00FE37D3" w:rsidRDefault="00FE37D3" w:rsidP="00EB5D95">
      <w:pPr>
        <w:rPr>
          <w:rFonts w:ascii="Calibri" w:hAnsi="Calibri"/>
          <w:sz w:val="22"/>
        </w:rPr>
      </w:pPr>
      <w:r>
        <w:t xml:space="preserve">This option would apply as per Option 2, but only require its application to solutions involving ‘life safety’ matters. </w:t>
      </w:r>
      <w:r w:rsidRPr="001B27F5">
        <w:t xml:space="preserve"> </w:t>
      </w:r>
      <w:r w:rsidRPr="00D96F03">
        <w:t>A recent survey of industry practitioners conducted by the ABCB found that Performance Solutions relating to fire</w:t>
      </w:r>
      <w:r w:rsidRPr="00D96F03">
        <w:rPr>
          <w:rStyle w:val="FootnoteReference"/>
        </w:rPr>
        <w:footnoteReference w:id="45"/>
      </w:r>
      <w:r w:rsidRPr="00D96F03">
        <w:t xml:space="preserve"> ranked highest among respondents (both commercial and residential) and would represent the majority (assumed to be at least half) of Performance Solutions in commercial buildings</w:t>
      </w:r>
      <w:r w:rsidR="00FA03B3">
        <w:t xml:space="preserve"> (including Class 2 multi-storey residential buildings)</w:t>
      </w:r>
      <w:r w:rsidRPr="00D96F03">
        <w:t>. Hence, the impacts of this option are assessed on the basis of it constituting 60 per cent</w:t>
      </w:r>
      <w:r>
        <w:t xml:space="preserve"> of </w:t>
      </w:r>
      <w:r w:rsidRPr="00D96F03">
        <w:t>Option 2. </w:t>
      </w:r>
      <w:r w:rsidRPr="00D96F03">
        <w:rPr>
          <w:rFonts w:ascii="Segoe UI" w:hAnsi="Segoe UI" w:cs="Segoe UI"/>
          <w:color w:val="000000"/>
          <w:sz w:val="20"/>
          <w:szCs w:val="20"/>
        </w:rPr>
        <w:t xml:space="preserve"> </w:t>
      </w:r>
    </w:p>
    <w:p w:rsidR="00FE37D3" w:rsidRPr="00BA010D" w:rsidRDefault="00FE37D3" w:rsidP="00ED3B52">
      <w:pPr>
        <w:rPr>
          <w:rFonts w:asciiTheme="minorHAnsi" w:hAnsiTheme="minorHAnsi" w:cstheme="minorHAnsi"/>
        </w:rPr>
      </w:pPr>
      <w:r w:rsidRPr="00BA010D">
        <w:rPr>
          <w:rFonts w:asciiTheme="minorHAnsi" w:hAnsiTheme="minorHAnsi" w:cstheme="minorHAnsi"/>
        </w:rPr>
        <w:br w:type="page"/>
      </w:r>
    </w:p>
    <w:p w:rsidR="00FE37D3" w:rsidRDefault="00FE37D3" w:rsidP="00D66192">
      <w:pPr>
        <w:pStyle w:val="Heading1"/>
      </w:pPr>
      <w:bookmarkStart w:id="45" w:name="_Toc33098884"/>
      <w:r>
        <w:lastRenderedPageBreak/>
        <w:t>International Approaches</w:t>
      </w:r>
      <w:bookmarkEnd w:id="45"/>
    </w:p>
    <w:p w:rsidR="00FE37D3" w:rsidRPr="00FB0E0C" w:rsidRDefault="00FE37D3" w:rsidP="00ED3B52">
      <w:pPr>
        <w:rPr>
          <w:rFonts w:asciiTheme="minorHAnsi" w:hAnsiTheme="minorHAnsi" w:cstheme="minorHAnsi"/>
        </w:rPr>
      </w:pPr>
      <w:r w:rsidRPr="00FB0E0C">
        <w:rPr>
          <w:rFonts w:asciiTheme="minorHAnsi" w:hAnsiTheme="minorHAnsi" w:cstheme="minorHAnsi"/>
        </w:rPr>
        <w:t xml:space="preserve">The following international approaches were </w:t>
      </w:r>
      <w:r>
        <w:rPr>
          <w:rFonts w:asciiTheme="minorHAnsi" w:hAnsiTheme="minorHAnsi" w:cstheme="minorHAnsi"/>
        </w:rPr>
        <w:t>reviewed as being either performance-based or similar to the structure of the NCC</w:t>
      </w:r>
      <w:r w:rsidRPr="00FB0E0C">
        <w:rPr>
          <w:rFonts w:asciiTheme="minorHAnsi" w:hAnsiTheme="minorHAnsi" w:cstheme="minorHAnsi"/>
        </w:rPr>
        <w:t xml:space="preserve">. </w:t>
      </w:r>
    </w:p>
    <w:p w:rsidR="00FE37D3" w:rsidRPr="00715DC0" w:rsidRDefault="00FE37D3" w:rsidP="002C154B">
      <w:pPr>
        <w:pStyle w:val="Heading2"/>
      </w:pPr>
      <w:bookmarkStart w:id="46" w:name="_Toc32229031"/>
      <w:bookmarkStart w:id="47" w:name="_Toc33098426"/>
      <w:bookmarkStart w:id="48" w:name="_Toc33098885"/>
      <w:r w:rsidRPr="00715DC0">
        <w:t>Canada</w:t>
      </w:r>
      <w:bookmarkEnd w:id="46"/>
      <w:bookmarkEnd w:id="47"/>
      <w:bookmarkEnd w:id="48"/>
    </w:p>
    <w:p w:rsidR="00FE37D3" w:rsidRPr="00B526A8" w:rsidRDefault="00FE37D3" w:rsidP="00ED3B52">
      <w:r>
        <w:t>I</w:t>
      </w:r>
      <w:r w:rsidRPr="00B526A8">
        <w:t>n most</w:t>
      </w:r>
      <w:r>
        <w:t xml:space="preserve"> Canadian</w:t>
      </w:r>
      <w:r w:rsidRPr="00B526A8">
        <w:t xml:space="preserve"> jurisdictions, the building verification and approval process include</w:t>
      </w:r>
      <w:r>
        <w:t>s</w:t>
      </w:r>
      <w:r w:rsidRPr="00B526A8">
        <w:t xml:space="preserve"> verification at the design stage, during construction and before occupancy. Review and acceptance is generally undertaken at the municipal level by the authority having jurisdiction (AHJ). Canadian Codes are ‘Objec</w:t>
      </w:r>
      <w:r>
        <w:t xml:space="preserve">tives’ based. A solution can </w:t>
      </w:r>
      <w:r w:rsidRPr="00B526A8">
        <w:t>either</w:t>
      </w:r>
      <w:r>
        <w:t xml:space="preserve"> be</w:t>
      </w:r>
      <w:r w:rsidRPr="00B526A8">
        <w:t xml:space="preserve"> </w:t>
      </w:r>
      <w:r>
        <w:t>DTS</w:t>
      </w:r>
      <w:r w:rsidRPr="00B526A8">
        <w:t xml:space="preserve"> or an alternative solution. A building applicant must demonstrate compliance is at least equivalent. The final acceptance of an ‘alternative solution’ is the decision of the AHJ, and may in some cases require prior acceptance by provincial or territorial boards or commissions.</w:t>
      </w:r>
    </w:p>
    <w:p w:rsidR="00FE37D3" w:rsidRPr="00ED3B52" w:rsidRDefault="00FE37D3" w:rsidP="00ED3B52">
      <w:pPr>
        <w:pStyle w:val="Heading2"/>
      </w:pPr>
      <w:bookmarkStart w:id="49" w:name="_Toc32229032"/>
      <w:bookmarkStart w:id="50" w:name="_Toc33098427"/>
      <w:bookmarkStart w:id="51" w:name="_Toc33098886"/>
      <w:r w:rsidRPr="00ED3B52">
        <w:t>New Zealand</w:t>
      </w:r>
      <w:bookmarkEnd w:id="49"/>
      <w:bookmarkEnd w:id="50"/>
      <w:bookmarkEnd w:id="51"/>
    </w:p>
    <w:p w:rsidR="00FE37D3" w:rsidRPr="00B526A8" w:rsidRDefault="00FE37D3" w:rsidP="00715DC0">
      <w:pPr>
        <w:rPr>
          <w:rFonts w:asciiTheme="minorHAnsi" w:hAnsiTheme="minorHAnsi" w:cstheme="minorHAnsi"/>
        </w:rPr>
      </w:pPr>
      <w:r>
        <w:rPr>
          <w:rFonts w:asciiTheme="minorHAnsi" w:hAnsiTheme="minorHAnsi" w:cstheme="minorHAnsi"/>
        </w:rPr>
        <w:t>The New Zealand Building C</w:t>
      </w:r>
      <w:r w:rsidRPr="00B526A8">
        <w:rPr>
          <w:rFonts w:asciiTheme="minorHAnsi" w:hAnsiTheme="minorHAnsi" w:cstheme="minorHAnsi"/>
        </w:rPr>
        <w:t>ode is similar in structure to the NCC. ‘Alternative Solutions’ are required where ‘Acceptable Solutions’ are not used. Solutions are considered by buildin</w:t>
      </w:r>
      <w:r>
        <w:rPr>
          <w:rFonts w:asciiTheme="minorHAnsi" w:hAnsiTheme="minorHAnsi" w:cstheme="minorHAnsi"/>
        </w:rPr>
        <w:t>g consent authorities (usually Local Councils) and these authorities need</w:t>
      </w:r>
      <w:r w:rsidRPr="00B526A8">
        <w:rPr>
          <w:rFonts w:asciiTheme="minorHAnsi" w:hAnsiTheme="minorHAnsi" w:cstheme="minorHAnsi"/>
        </w:rPr>
        <w:t xml:space="preserve"> to be satisfied “on reasonable grounds” that the proposed requirements will meet the Code.</w:t>
      </w:r>
      <w:r w:rsidRPr="00B526A8">
        <w:rPr>
          <w:rFonts w:asciiTheme="minorHAnsi" w:hAnsiTheme="minorHAnsi" w:cstheme="minorHAnsi"/>
          <w:color w:val="000000"/>
        </w:rPr>
        <w:t xml:space="preserve"> </w:t>
      </w:r>
      <w:r w:rsidRPr="00B526A8">
        <w:rPr>
          <w:rFonts w:asciiTheme="minorHAnsi" w:hAnsiTheme="minorHAnsi" w:cstheme="minorHAnsi"/>
        </w:rPr>
        <w:t xml:space="preserve">No specific process is mandated, but general guidance on the burden of proof and the role of evidence </w:t>
      </w:r>
      <w:r>
        <w:rPr>
          <w:rFonts w:asciiTheme="minorHAnsi" w:hAnsiTheme="minorHAnsi" w:cstheme="minorHAnsi"/>
        </w:rPr>
        <w:t>is provided</w:t>
      </w:r>
      <w:r w:rsidRPr="00B526A8">
        <w:rPr>
          <w:rFonts w:asciiTheme="minorHAnsi" w:hAnsiTheme="minorHAnsi" w:cstheme="minorHAnsi"/>
        </w:rPr>
        <w:t>.</w:t>
      </w:r>
    </w:p>
    <w:p w:rsidR="00FE37D3" w:rsidRPr="00B526A8" w:rsidRDefault="00FE37D3" w:rsidP="002C154B">
      <w:pPr>
        <w:spacing w:after="120"/>
        <w:rPr>
          <w:rFonts w:asciiTheme="minorHAnsi" w:hAnsiTheme="minorHAnsi" w:cstheme="minorHAnsi"/>
        </w:rPr>
      </w:pPr>
      <w:r w:rsidRPr="00B526A8">
        <w:rPr>
          <w:rFonts w:asciiTheme="minorHAnsi" w:hAnsiTheme="minorHAnsi" w:cstheme="minorHAnsi"/>
        </w:rPr>
        <w:t xml:space="preserve">Development of a Fire Engineering Brief (FEB) is recommended to ensure agreement between stakeholders on assessment methods, acceptance criteria and the process or peer review. Assessment is the responsibility of the </w:t>
      </w:r>
      <w:r>
        <w:rPr>
          <w:rFonts w:asciiTheme="minorHAnsi" w:hAnsiTheme="minorHAnsi" w:cstheme="minorHAnsi"/>
        </w:rPr>
        <w:t>consent authority</w:t>
      </w:r>
      <w:r w:rsidR="00085A32">
        <w:rPr>
          <w:rFonts w:asciiTheme="minorHAnsi" w:hAnsiTheme="minorHAnsi" w:cstheme="minorHAnsi"/>
        </w:rPr>
        <w:t>, which is</w:t>
      </w:r>
      <w:r w:rsidRPr="00B526A8">
        <w:rPr>
          <w:rFonts w:asciiTheme="minorHAnsi" w:hAnsiTheme="minorHAnsi" w:cstheme="minorHAnsi"/>
        </w:rPr>
        <w:t xml:space="preserve"> </w:t>
      </w:r>
      <w:r w:rsidRPr="00B526A8">
        <w:rPr>
          <w:rFonts w:asciiTheme="minorHAnsi" w:hAnsiTheme="minorHAnsi" w:cstheme="minorHAnsi"/>
          <w:color w:val="000000"/>
        </w:rPr>
        <w:t>required to be accredited by an independent Building Consent Accreditation Body, established in 2004. P</w:t>
      </w:r>
      <w:r w:rsidRPr="00B526A8">
        <w:rPr>
          <w:rFonts w:asciiTheme="minorHAnsi" w:hAnsiTheme="minorHAnsi" w:cstheme="minorHAnsi"/>
        </w:rPr>
        <w:t>eer review may be sought by th</w:t>
      </w:r>
      <w:r>
        <w:rPr>
          <w:rFonts w:asciiTheme="minorHAnsi" w:hAnsiTheme="minorHAnsi" w:cstheme="minorHAnsi"/>
        </w:rPr>
        <w:t>e BCA in assessing all or specific aspects</w:t>
      </w:r>
      <w:r w:rsidRPr="00B526A8">
        <w:rPr>
          <w:rFonts w:asciiTheme="minorHAnsi" w:hAnsiTheme="minorHAnsi" w:cstheme="minorHAnsi"/>
        </w:rPr>
        <w:t xml:space="preserve"> of a proposed </w:t>
      </w:r>
      <w:r w:rsidR="00085A32">
        <w:rPr>
          <w:rFonts w:asciiTheme="minorHAnsi" w:hAnsiTheme="minorHAnsi" w:cstheme="minorHAnsi"/>
        </w:rPr>
        <w:t>A</w:t>
      </w:r>
      <w:r w:rsidRPr="00B526A8">
        <w:rPr>
          <w:rFonts w:asciiTheme="minorHAnsi" w:hAnsiTheme="minorHAnsi" w:cstheme="minorHAnsi"/>
        </w:rPr>
        <w:t xml:space="preserve">lternative </w:t>
      </w:r>
      <w:r w:rsidR="00085A32">
        <w:rPr>
          <w:rFonts w:asciiTheme="minorHAnsi" w:hAnsiTheme="minorHAnsi" w:cstheme="minorHAnsi"/>
        </w:rPr>
        <w:t>S</w:t>
      </w:r>
      <w:r w:rsidRPr="00B526A8">
        <w:rPr>
          <w:rFonts w:asciiTheme="minorHAnsi" w:hAnsiTheme="minorHAnsi" w:cstheme="minorHAnsi"/>
        </w:rPr>
        <w:t xml:space="preserve">olution and the qualifications of the practitioners involved. Specific </w:t>
      </w:r>
      <w:r>
        <w:rPr>
          <w:rFonts w:asciiTheme="minorHAnsi" w:hAnsiTheme="minorHAnsi" w:cstheme="minorHAnsi"/>
        </w:rPr>
        <w:t>g</w:t>
      </w:r>
      <w:r w:rsidRPr="00B526A8">
        <w:rPr>
          <w:rFonts w:asciiTheme="minorHAnsi" w:hAnsiTheme="minorHAnsi" w:cstheme="minorHAnsi"/>
        </w:rPr>
        <w:t>uidance has been issued for the</w:t>
      </w:r>
      <w:r>
        <w:rPr>
          <w:rFonts w:asciiTheme="minorHAnsi" w:hAnsiTheme="minorHAnsi" w:cstheme="minorHAnsi"/>
        </w:rPr>
        <w:t xml:space="preserve"> ‘</w:t>
      </w:r>
      <w:r w:rsidRPr="00B526A8">
        <w:rPr>
          <w:rFonts w:asciiTheme="minorHAnsi" w:hAnsiTheme="minorHAnsi" w:cstheme="minorHAnsi"/>
        </w:rPr>
        <w:t xml:space="preserve">fire safety design for tall buildings’. A systematic (verification) approach to the assessment of alternative fire safety solutions is </w:t>
      </w:r>
      <w:r>
        <w:rPr>
          <w:rFonts w:asciiTheme="minorHAnsi" w:hAnsiTheme="minorHAnsi" w:cstheme="minorHAnsi"/>
        </w:rPr>
        <w:t xml:space="preserve">also </w:t>
      </w:r>
      <w:r w:rsidRPr="00B526A8">
        <w:rPr>
          <w:rFonts w:asciiTheme="minorHAnsi" w:hAnsiTheme="minorHAnsi" w:cstheme="minorHAnsi"/>
        </w:rPr>
        <w:t xml:space="preserve">now required and alternative pathways are </w:t>
      </w:r>
      <w:r>
        <w:rPr>
          <w:rFonts w:asciiTheme="minorHAnsi" w:hAnsiTheme="minorHAnsi" w:cstheme="minorHAnsi"/>
        </w:rPr>
        <w:t xml:space="preserve">reportedly </w:t>
      </w:r>
      <w:r w:rsidRPr="00B526A8">
        <w:rPr>
          <w:rFonts w:asciiTheme="minorHAnsi" w:hAnsiTheme="minorHAnsi" w:cstheme="minorHAnsi"/>
        </w:rPr>
        <w:t xml:space="preserve">rare. </w:t>
      </w:r>
    </w:p>
    <w:p w:rsidR="00FE37D3" w:rsidRPr="00ED3B52" w:rsidRDefault="00FE37D3" w:rsidP="00ED3B52">
      <w:pPr>
        <w:pStyle w:val="Heading2"/>
      </w:pPr>
      <w:bookmarkStart w:id="52" w:name="_Toc32229033"/>
      <w:bookmarkStart w:id="53" w:name="_Toc33098428"/>
      <w:bookmarkStart w:id="54" w:name="_Toc33098887"/>
      <w:r w:rsidRPr="00ED3B52">
        <w:lastRenderedPageBreak/>
        <w:t>United States</w:t>
      </w:r>
      <w:bookmarkEnd w:id="52"/>
      <w:bookmarkEnd w:id="53"/>
      <w:bookmarkEnd w:id="54"/>
    </w:p>
    <w:p w:rsidR="00FE37D3" w:rsidRPr="00B526A8" w:rsidRDefault="00FE37D3" w:rsidP="00ED3B52">
      <w:pPr>
        <w:rPr>
          <w:rFonts w:asciiTheme="minorHAnsi" w:hAnsiTheme="minorHAnsi" w:cstheme="minorHAnsi"/>
        </w:rPr>
      </w:pPr>
      <w:r w:rsidRPr="00B526A8">
        <w:rPr>
          <w:rFonts w:asciiTheme="minorHAnsi" w:hAnsiTheme="minorHAnsi" w:cstheme="minorHAnsi"/>
        </w:rPr>
        <w:t>In the United States</w:t>
      </w:r>
      <w:r>
        <w:rPr>
          <w:rFonts w:asciiTheme="minorHAnsi" w:hAnsiTheme="minorHAnsi" w:cstheme="minorHAnsi"/>
        </w:rPr>
        <w:t>,</w:t>
      </w:r>
      <w:r w:rsidRPr="00B526A8">
        <w:rPr>
          <w:rFonts w:asciiTheme="minorHAnsi" w:hAnsiTheme="minorHAnsi" w:cstheme="minorHAnsi"/>
        </w:rPr>
        <w:t xml:space="preserve"> building regulation consists of model codes </w:t>
      </w:r>
      <w:r>
        <w:rPr>
          <w:rFonts w:asciiTheme="minorHAnsi" w:hAnsiTheme="minorHAnsi" w:cstheme="minorHAnsi"/>
        </w:rPr>
        <w:t>that are</w:t>
      </w:r>
      <w:r w:rsidRPr="00B526A8">
        <w:rPr>
          <w:rFonts w:asciiTheme="minorHAnsi" w:hAnsiTheme="minorHAnsi" w:cstheme="minorHAnsi"/>
        </w:rPr>
        <w:t xml:space="preserve"> primarily prescriptive. Alternative designs, often termed ‘equivalencies’</w:t>
      </w:r>
      <w:r>
        <w:rPr>
          <w:rFonts w:asciiTheme="minorHAnsi" w:hAnsiTheme="minorHAnsi" w:cstheme="minorHAnsi"/>
        </w:rPr>
        <w:t>,</w:t>
      </w:r>
      <w:r w:rsidRPr="00B526A8">
        <w:rPr>
          <w:rFonts w:asciiTheme="minorHAnsi" w:hAnsiTheme="minorHAnsi" w:cstheme="minorHAnsi"/>
        </w:rPr>
        <w:t xml:space="preserve"> are allowed</w:t>
      </w:r>
      <w:r>
        <w:rPr>
          <w:rFonts w:asciiTheme="minorHAnsi" w:hAnsiTheme="minorHAnsi" w:cstheme="minorHAnsi"/>
        </w:rPr>
        <w:t>.</w:t>
      </w:r>
      <w:r w:rsidRPr="00B526A8">
        <w:rPr>
          <w:rFonts w:asciiTheme="minorHAnsi" w:hAnsiTheme="minorHAnsi" w:cstheme="minorHAnsi"/>
        </w:rPr>
        <w:t xml:space="preserve"> </w:t>
      </w:r>
      <w:r>
        <w:rPr>
          <w:rFonts w:asciiTheme="minorHAnsi" w:hAnsiTheme="minorHAnsi" w:cstheme="minorHAnsi"/>
        </w:rPr>
        <w:t>However,</w:t>
      </w:r>
      <w:r w:rsidRPr="00B526A8">
        <w:rPr>
          <w:rFonts w:asciiTheme="minorHAnsi" w:hAnsiTheme="minorHAnsi" w:cstheme="minorHAnsi"/>
        </w:rPr>
        <w:t xml:space="preserve"> there is not a consistent and established process for their assessment.</w:t>
      </w:r>
    </w:p>
    <w:p w:rsidR="00FE37D3" w:rsidRPr="00ED3B52" w:rsidRDefault="00FE37D3" w:rsidP="00ED3B52">
      <w:pPr>
        <w:pStyle w:val="Heading2"/>
      </w:pPr>
      <w:bookmarkStart w:id="55" w:name="_Toc32229034"/>
      <w:bookmarkStart w:id="56" w:name="_Toc33098429"/>
      <w:bookmarkStart w:id="57" w:name="_Toc33098888"/>
      <w:r w:rsidRPr="00ED3B52">
        <w:t>United Kingdom</w:t>
      </w:r>
      <w:bookmarkEnd w:id="55"/>
      <w:bookmarkEnd w:id="56"/>
      <w:bookmarkEnd w:id="57"/>
    </w:p>
    <w:p w:rsidR="00FE37D3" w:rsidRDefault="00FE37D3" w:rsidP="00521D7B">
      <w:r>
        <w:rPr>
          <w:rFonts w:asciiTheme="minorHAnsi" w:hAnsiTheme="minorHAnsi" w:cstheme="minorHAnsi"/>
        </w:rPr>
        <w:t>As of January 2020, a</w:t>
      </w:r>
      <w:r w:rsidRPr="00B526A8">
        <w:rPr>
          <w:rFonts w:asciiTheme="minorHAnsi" w:hAnsiTheme="minorHAnsi" w:cstheme="minorHAnsi"/>
        </w:rPr>
        <w:t xml:space="preserve"> full independent review of the U</w:t>
      </w:r>
      <w:r w:rsidR="00085A32">
        <w:rPr>
          <w:rFonts w:asciiTheme="minorHAnsi" w:hAnsiTheme="minorHAnsi" w:cstheme="minorHAnsi"/>
        </w:rPr>
        <w:t xml:space="preserve">nited </w:t>
      </w:r>
      <w:r w:rsidRPr="00B526A8">
        <w:rPr>
          <w:rFonts w:asciiTheme="minorHAnsi" w:hAnsiTheme="minorHAnsi" w:cstheme="minorHAnsi"/>
        </w:rPr>
        <w:t>K</w:t>
      </w:r>
      <w:r w:rsidR="00085A32">
        <w:rPr>
          <w:rFonts w:asciiTheme="minorHAnsi" w:hAnsiTheme="minorHAnsi" w:cstheme="minorHAnsi"/>
        </w:rPr>
        <w:t>ingdom’s</w:t>
      </w:r>
      <w:r w:rsidRPr="00B526A8">
        <w:rPr>
          <w:rFonts w:asciiTheme="minorHAnsi" w:hAnsiTheme="minorHAnsi" w:cstheme="minorHAnsi"/>
        </w:rPr>
        <w:t xml:space="preserve"> building regulations</w:t>
      </w:r>
      <w:r>
        <w:rPr>
          <w:rFonts w:asciiTheme="minorHAnsi" w:hAnsiTheme="minorHAnsi" w:cstheme="minorHAnsi"/>
        </w:rPr>
        <w:t xml:space="preserve"> has</w:t>
      </w:r>
      <w:r w:rsidRPr="00B526A8">
        <w:rPr>
          <w:rFonts w:asciiTheme="minorHAnsi" w:hAnsiTheme="minorHAnsi" w:cstheme="minorHAnsi"/>
        </w:rPr>
        <w:t xml:space="preserve"> resulted in more than 50 recommendations</w:t>
      </w:r>
      <w:r>
        <w:rPr>
          <w:rFonts w:asciiTheme="minorHAnsi" w:hAnsiTheme="minorHAnsi" w:cstheme="minorHAnsi"/>
        </w:rPr>
        <w:t>, which are</w:t>
      </w:r>
      <w:r w:rsidRPr="00B526A8">
        <w:rPr>
          <w:rFonts w:asciiTheme="minorHAnsi" w:hAnsiTheme="minorHAnsi" w:cstheme="minorHAnsi"/>
        </w:rPr>
        <w:t xml:space="preserve"> at various stages of implement</w:t>
      </w:r>
      <w:r>
        <w:rPr>
          <w:rFonts w:asciiTheme="minorHAnsi" w:hAnsiTheme="minorHAnsi" w:cstheme="minorHAnsi"/>
        </w:rPr>
        <w:t xml:space="preserve">ation. These address systematic </w:t>
      </w:r>
      <w:r w:rsidRPr="00B526A8">
        <w:rPr>
          <w:rFonts w:asciiTheme="minorHAnsi" w:hAnsiTheme="minorHAnsi" w:cstheme="minorHAnsi"/>
        </w:rPr>
        <w:t>issues</w:t>
      </w:r>
      <w:r>
        <w:rPr>
          <w:rFonts w:asciiTheme="minorHAnsi" w:hAnsiTheme="minorHAnsi" w:cstheme="minorHAnsi"/>
        </w:rPr>
        <w:t>,</w:t>
      </w:r>
      <w:r w:rsidRPr="00B526A8">
        <w:rPr>
          <w:rFonts w:asciiTheme="minorHAnsi" w:hAnsiTheme="minorHAnsi" w:cstheme="minorHAnsi"/>
        </w:rPr>
        <w:t xml:space="preserve"> including a lack of clarity around responsibility and enforcement, but maintain a performance or ‘outcomes’ based framework. Reforms focus on high risk residential buildings (those greater than 10 storeys)</w:t>
      </w:r>
      <w:r w:rsidR="00085A32">
        <w:rPr>
          <w:rFonts w:asciiTheme="minorHAnsi" w:hAnsiTheme="minorHAnsi" w:cstheme="minorHAnsi"/>
        </w:rPr>
        <w:t>,</w:t>
      </w:r>
      <w:r w:rsidRPr="00B526A8">
        <w:rPr>
          <w:rFonts w:asciiTheme="minorHAnsi" w:hAnsiTheme="minorHAnsi" w:cstheme="minorHAnsi"/>
        </w:rPr>
        <w:t xml:space="preserve"> but the </w:t>
      </w:r>
      <w:r>
        <w:rPr>
          <w:rFonts w:asciiTheme="minorHAnsi" w:hAnsiTheme="minorHAnsi" w:cstheme="minorHAnsi"/>
        </w:rPr>
        <w:t>government’s responses suggest</w:t>
      </w:r>
      <w:r w:rsidRPr="00B526A8">
        <w:rPr>
          <w:rFonts w:asciiTheme="minorHAnsi" w:hAnsiTheme="minorHAnsi" w:cstheme="minorHAnsi"/>
        </w:rPr>
        <w:t xml:space="preserve"> their application </w:t>
      </w:r>
      <w:r>
        <w:rPr>
          <w:rFonts w:asciiTheme="minorHAnsi" w:hAnsiTheme="minorHAnsi" w:cstheme="minorHAnsi"/>
        </w:rPr>
        <w:t xml:space="preserve">will be </w:t>
      </w:r>
      <w:r w:rsidRPr="00B526A8">
        <w:rPr>
          <w:rFonts w:asciiTheme="minorHAnsi" w:hAnsiTheme="minorHAnsi" w:cstheme="minorHAnsi"/>
        </w:rPr>
        <w:t>extend</w:t>
      </w:r>
      <w:r>
        <w:rPr>
          <w:rFonts w:asciiTheme="minorHAnsi" w:hAnsiTheme="minorHAnsi" w:cstheme="minorHAnsi"/>
        </w:rPr>
        <w:t>ed</w:t>
      </w:r>
      <w:r w:rsidRPr="00B526A8">
        <w:rPr>
          <w:rFonts w:asciiTheme="minorHAnsi" w:hAnsiTheme="minorHAnsi" w:cstheme="minorHAnsi"/>
        </w:rPr>
        <w:t xml:space="preserve"> further. Reforms of relevance to this </w:t>
      </w:r>
      <w:r>
        <w:rPr>
          <w:rFonts w:asciiTheme="minorHAnsi" w:hAnsiTheme="minorHAnsi" w:cstheme="minorHAnsi"/>
        </w:rPr>
        <w:t>RIS</w:t>
      </w:r>
      <w:r w:rsidRPr="00B526A8">
        <w:rPr>
          <w:rFonts w:asciiTheme="minorHAnsi" w:hAnsiTheme="minorHAnsi" w:cstheme="minorHAnsi"/>
        </w:rPr>
        <w:t xml:space="preserve"> include recommendations to improve the limited requirements for documentation and design changes approval</w:t>
      </w:r>
      <w:r>
        <w:rPr>
          <w:rFonts w:asciiTheme="minorHAnsi" w:hAnsiTheme="minorHAnsi" w:cstheme="minorHAnsi"/>
        </w:rPr>
        <w:t>,</w:t>
      </w:r>
      <w:r w:rsidRPr="00B526A8">
        <w:rPr>
          <w:rFonts w:asciiTheme="minorHAnsi" w:hAnsiTheme="minorHAnsi" w:cstheme="minorHAnsi"/>
        </w:rPr>
        <w:t xml:space="preserve"> and project d</w:t>
      </w:r>
      <w:r>
        <w:rPr>
          <w:rFonts w:asciiTheme="minorHAnsi" w:hAnsiTheme="minorHAnsi" w:cstheme="minorHAnsi"/>
        </w:rPr>
        <w:t>ocumentation and accountability.</w:t>
      </w:r>
      <w:bookmarkStart w:id="58" w:name="_Toc505333490"/>
      <w:bookmarkStart w:id="59" w:name="_Toc506905974"/>
      <w:r>
        <w:t xml:space="preserve"> </w:t>
      </w:r>
    </w:p>
    <w:p w:rsidR="00FE37D3" w:rsidRDefault="00FE37D3">
      <w:r>
        <w:br w:type="page"/>
      </w:r>
    </w:p>
    <w:p w:rsidR="00FE37D3" w:rsidRPr="00D62E8A" w:rsidRDefault="00FE37D3" w:rsidP="00ED3B52">
      <w:pPr>
        <w:pStyle w:val="Heading1"/>
      </w:pPr>
      <w:bookmarkStart w:id="60" w:name="_Toc33098889"/>
      <w:r w:rsidRPr="00D62E8A">
        <w:lastRenderedPageBreak/>
        <w:t>Impact Analysis</w:t>
      </w:r>
      <w:bookmarkEnd w:id="60"/>
      <w:r w:rsidRPr="00D62E8A">
        <w:t xml:space="preserve"> </w:t>
      </w:r>
    </w:p>
    <w:p w:rsidR="00FE37D3" w:rsidRPr="00FB0E0C" w:rsidRDefault="00FE37D3" w:rsidP="00C65623">
      <w:pPr>
        <w:rPr>
          <w:rFonts w:asciiTheme="minorHAnsi" w:hAnsiTheme="minorHAnsi" w:cstheme="minorHAnsi"/>
        </w:rPr>
      </w:pPr>
      <w:r w:rsidRPr="00FB0E0C">
        <w:rPr>
          <w:rFonts w:asciiTheme="minorHAnsi" w:hAnsiTheme="minorHAnsi" w:cstheme="minorHAnsi"/>
        </w:rPr>
        <w:t>This section provides an assessment of the incremental costs</w:t>
      </w:r>
      <w:r>
        <w:rPr>
          <w:rFonts w:asciiTheme="minorHAnsi" w:hAnsiTheme="minorHAnsi" w:cstheme="minorHAnsi"/>
        </w:rPr>
        <w:t xml:space="preserve"> and benefits associated with Option 2 and Option 3 </w:t>
      </w:r>
      <w:r w:rsidRPr="00FB0E0C">
        <w:rPr>
          <w:rFonts w:asciiTheme="minorHAnsi" w:hAnsiTheme="minorHAnsi" w:cstheme="minorHAnsi"/>
        </w:rPr>
        <w:t xml:space="preserve">when compared with the status quo baseline. </w:t>
      </w:r>
    </w:p>
    <w:p w:rsidR="00FE37D3" w:rsidRPr="00ED3B52" w:rsidRDefault="00FE37D3" w:rsidP="00ED3B52">
      <w:pPr>
        <w:pStyle w:val="Heading2"/>
      </w:pPr>
      <w:bookmarkStart w:id="61" w:name="_Toc32229036"/>
      <w:bookmarkStart w:id="62" w:name="_Toc33098431"/>
      <w:bookmarkStart w:id="63" w:name="_Toc33098890"/>
      <w:r w:rsidRPr="00ED3B52">
        <w:t>Groups Impacted by the Options</w:t>
      </w:r>
      <w:bookmarkEnd w:id="61"/>
      <w:bookmarkEnd w:id="62"/>
      <w:bookmarkEnd w:id="63"/>
    </w:p>
    <w:p w:rsidR="00FE37D3" w:rsidRPr="00FB0E0C" w:rsidRDefault="00FE37D3" w:rsidP="00ED3B52">
      <w:r w:rsidRPr="00FB0E0C">
        <w:t>This analysis identifies the follow</w:t>
      </w:r>
      <w:r>
        <w:t>ing impacted stakeholder groups</w:t>
      </w:r>
      <w:r w:rsidRPr="00FB0E0C">
        <w:t xml:space="preserve">– </w:t>
      </w:r>
    </w:p>
    <w:p w:rsidR="00FE37D3" w:rsidRPr="00ED3B52" w:rsidRDefault="00FE37D3" w:rsidP="00ED3B52">
      <w:pPr>
        <w:pStyle w:val="ListBullet"/>
      </w:pPr>
      <w:r w:rsidRPr="00ED3B52">
        <w:t>Individuals, e.g. owners and occupiers of new buildings.</w:t>
      </w:r>
    </w:p>
    <w:p w:rsidR="00FE37D3" w:rsidRPr="00ED3B52" w:rsidRDefault="00FE37D3" w:rsidP="00ED3B52">
      <w:pPr>
        <w:pStyle w:val="ListBullet"/>
      </w:pPr>
      <w:r w:rsidRPr="00ED3B52">
        <w:t>Businesses, e.g. developers, builders, building practitioners, testing bodies and private certifiers</w:t>
      </w:r>
      <w:r>
        <w:t>, building designers and architects</w:t>
      </w:r>
      <w:r w:rsidRPr="00ED3B52">
        <w:t>.</w:t>
      </w:r>
    </w:p>
    <w:p w:rsidR="00FE37D3" w:rsidRPr="00ED3B52" w:rsidRDefault="00FE37D3" w:rsidP="00ED3B52">
      <w:pPr>
        <w:pStyle w:val="ListBullet"/>
      </w:pPr>
      <w:r w:rsidRPr="00ED3B52">
        <w:t>Government, e.g. state and territory building authorities and fire authorities</w:t>
      </w:r>
      <w:r>
        <w:t xml:space="preserve"> and local government</w:t>
      </w:r>
      <w:r w:rsidRPr="00ED3B52">
        <w:t xml:space="preserve">. </w:t>
      </w:r>
    </w:p>
    <w:p w:rsidR="00FE37D3" w:rsidRDefault="00FE37D3" w:rsidP="00D76F38">
      <w:pPr>
        <w:pStyle w:val="ListBullet"/>
      </w:pPr>
      <w:r w:rsidRPr="00ED3B52">
        <w:t xml:space="preserve">Education providers, e.g. universities and Registered Training Organisations (RTO’s). </w:t>
      </w:r>
    </w:p>
    <w:p w:rsidR="00FE37D3" w:rsidRPr="00FF3064" w:rsidRDefault="00FE37D3" w:rsidP="00C65623">
      <w:pPr>
        <w:pStyle w:val="Heading2"/>
        <w:rPr>
          <w:b w:val="0"/>
        </w:rPr>
      </w:pPr>
      <w:bookmarkStart w:id="64" w:name="_Toc32229037"/>
      <w:bookmarkStart w:id="65" w:name="_Toc33098432"/>
      <w:bookmarkStart w:id="66" w:name="_Toc33098891"/>
      <w:r w:rsidRPr="00FF3064">
        <w:t>Assumptions and Parameters</w:t>
      </w:r>
      <w:bookmarkEnd w:id="64"/>
      <w:bookmarkEnd w:id="65"/>
      <w:bookmarkEnd w:id="66"/>
    </w:p>
    <w:p w:rsidR="00FE37D3" w:rsidRPr="00FB0E0C" w:rsidRDefault="00FE37D3" w:rsidP="00C65623">
      <w:pPr>
        <w:rPr>
          <w:rFonts w:asciiTheme="minorHAnsi" w:hAnsiTheme="minorHAnsi" w:cstheme="minorHAnsi"/>
        </w:rPr>
      </w:pPr>
      <w:r w:rsidRPr="00FB0E0C">
        <w:rPr>
          <w:rFonts w:asciiTheme="minorHAnsi" w:hAnsiTheme="minorHAnsi" w:cstheme="minorHAnsi"/>
        </w:rPr>
        <w:t xml:space="preserve">The following key parameters and assumptions have been used in </w:t>
      </w:r>
      <w:r w:rsidR="0031567B">
        <w:rPr>
          <w:rFonts w:asciiTheme="minorHAnsi" w:hAnsiTheme="minorHAnsi" w:cstheme="minorHAnsi"/>
        </w:rPr>
        <w:t xml:space="preserve">the </w:t>
      </w:r>
      <w:r w:rsidRPr="00FB0E0C">
        <w:rPr>
          <w:rFonts w:asciiTheme="minorHAnsi" w:hAnsiTheme="minorHAnsi" w:cstheme="minorHAnsi"/>
        </w:rPr>
        <w:t xml:space="preserve">preparation of this impact analysis: </w:t>
      </w:r>
    </w:p>
    <w:p w:rsidR="00FE37D3" w:rsidRPr="00283C97" w:rsidRDefault="00FE37D3" w:rsidP="005E1DCB">
      <w:pPr>
        <w:pStyle w:val="ListBullet"/>
        <w:spacing w:before="60" w:after="60"/>
      </w:pPr>
      <w:r w:rsidRPr="00283C97">
        <w:t>The annual number of new houses constructed each year is 116,000.</w:t>
      </w:r>
      <w:r w:rsidRPr="00283C97">
        <w:rPr>
          <w:rStyle w:val="FootnoteReference"/>
          <w:rFonts w:asciiTheme="minorHAnsi" w:hAnsiTheme="minorHAnsi" w:cstheme="minorHAnsi"/>
        </w:rPr>
        <w:footnoteReference w:id="46"/>
      </w:r>
    </w:p>
    <w:p w:rsidR="00FE37D3" w:rsidRPr="00FB0E0C" w:rsidRDefault="00FE37D3" w:rsidP="0009712C">
      <w:pPr>
        <w:pStyle w:val="ListBullet"/>
        <w:numPr>
          <w:ilvl w:val="0"/>
          <w:numId w:val="32"/>
        </w:numPr>
      </w:pPr>
      <w:r w:rsidRPr="00FB0E0C">
        <w:t>ABS (2019) Building Activit</w:t>
      </w:r>
      <w:r>
        <w:t xml:space="preserve">y, Catalogue 8752.0. Table 37. </w:t>
      </w:r>
    </w:p>
    <w:p w:rsidR="00FE37D3" w:rsidRPr="00283C97" w:rsidRDefault="00FE37D3" w:rsidP="004C165A">
      <w:pPr>
        <w:pStyle w:val="ListBullet"/>
        <w:spacing w:before="60" w:after="60"/>
      </w:pPr>
      <w:r w:rsidRPr="00FB0E0C">
        <w:t xml:space="preserve">The annual number of commercial building approvals is not collected nationally. The Western Australian </w:t>
      </w:r>
      <w:r>
        <w:t xml:space="preserve">Department of Mines, Industry </w:t>
      </w:r>
      <w:r w:rsidR="0031567B">
        <w:t>R</w:t>
      </w:r>
      <w:r>
        <w:t>egulation</w:t>
      </w:r>
      <w:r w:rsidR="00F70F7F">
        <w:t xml:space="preserve"> and</w:t>
      </w:r>
      <w:r>
        <w:t xml:space="preserve"> Safety has</w:t>
      </w:r>
      <w:r w:rsidRPr="00FB0E0C">
        <w:t xml:space="preserve"> provided the ABCB </w:t>
      </w:r>
      <w:r>
        <w:t xml:space="preserve">with </w:t>
      </w:r>
      <w:r w:rsidRPr="00FB0E0C">
        <w:t xml:space="preserve">data on commercial building activity occurring within </w:t>
      </w:r>
      <w:r>
        <w:t>its</w:t>
      </w:r>
      <w:r w:rsidRPr="00FB0E0C">
        <w:t xml:space="preserve"> jurisdiction. It is known through ABS comparison that Western Australia accounts for approximately 17</w:t>
      </w:r>
      <w:r>
        <w:t xml:space="preserve"> per cent</w:t>
      </w:r>
      <w:r w:rsidRPr="00FB0E0C">
        <w:t xml:space="preserve"> of all commercial building activity occurring </w:t>
      </w:r>
      <w:r>
        <w:t>annually</w:t>
      </w:r>
      <w:r w:rsidR="00F70F7F">
        <w:t>,</w:t>
      </w:r>
      <w:r>
        <w:t xml:space="preserve"> inferring t</w:t>
      </w:r>
      <w:r w:rsidRPr="00283C97">
        <w:t xml:space="preserve">he annual number of new commercial buildings constructed each year is 24,000. </w:t>
      </w:r>
    </w:p>
    <w:p w:rsidR="00FE37D3" w:rsidRPr="00FB0E0C" w:rsidRDefault="00FE37D3" w:rsidP="0009712C">
      <w:pPr>
        <w:pStyle w:val="ListBullet"/>
        <w:numPr>
          <w:ilvl w:val="0"/>
          <w:numId w:val="32"/>
        </w:numPr>
      </w:pPr>
      <w:r w:rsidRPr="00FB0E0C">
        <w:t xml:space="preserve">Unpublished </w:t>
      </w:r>
      <w:r>
        <w:t>W</w:t>
      </w:r>
      <w:r w:rsidR="00F70F7F">
        <w:t xml:space="preserve">estern </w:t>
      </w:r>
      <w:r>
        <w:t>A</w:t>
      </w:r>
      <w:r w:rsidR="00F70F7F">
        <w:t>ustralia</w:t>
      </w:r>
      <w:r>
        <w:t xml:space="preserve"> </w:t>
      </w:r>
      <w:r w:rsidRPr="00FB0E0C">
        <w:t>data.</w:t>
      </w:r>
    </w:p>
    <w:p w:rsidR="00FE37D3" w:rsidRPr="00FB0E0C" w:rsidRDefault="00FE37D3" w:rsidP="0009712C">
      <w:pPr>
        <w:pStyle w:val="ListBullet"/>
        <w:numPr>
          <w:ilvl w:val="0"/>
          <w:numId w:val="32"/>
        </w:numPr>
      </w:pPr>
      <w:r w:rsidRPr="00FB0E0C">
        <w:lastRenderedPageBreak/>
        <w:t>Extrapolated using ABS (2019) Building Activity, Catalogue 8752.0. Table 71.</w:t>
      </w:r>
    </w:p>
    <w:p w:rsidR="00FE37D3" w:rsidRPr="00283C97" w:rsidRDefault="00FE37D3" w:rsidP="005E1DCB">
      <w:pPr>
        <w:pStyle w:val="ListBullet"/>
        <w:spacing w:before="60" w:after="60"/>
      </w:pPr>
      <w:r w:rsidRPr="00283C97">
        <w:t xml:space="preserve">The proportion of total completions reported using at least one Performance Solution is </w:t>
      </w:r>
      <w:r>
        <w:t>15</w:t>
      </w:r>
      <w:r w:rsidRPr="00283C97">
        <w:t xml:space="preserve"> per cent of all new commercial buildings (3,600 commercial buildings) and approximately 3 per cent of all new residential buildings (3,480 new houses).</w:t>
      </w:r>
      <w:r w:rsidRPr="00283C97">
        <w:rPr>
          <w:rStyle w:val="FootnoteReference"/>
        </w:rPr>
        <w:footnoteReference w:id="47"/>
      </w:r>
      <w:r w:rsidRPr="00283C97">
        <w:t xml:space="preserve"> </w:t>
      </w:r>
    </w:p>
    <w:p w:rsidR="00FE37D3" w:rsidRPr="00FB0E0C" w:rsidRDefault="00FE37D3" w:rsidP="0009712C">
      <w:pPr>
        <w:pStyle w:val="ListBullet"/>
        <w:numPr>
          <w:ilvl w:val="0"/>
          <w:numId w:val="33"/>
        </w:numPr>
      </w:pPr>
      <w:r w:rsidRPr="00FB0E0C">
        <w:t xml:space="preserve">Unpublished data from the Western Australian </w:t>
      </w:r>
      <w:r>
        <w:t xml:space="preserve">Department of Mines, Industry </w:t>
      </w:r>
      <w:r w:rsidR="00F70F7F">
        <w:t>R</w:t>
      </w:r>
      <w:r>
        <w:t>egulation</w:t>
      </w:r>
      <w:r w:rsidR="00F70F7F">
        <w:t xml:space="preserve"> and</w:t>
      </w:r>
      <w:r>
        <w:t xml:space="preserve"> Safety</w:t>
      </w:r>
      <w:r w:rsidRPr="00FB0E0C">
        <w:t xml:space="preserve">. </w:t>
      </w:r>
    </w:p>
    <w:p w:rsidR="00FE37D3" w:rsidRDefault="00FE37D3" w:rsidP="005E1DCB">
      <w:pPr>
        <w:pStyle w:val="ListBullet"/>
        <w:spacing w:before="60" w:after="60"/>
      </w:pPr>
      <w:r w:rsidRPr="00FB0E0C">
        <w:t xml:space="preserve">The estimated proportion of Performance Solutions not following a component of the process currently is shown in </w:t>
      </w:r>
      <w:r w:rsidRPr="00EE29F4">
        <w:t xml:space="preserve">Table </w:t>
      </w:r>
      <w:r>
        <w:t>6</w:t>
      </w:r>
      <w:r w:rsidRPr="00FB0E0C">
        <w:t>.</w:t>
      </w:r>
    </w:p>
    <w:p w:rsidR="00FE37D3" w:rsidRPr="00C3091E" w:rsidRDefault="00FE37D3" w:rsidP="00CB0F62">
      <w:pPr>
        <w:pStyle w:val="Caption"/>
      </w:pPr>
      <w:r>
        <w:t xml:space="preserve">Table </w:t>
      </w:r>
      <w:r>
        <w:rPr>
          <w:noProof/>
        </w:rPr>
        <w:fldChar w:fldCharType="begin"/>
      </w:r>
      <w:r>
        <w:rPr>
          <w:noProof/>
        </w:rPr>
        <w:instrText xml:space="preserve"> SEQ Table \* ARABIC </w:instrText>
      </w:r>
      <w:r>
        <w:rPr>
          <w:noProof/>
        </w:rPr>
        <w:fldChar w:fldCharType="separate"/>
      </w:r>
      <w:r w:rsidR="002D1698">
        <w:rPr>
          <w:noProof/>
        </w:rPr>
        <w:t>3</w:t>
      </w:r>
      <w:r>
        <w:rPr>
          <w:noProof/>
        </w:rPr>
        <w:fldChar w:fldCharType="end"/>
      </w:r>
      <w:r w:rsidRPr="00C3091E">
        <w:t xml:space="preserve"> Percentage not undertaking a component of the process</w:t>
      </w:r>
    </w:p>
    <w:tbl>
      <w:tblPr>
        <w:tblStyle w:val="TableGrid"/>
        <w:tblW w:w="0" w:type="auto"/>
        <w:tblLook w:val="04A0" w:firstRow="1" w:lastRow="0" w:firstColumn="1" w:lastColumn="0" w:noHBand="0" w:noVBand="1"/>
        <w:tblCaption w:val="Table 6 Percentage not undertaking a component of the process"/>
      </w:tblPr>
      <w:tblGrid>
        <w:gridCol w:w="5812"/>
        <w:gridCol w:w="1701"/>
        <w:gridCol w:w="1557"/>
      </w:tblGrid>
      <w:tr w:rsidR="00FE37D3" w:rsidRPr="00C65623" w:rsidTr="003756FF">
        <w:trPr>
          <w:tblHeader/>
        </w:trPr>
        <w:tc>
          <w:tcPr>
            <w:tcW w:w="5812" w:type="dxa"/>
            <w:tcBorders>
              <w:top w:val="nil"/>
              <w:left w:val="nil"/>
              <w:bottom w:val="single" w:sz="4" w:space="0" w:color="184897"/>
              <w:right w:val="nil"/>
            </w:tcBorders>
            <w:shd w:val="clear" w:color="auto" w:fill="184897"/>
          </w:tcPr>
          <w:p w:rsidR="00FE37D3" w:rsidRPr="00C3091E" w:rsidRDefault="00FE37D3" w:rsidP="005E1DCB">
            <w:pPr>
              <w:pStyle w:val="TableHeading"/>
            </w:pPr>
            <w:r w:rsidRPr="00C3091E">
              <w:t xml:space="preserve">Component </w:t>
            </w:r>
          </w:p>
        </w:tc>
        <w:tc>
          <w:tcPr>
            <w:tcW w:w="1701" w:type="dxa"/>
            <w:tcBorders>
              <w:top w:val="nil"/>
              <w:left w:val="nil"/>
              <w:bottom w:val="single" w:sz="4" w:space="0" w:color="184897"/>
              <w:right w:val="nil"/>
            </w:tcBorders>
            <w:shd w:val="clear" w:color="auto" w:fill="184897"/>
          </w:tcPr>
          <w:p w:rsidR="00FE37D3" w:rsidRPr="00C3091E" w:rsidRDefault="00FE37D3" w:rsidP="005E1DCB">
            <w:pPr>
              <w:pStyle w:val="TableHeading"/>
              <w:jc w:val="center"/>
            </w:pPr>
            <w:r w:rsidRPr="00C3091E">
              <w:t>Percentage residential</w:t>
            </w:r>
          </w:p>
        </w:tc>
        <w:tc>
          <w:tcPr>
            <w:tcW w:w="1557" w:type="dxa"/>
            <w:tcBorders>
              <w:top w:val="nil"/>
              <w:left w:val="nil"/>
              <w:bottom w:val="single" w:sz="4" w:space="0" w:color="184897"/>
              <w:right w:val="nil"/>
            </w:tcBorders>
            <w:shd w:val="clear" w:color="auto" w:fill="184897"/>
          </w:tcPr>
          <w:p w:rsidR="00FE37D3" w:rsidRPr="00C3091E" w:rsidRDefault="00FE37D3" w:rsidP="005E1DCB">
            <w:pPr>
              <w:pStyle w:val="TableHeading"/>
              <w:jc w:val="center"/>
            </w:pPr>
            <w:r w:rsidRPr="00C3091E">
              <w:t>Percentage commercial</w:t>
            </w:r>
          </w:p>
        </w:tc>
      </w:tr>
      <w:tr w:rsidR="00FE37D3" w:rsidRPr="00C65623" w:rsidTr="005E1DCB">
        <w:tc>
          <w:tcPr>
            <w:tcW w:w="5812" w:type="dxa"/>
            <w:tcBorders>
              <w:top w:val="single" w:sz="4" w:space="0" w:color="184897"/>
              <w:left w:val="nil"/>
              <w:bottom w:val="single" w:sz="4" w:space="0" w:color="184897"/>
              <w:right w:val="nil"/>
            </w:tcBorders>
            <w:shd w:val="clear" w:color="auto" w:fill="FFFFFF" w:themeFill="background1"/>
          </w:tcPr>
          <w:p w:rsidR="00FE37D3" w:rsidRPr="00C65623" w:rsidRDefault="00FE37D3" w:rsidP="00B30A81">
            <w:pPr>
              <w:pStyle w:val="TableBody"/>
            </w:pPr>
            <w:r>
              <w:t>Not undertaking a Performance-</w:t>
            </w:r>
            <w:r w:rsidR="00B30A81">
              <w:t>B</w:t>
            </w:r>
            <w:r>
              <w:t>ased</w:t>
            </w:r>
            <w:r w:rsidRPr="00C65623">
              <w:t xml:space="preserve"> Design Brief</w:t>
            </w:r>
          </w:p>
        </w:tc>
        <w:tc>
          <w:tcPr>
            <w:tcW w:w="1701"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jc w:val="center"/>
            </w:pPr>
            <w:r w:rsidRPr="00C65623">
              <w:t>21%</w:t>
            </w:r>
          </w:p>
        </w:tc>
        <w:tc>
          <w:tcPr>
            <w:tcW w:w="1557"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jc w:val="center"/>
            </w:pPr>
            <w:r w:rsidRPr="00C65623">
              <w:t>9%</w:t>
            </w:r>
          </w:p>
        </w:tc>
      </w:tr>
      <w:tr w:rsidR="00FE37D3" w:rsidRPr="00C65623" w:rsidTr="005E1DCB">
        <w:tc>
          <w:tcPr>
            <w:tcW w:w="5812"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pPr>
            <w:r>
              <w:t>N</w:t>
            </w:r>
            <w:r w:rsidRPr="00C65623">
              <w:t>ot undertaking stakeholder consultation</w:t>
            </w:r>
          </w:p>
        </w:tc>
        <w:tc>
          <w:tcPr>
            <w:tcW w:w="1701"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jc w:val="center"/>
            </w:pPr>
            <w:r w:rsidRPr="00C65623">
              <w:t>24%</w:t>
            </w:r>
          </w:p>
        </w:tc>
        <w:tc>
          <w:tcPr>
            <w:tcW w:w="1557"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jc w:val="center"/>
            </w:pPr>
            <w:r w:rsidRPr="00C65623">
              <w:t>19%</w:t>
            </w:r>
          </w:p>
        </w:tc>
      </w:tr>
      <w:tr w:rsidR="00FE37D3" w:rsidRPr="00C65623" w:rsidTr="005E1DCB">
        <w:tc>
          <w:tcPr>
            <w:tcW w:w="5812"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pPr>
            <w:r>
              <w:t>N</w:t>
            </w:r>
            <w:r w:rsidRPr="00C65623">
              <w:t>ot undertaking testing and modelling</w:t>
            </w:r>
          </w:p>
        </w:tc>
        <w:tc>
          <w:tcPr>
            <w:tcW w:w="1701"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jc w:val="center"/>
            </w:pPr>
            <w:r w:rsidRPr="00C65623">
              <w:t>30%</w:t>
            </w:r>
          </w:p>
        </w:tc>
        <w:tc>
          <w:tcPr>
            <w:tcW w:w="1557"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jc w:val="center"/>
            </w:pPr>
            <w:r w:rsidRPr="00C65623">
              <w:t>14%</w:t>
            </w:r>
          </w:p>
        </w:tc>
      </w:tr>
      <w:tr w:rsidR="00FE37D3" w:rsidRPr="00C65623" w:rsidTr="005E1DCB">
        <w:tc>
          <w:tcPr>
            <w:tcW w:w="5812" w:type="dxa"/>
            <w:tcBorders>
              <w:top w:val="single" w:sz="4" w:space="0" w:color="184897"/>
              <w:left w:val="nil"/>
              <w:bottom w:val="single" w:sz="4" w:space="0" w:color="184897"/>
              <w:right w:val="nil"/>
            </w:tcBorders>
          </w:tcPr>
          <w:p w:rsidR="00FE37D3" w:rsidRPr="00C65623" w:rsidRDefault="00FE37D3" w:rsidP="005E1DCB">
            <w:pPr>
              <w:pStyle w:val="TableBody"/>
            </w:pPr>
            <w:r>
              <w:t>N</w:t>
            </w:r>
            <w:r w:rsidRPr="00C65623">
              <w:t xml:space="preserve">ot providing documentation </w:t>
            </w:r>
          </w:p>
        </w:tc>
        <w:tc>
          <w:tcPr>
            <w:tcW w:w="1701" w:type="dxa"/>
            <w:tcBorders>
              <w:top w:val="single" w:sz="4" w:space="0" w:color="184897"/>
              <w:left w:val="nil"/>
              <w:bottom w:val="single" w:sz="4" w:space="0" w:color="184897"/>
              <w:right w:val="nil"/>
            </w:tcBorders>
          </w:tcPr>
          <w:p w:rsidR="00FE37D3" w:rsidRPr="00C65623" w:rsidRDefault="00FE37D3" w:rsidP="005E1DCB">
            <w:pPr>
              <w:pStyle w:val="TableBody"/>
              <w:jc w:val="center"/>
            </w:pPr>
            <w:r w:rsidRPr="00C65623">
              <w:t>12%</w:t>
            </w:r>
          </w:p>
        </w:tc>
        <w:tc>
          <w:tcPr>
            <w:tcW w:w="1557" w:type="dxa"/>
            <w:tcBorders>
              <w:top w:val="single" w:sz="4" w:space="0" w:color="184897"/>
              <w:left w:val="nil"/>
              <w:bottom w:val="single" w:sz="4" w:space="0" w:color="184897"/>
              <w:right w:val="nil"/>
            </w:tcBorders>
          </w:tcPr>
          <w:p w:rsidR="00FE37D3" w:rsidRPr="00C65623" w:rsidRDefault="00FE37D3" w:rsidP="005E1DCB">
            <w:pPr>
              <w:pStyle w:val="TableBody"/>
              <w:jc w:val="center"/>
            </w:pPr>
            <w:r w:rsidRPr="00C65623">
              <w:t>9%</w:t>
            </w:r>
          </w:p>
        </w:tc>
      </w:tr>
    </w:tbl>
    <w:p w:rsidR="00FE37D3" w:rsidRPr="00F93C0A" w:rsidRDefault="00FE37D3" w:rsidP="00EE29F4">
      <w:pPr>
        <w:spacing w:before="120"/>
        <w:rPr>
          <w:rFonts w:asciiTheme="minorHAnsi" w:hAnsiTheme="minorHAnsi" w:cstheme="minorHAnsi"/>
          <w:sz w:val="18"/>
          <w:szCs w:val="18"/>
        </w:rPr>
      </w:pPr>
      <w:r w:rsidRPr="00F93C0A">
        <w:rPr>
          <w:rFonts w:asciiTheme="minorHAnsi" w:hAnsiTheme="minorHAnsi" w:cstheme="minorHAnsi"/>
          <w:sz w:val="18"/>
          <w:szCs w:val="18"/>
        </w:rPr>
        <w:t xml:space="preserve">Source: ABCB Survey, 2019. </w:t>
      </w:r>
    </w:p>
    <w:p w:rsidR="00FE37D3" w:rsidRDefault="00FE37D3" w:rsidP="005E1DCB">
      <w:pPr>
        <w:pStyle w:val="ListBullet"/>
      </w:pPr>
      <w:r w:rsidRPr="00FB0E0C">
        <w:t xml:space="preserve">The estimated proportion of Performance Solutions not following a component of the process </w:t>
      </w:r>
      <w:r>
        <w:t xml:space="preserve">adequately </w:t>
      </w:r>
      <w:r w:rsidRPr="00FB0E0C">
        <w:t xml:space="preserve">is shown in </w:t>
      </w:r>
      <w:r w:rsidRPr="00EE29F4">
        <w:t xml:space="preserve">Table </w:t>
      </w:r>
      <w:r>
        <w:t>7</w:t>
      </w:r>
      <w:r w:rsidRPr="00FB0E0C">
        <w:t>.</w:t>
      </w:r>
    </w:p>
    <w:p w:rsidR="00FE37D3" w:rsidRPr="00FB0E0C" w:rsidRDefault="00FE37D3" w:rsidP="00CB0F62">
      <w:pPr>
        <w:pStyle w:val="Caption"/>
      </w:pPr>
      <w:r>
        <w:t xml:space="preserve">Table </w:t>
      </w:r>
      <w:r>
        <w:rPr>
          <w:noProof/>
        </w:rPr>
        <w:fldChar w:fldCharType="begin"/>
      </w:r>
      <w:r>
        <w:rPr>
          <w:noProof/>
        </w:rPr>
        <w:instrText xml:space="preserve"> SEQ Table \* ARABIC </w:instrText>
      </w:r>
      <w:r>
        <w:rPr>
          <w:noProof/>
        </w:rPr>
        <w:fldChar w:fldCharType="separate"/>
      </w:r>
      <w:r w:rsidR="002D1698">
        <w:rPr>
          <w:noProof/>
        </w:rPr>
        <w:t>4</w:t>
      </w:r>
      <w:r>
        <w:rPr>
          <w:noProof/>
        </w:rPr>
        <w:fldChar w:fldCharType="end"/>
      </w:r>
      <w:r w:rsidRPr="00FB0E0C">
        <w:t xml:space="preserve"> Percentage not adequately undertaking a component of the process</w:t>
      </w:r>
    </w:p>
    <w:tbl>
      <w:tblPr>
        <w:tblStyle w:val="TableGrid"/>
        <w:tblW w:w="0" w:type="auto"/>
        <w:tblLook w:val="04A0" w:firstRow="1" w:lastRow="0" w:firstColumn="1" w:lastColumn="0" w:noHBand="0" w:noVBand="1"/>
        <w:tblCaption w:val="Table 7 Percentage not adequately undertaking a component of the process"/>
      </w:tblPr>
      <w:tblGrid>
        <w:gridCol w:w="5954"/>
        <w:gridCol w:w="1559"/>
        <w:gridCol w:w="1557"/>
      </w:tblGrid>
      <w:tr w:rsidR="00FE37D3" w:rsidRPr="00C65623" w:rsidTr="003756FF">
        <w:trPr>
          <w:tblHeader/>
        </w:trPr>
        <w:tc>
          <w:tcPr>
            <w:tcW w:w="5954" w:type="dxa"/>
            <w:tcBorders>
              <w:top w:val="nil"/>
              <w:left w:val="nil"/>
              <w:bottom w:val="single" w:sz="4" w:space="0" w:color="184897"/>
              <w:right w:val="nil"/>
            </w:tcBorders>
            <w:shd w:val="clear" w:color="auto" w:fill="184897"/>
          </w:tcPr>
          <w:p w:rsidR="00FE37D3" w:rsidRPr="00FB0E0C" w:rsidRDefault="00FE37D3" w:rsidP="005E1DCB">
            <w:pPr>
              <w:pStyle w:val="TableHeading"/>
            </w:pPr>
            <w:r w:rsidRPr="00FB0E0C">
              <w:t xml:space="preserve">Component </w:t>
            </w:r>
          </w:p>
        </w:tc>
        <w:tc>
          <w:tcPr>
            <w:tcW w:w="1559" w:type="dxa"/>
            <w:tcBorders>
              <w:top w:val="nil"/>
              <w:left w:val="nil"/>
              <w:bottom w:val="single" w:sz="4" w:space="0" w:color="184897"/>
              <w:right w:val="nil"/>
            </w:tcBorders>
            <w:shd w:val="clear" w:color="auto" w:fill="184897"/>
          </w:tcPr>
          <w:p w:rsidR="00FE37D3" w:rsidRPr="00FB0E0C" w:rsidRDefault="00FE37D3" w:rsidP="005E1DCB">
            <w:pPr>
              <w:pStyle w:val="TableHeading"/>
              <w:jc w:val="center"/>
            </w:pPr>
            <w:r w:rsidRPr="00FB0E0C">
              <w:t>Percentage residential</w:t>
            </w:r>
          </w:p>
        </w:tc>
        <w:tc>
          <w:tcPr>
            <w:tcW w:w="1557" w:type="dxa"/>
            <w:tcBorders>
              <w:top w:val="nil"/>
              <w:left w:val="nil"/>
              <w:bottom w:val="single" w:sz="4" w:space="0" w:color="184897"/>
              <w:right w:val="nil"/>
            </w:tcBorders>
            <w:shd w:val="clear" w:color="auto" w:fill="184897"/>
          </w:tcPr>
          <w:p w:rsidR="00FE37D3" w:rsidRPr="00FB0E0C" w:rsidRDefault="00FE37D3" w:rsidP="005E1DCB">
            <w:pPr>
              <w:pStyle w:val="TableHeading"/>
              <w:jc w:val="center"/>
            </w:pPr>
            <w:r w:rsidRPr="00FB0E0C">
              <w:t>Percentage commercial</w:t>
            </w:r>
          </w:p>
        </w:tc>
      </w:tr>
      <w:tr w:rsidR="00FE37D3" w:rsidRPr="00C65623" w:rsidTr="005E1DCB">
        <w:tc>
          <w:tcPr>
            <w:tcW w:w="5954" w:type="dxa"/>
            <w:tcBorders>
              <w:top w:val="single" w:sz="4" w:space="0" w:color="184897"/>
              <w:left w:val="nil"/>
              <w:bottom w:val="single" w:sz="4" w:space="0" w:color="184897"/>
              <w:right w:val="nil"/>
            </w:tcBorders>
            <w:shd w:val="clear" w:color="auto" w:fill="FFFFFF" w:themeFill="background1"/>
          </w:tcPr>
          <w:p w:rsidR="00FE37D3" w:rsidRPr="00C65623" w:rsidRDefault="00FE37D3" w:rsidP="00B30A81">
            <w:pPr>
              <w:pStyle w:val="TableBody"/>
            </w:pPr>
            <w:r>
              <w:t>N</w:t>
            </w:r>
            <w:r w:rsidRPr="00C65623">
              <w:t>ot adeq</w:t>
            </w:r>
            <w:r>
              <w:t>uately undertaking Performance-</w:t>
            </w:r>
            <w:r w:rsidR="00B30A81">
              <w:t>B</w:t>
            </w:r>
            <w:r w:rsidRPr="00C65623">
              <w:t xml:space="preserve">ased Design Brief </w:t>
            </w:r>
          </w:p>
        </w:tc>
        <w:tc>
          <w:tcPr>
            <w:tcW w:w="1559"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jc w:val="center"/>
            </w:pPr>
            <w:r w:rsidRPr="00C65623">
              <w:t>37%</w:t>
            </w:r>
          </w:p>
        </w:tc>
        <w:tc>
          <w:tcPr>
            <w:tcW w:w="1557"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jc w:val="center"/>
            </w:pPr>
            <w:r w:rsidRPr="00C65623">
              <w:t>41%</w:t>
            </w:r>
          </w:p>
        </w:tc>
      </w:tr>
      <w:tr w:rsidR="00FE37D3" w:rsidRPr="00C65623" w:rsidTr="005E1DCB">
        <w:tc>
          <w:tcPr>
            <w:tcW w:w="5954"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pPr>
            <w:r>
              <w:t>N</w:t>
            </w:r>
            <w:r w:rsidRPr="00C65623">
              <w:t>ot adequately undertaking stakeholder consultation</w:t>
            </w:r>
          </w:p>
        </w:tc>
        <w:tc>
          <w:tcPr>
            <w:tcW w:w="1559"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jc w:val="center"/>
            </w:pPr>
            <w:r w:rsidRPr="00C65623">
              <w:t>51%</w:t>
            </w:r>
          </w:p>
        </w:tc>
        <w:tc>
          <w:tcPr>
            <w:tcW w:w="1557"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jc w:val="center"/>
            </w:pPr>
            <w:r w:rsidRPr="00C65623">
              <w:t>40%</w:t>
            </w:r>
          </w:p>
        </w:tc>
      </w:tr>
      <w:tr w:rsidR="00FE37D3" w:rsidRPr="00C65623" w:rsidTr="005E1DCB">
        <w:tc>
          <w:tcPr>
            <w:tcW w:w="5954"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pPr>
            <w:r>
              <w:t>N</w:t>
            </w:r>
            <w:r w:rsidRPr="00C65623">
              <w:t>ot adequately undertaking testing and modelling</w:t>
            </w:r>
          </w:p>
        </w:tc>
        <w:tc>
          <w:tcPr>
            <w:tcW w:w="1559"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jc w:val="center"/>
            </w:pPr>
            <w:r w:rsidRPr="00C65623">
              <w:t>37%</w:t>
            </w:r>
          </w:p>
        </w:tc>
        <w:tc>
          <w:tcPr>
            <w:tcW w:w="1557"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jc w:val="center"/>
            </w:pPr>
            <w:r w:rsidRPr="00C65623">
              <w:t>43%</w:t>
            </w:r>
          </w:p>
        </w:tc>
      </w:tr>
      <w:tr w:rsidR="00FE37D3" w:rsidRPr="00C65623" w:rsidTr="005E1DCB">
        <w:tc>
          <w:tcPr>
            <w:tcW w:w="5954"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pPr>
            <w:r>
              <w:t>N</w:t>
            </w:r>
            <w:r w:rsidRPr="00C65623">
              <w:t xml:space="preserve">ot adequately providing documentation </w:t>
            </w:r>
          </w:p>
        </w:tc>
        <w:tc>
          <w:tcPr>
            <w:tcW w:w="1559"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jc w:val="center"/>
            </w:pPr>
            <w:r w:rsidRPr="00C65623">
              <w:t>41%</w:t>
            </w:r>
          </w:p>
        </w:tc>
        <w:tc>
          <w:tcPr>
            <w:tcW w:w="1557" w:type="dxa"/>
            <w:tcBorders>
              <w:top w:val="single" w:sz="4" w:space="0" w:color="184897"/>
              <w:left w:val="nil"/>
              <w:bottom w:val="single" w:sz="4" w:space="0" w:color="184897"/>
              <w:right w:val="nil"/>
            </w:tcBorders>
            <w:shd w:val="clear" w:color="auto" w:fill="FFFFFF" w:themeFill="background1"/>
          </w:tcPr>
          <w:p w:rsidR="00FE37D3" w:rsidRPr="00C65623" w:rsidRDefault="00FE37D3" w:rsidP="005E1DCB">
            <w:pPr>
              <w:pStyle w:val="TableBody"/>
              <w:jc w:val="center"/>
            </w:pPr>
            <w:r w:rsidRPr="00C65623">
              <w:t>43%</w:t>
            </w:r>
          </w:p>
        </w:tc>
      </w:tr>
    </w:tbl>
    <w:p w:rsidR="00FE37D3" w:rsidRPr="00885368" w:rsidRDefault="00FE37D3" w:rsidP="00D47EBD">
      <w:pPr>
        <w:spacing w:before="120" w:after="0"/>
        <w:rPr>
          <w:sz w:val="18"/>
        </w:rPr>
      </w:pPr>
      <w:r w:rsidRPr="00885368">
        <w:rPr>
          <w:rFonts w:asciiTheme="minorHAnsi" w:hAnsiTheme="minorHAnsi" w:cstheme="minorHAnsi"/>
          <w:sz w:val="18"/>
        </w:rPr>
        <w:t>Source: ABCB Survey Results, 2019</w:t>
      </w:r>
      <w:r w:rsidRPr="00885368">
        <w:rPr>
          <w:sz w:val="18"/>
        </w:rPr>
        <w:t>.</w:t>
      </w:r>
    </w:p>
    <w:p w:rsidR="00FE37D3" w:rsidRDefault="00FE37D3" w:rsidP="005E1DCB">
      <w:pPr>
        <w:pStyle w:val="ListBullet"/>
      </w:pPr>
      <w:r w:rsidRPr="00FB0E0C">
        <w:lastRenderedPageBreak/>
        <w:t xml:space="preserve">An important variable is the complexity of a solution. The need for an adequate process is generally one that reflects the commensurate risk or complexity of a solution. Where a </w:t>
      </w:r>
      <w:r>
        <w:t>VM</w:t>
      </w:r>
      <w:r w:rsidRPr="00FB0E0C">
        <w:t xml:space="preserve"> exists and is widely used, such as JV3</w:t>
      </w:r>
      <w:r>
        <w:t xml:space="preserve"> in NCC Volume One</w:t>
      </w:r>
      <w:r w:rsidRPr="00FB0E0C">
        <w:t xml:space="preserve">, the parameters of the analysis are largely set through the method itself. However, some Performance Requirements remain unquantified, others may allow significant flexibility and be subject to guidance or common practice </w:t>
      </w:r>
      <w:r>
        <w:t>(</w:t>
      </w:r>
      <w:r w:rsidRPr="00FB0E0C">
        <w:t>e.g. engineering judgement or comparison to the D</w:t>
      </w:r>
      <w:r>
        <w:t>T</w:t>
      </w:r>
      <w:r w:rsidRPr="00FB0E0C">
        <w:t>S</w:t>
      </w:r>
      <w:r>
        <w:t>)</w:t>
      </w:r>
      <w:r w:rsidRPr="00FB0E0C">
        <w:t xml:space="preserve">. </w:t>
      </w:r>
      <w:r w:rsidRPr="00283C97">
        <w:t>For these reasons, the cost of developing a solution can vary significantly and cannot be known with certainty. An estimate has been developed based on the broad proportions outlined in Table 8.</w:t>
      </w:r>
    </w:p>
    <w:p w:rsidR="00FE37D3" w:rsidRPr="00D62E8A" w:rsidRDefault="00FE37D3" w:rsidP="005E1DCB">
      <w:pPr>
        <w:pStyle w:val="Caption"/>
      </w:pPr>
      <w:r>
        <w:t xml:space="preserve">Table </w:t>
      </w:r>
      <w:r>
        <w:rPr>
          <w:noProof/>
        </w:rPr>
        <w:fldChar w:fldCharType="begin"/>
      </w:r>
      <w:r>
        <w:rPr>
          <w:noProof/>
        </w:rPr>
        <w:instrText xml:space="preserve"> SEQ Table \* ARABIC </w:instrText>
      </w:r>
      <w:r>
        <w:rPr>
          <w:noProof/>
        </w:rPr>
        <w:fldChar w:fldCharType="separate"/>
      </w:r>
      <w:r w:rsidR="002D1698">
        <w:rPr>
          <w:noProof/>
        </w:rPr>
        <w:t>5</w:t>
      </w:r>
      <w:r>
        <w:rPr>
          <w:noProof/>
        </w:rPr>
        <w:fldChar w:fldCharType="end"/>
      </w:r>
      <w:r w:rsidRPr="00D62E8A">
        <w:t xml:space="preserve"> Estimate of composition of total costs associated with Performance Solutions</w:t>
      </w:r>
      <w:r>
        <w:t xml:space="preserve"> in commercial buildings</w:t>
      </w:r>
    </w:p>
    <w:tbl>
      <w:tblPr>
        <w:tblStyle w:val="TableGrid"/>
        <w:tblW w:w="0" w:type="auto"/>
        <w:jc w:val="center"/>
        <w:tblLook w:val="04A0" w:firstRow="1" w:lastRow="0" w:firstColumn="1" w:lastColumn="0" w:noHBand="0" w:noVBand="1"/>
        <w:tblCaption w:val="Table 8 Estimate of composition of total costs associated with Performance Solutions in commercial buildings"/>
      </w:tblPr>
      <w:tblGrid>
        <w:gridCol w:w="3248"/>
        <w:gridCol w:w="2730"/>
        <w:gridCol w:w="3092"/>
      </w:tblGrid>
      <w:tr w:rsidR="00FE37D3" w:rsidRPr="00EE379B" w:rsidTr="003756FF">
        <w:trPr>
          <w:trHeight w:val="70"/>
          <w:tblHeader/>
          <w:jc w:val="center"/>
        </w:trPr>
        <w:tc>
          <w:tcPr>
            <w:tcW w:w="3291" w:type="dxa"/>
            <w:tcBorders>
              <w:top w:val="nil"/>
              <w:left w:val="nil"/>
              <w:bottom w:val="single" w:sz="4" w:space="0" w:color="184897"/>
              <w:right w:val="nil"/>
            </w:tcBorders>
            <w:shd w:val="clear" w:color="auto" w:fill="184897"/>
            <w:vAlign w:val="center"/>
          </w:tcPr>
          <w:p w:rsidR="00FE37D3" w:rsidRPr="00EE379B" w:rsidRDefault="00FE37D3" w:rsidP="005E1DCB">
            <w:pPr>
              <w:pStyle w:val="TableHeading"/>
            </w:pPr>
            <w:r w:rsidRPr="00EE379B">
              <w:t>Component</w:t>
            </w:r>
          </w:p>
        </w:tc>
        <w:tc>
          <w:tcPr>
            <w:tcW w:w="2756" w:type="dxa"/>
            <w:tcBorders>
              <w:top w:val="nil"/>
              <w:left w:val="nil"/>
              <w:bottom w:val="single" w:sz="4" w:space="0" w:color="184897"/>
              <w:right w:val="nil"/>
            </w:tcBorders>
            <w:shd w:val="clear" w:color="auto" w:fill="184897"/>
            <w:vAlign w:val="center"/>
          </w:tcPr>
          <w:p w:rsidR="00FE37D3" w:rsidRPr="00EE379B" w:rsidRDefault="00FE37D3" w:rsidP="005E1DCB">
            <w:pPr>
              <w:pStyle w:val="TableHeading"/>
              <w:jc w:val="center"/>
            </w:pPr>
            <w:r>
              <w:t>Cost of professional fees</w:t>
            </w:r>
          </w:p>
        </w:tc>
        <w:tc>
          <w:tcPr>
            <w:tcW w:w="3135" w:type="dxa"/>
            <w:tcBorders>
              <w:top w:val="nil"/>
              <w:left w:val="nil"/>
              <w:bottom w:val="single" w:sz="4" w:space="0" w:color="184897"/>
              <w:right w:val="nil"/>
            </w:tcBorders>
            <w:shd w:val="clear" w:color="auto" w:fill="184897"/>
            <w:vAlign w:val="center"/>
          </w:tcPr>
          <w:p w:rsidR="00FE37D3" w:rsidRPr="00EE379B" w:rsidRDefault="00FE37D3" w:rsidP="005E1DCB">
            <w:pPr>
              <w:pStyle w:val="TableHeading"/>
              <w:jc w:val="center"/>
            </w:pPr>
            <w:r w:rsidRPr="00EE379B">
              <w:t>Proportion of total professional fee</w:t>
            </w:r>
          </w:p>
        </w:tc>
      </w:tr>
      <w:tr w:rsidR="00FE37D3" w:rsidRPr="00EE379B" w:rsidTr="005E1DCB">
        <w:trPr>
          <w:jc w:val="center"/>
        </w:trPr>
        <w:tc>
          <w:tcPr>
            <w:tcW w:w="3291" w:type="dxa"/>
            <w:tcBorders>
              <w:top w:val="single" w:sz="4" w:space="0" w:color="184897"/>
              <w:left w:val="nil"/>
              <w:bottom w:val="single" w:sz="4" w:space="0" w:color="184897"/>
              <w:right w:val="nil"/>
            </w:tcBorders>
            <w:shd w:val="clear" w:color="auto" w:fill="auto"/>
            <w:vAlign w:val="center"/>
          </w:tcPr>
          <w:p w:rsidR="00FE37D3" w:rsidRPr="00EE379B" w:rsidRDefault="00FE37D3" w:rsidP="00B30A81">
            <w:pPr>
              <w:pStyle w:val="TableBody"/>
            </w:pPr>
            <w:r w:rsidRPr="00EE379B">
              <w:t>Performance</w:t>
            </w:r>
            <w:r w:rsidR="00F70F7F">
              <w:t>-</w:t>
            </w:r>
            <w:r w:rsidR="00B30A81">
              <w:t>B</w:t>
            </w:r>
            <w:r w:rsidR="00F70F7F">
              <w:t>ased</w:t>
            </w:r>
            <w:r w:rsidRPr="00EE379B">
              <w:t xml:space="preserve"> Design Brief</w:t>
            </w:r>
          </w:p>
        </w:tc>
        <w:tc>
          <w:tcPr>
            <w:tcW w:w="2756" w:type="dxa"/>
            <w:tcBorders>
              <w:top w:val="single" w:sz="4" w:space="0" w:color="184897"/>
              <w:left w:val="nil"/>
              <w:bottom w:val="single" w:sz="4" w:space="0" w:color="184897"/>
              <w:right w:val="nil"/>
            </w:tcBorders>
            <w:vAlign w:val="center"/>
          </w:tcPr>
          <w:p w:rsidR="00FE37D3" w:rsidRDefault="00FE37D3" w:rsidP="004B2D3B">
            <w:pPr>
              <w:pStyle w:val="TableBody"/>
              <w:ind w:right="765"/>
              <w:jc w:val="right"/>
            </w:pPr>
            <w:r>
              <w:t>$2,000</w:t>
            </w:r>
          </w:p>
        </w:tc>
        <w:tc>
          <w:tcPr>
            <w:tcW w:w="3135" w:type="dxa"/>
            <w:tcBorders>
              <w:top w:val="single" w:sz="4" w:space="0" w:color="184897"/>
              <w:left w:val="nil"/>
              <w:bottom w:val="single" w:sz="4" w:space="0" w:color="184897"/>
              <w:right w:val="nil"/>
            </w:tcBorders>
            <w:shd w:val="clear" w:color="auto" w:fill="auto"/>
            <w:vAlign w:val="center"/>
          </w:tcPr>
          <w:p w:rsidR="00FE37D3" w:rsidRPr="00EE379B" w:rsidRDefault="00FE37D3" w:rsidP="005E1DCB">
            <w:pPr>
              <w:pStyle w:val="TableBody"/>
              <w:jc w:val="center"/>
            </w:pPr>
            <w:r w:rsidRPr="00EE379B">
              <w:t>20%</w:t>
            </w:r>
          </w:p>
        </w:tc>
      </w:tr>
      <w:tr w:rsidR="00FE37D3" w:rsidRPr="00EE379B" w:rsidTr="005E1DCB">
        <w:trPr>
          <w:jc w:val="center"/>
        </w:trPr>
        <w:tc>
          <w:tcPr>
            <w:tcW w:w="3291" w:type="dxa"/>
            <w:tcBorders>
              <w:top w:val="single" w:sz="4" w:space="0" w:color="184897"/>
              <w:left w:val="nil"/>
              <w:bottom w:val="single" w:sz="4" w:space="0" w:color="184897"/>
              <w:right w:val="nil"/>
            </w:tcBorders>
            <w:shd w:val="clear" w:color="auto" w:fill="auto"/>
            <w:vAlign w:val="center"/>
          </w:tcPr>
          <w:p w:rsidR="00FE37D3" w:rsidRPr="00EE379B" w:rsidRDefault="00FE37D3" w:rsidP="005E1DCB">
            <w:pPr>
              <w:pStyle w:val="TableBody"/>
            </w:pPr>
            <w:r w:rsidRPr="00EE379B">
              <w:t xml:space="preserve">Stakeholder Consultation </w:t>
            </w:r>
          </w:p>
        </w:tc>
        <w:tc>
          <w:tcPr>
            <w:tcW w:w="2756" w:type="dxa"/>
            <w:tcBorders>
              <w:top w:val="single" w:sz="4" w:space="0" w:color="184897"/>
              <w:left w:val="nil"/>
              <w:bottom w:val="single" w:sz="4" w:space="0" w:color="184897"/>
              <w:right w:val="nil"/>
            </w:tcBorders>
            <w:vAlign w:val="center"/>
          </w:tcPr>
          <w:p w:rsidR="00FE37D3" w:rsidRDefault="00FE37D3" w:rsidP="004B2D3B">
            <w:pPr>
              <w:pStyle w:val="TableBody"/>
              <w:ind w:right="765"/>
              <w:jc w:val="right"/>
            </w:pPr>
            <w:r>
              <w:t>$1,500</w:t>
            </w:r>
          </w:p>
        </w:tc>
        <w:tc>
          <w:tcPr>
            <w:tcW w:w="3135" w:type="dxa"/>
            <w:tcBorders>
              <w:top w:val="single" w:sz="4" w:space="0" w:color="184897"/>
              <w:left w:val="nil"/>
              <w:bottom w:val="single" w:sz="4" w:space="0" w:color="184897"/>
              <w:right w:val="nil"/>
            </w:tcBorders>
            <w:shd w:val="clear" w:color="auto" w:fill="auto"/>
            <w:vAlign w:val="center"/>
          </w:tcPr>
          <w:p w:rsidR="00FE37D3" w:rsidRPr="00EE379B" w:rsidRDefault="00FE37D3" w:rsidP="005E1DCB">
            <w:pPr>
              <w:pStyle w:val="TableBody"/>
              <w:jc w:val="center"/>
            </w:pPr>
            <w:r w:rsidRPr="00EE379B">
              <w:t>15%</w:t>
            </w:r>
          </w:p>
        </w:tc>
      </w:tr>
      <w:tr w:rsidR="00FE37D3" w:rsidRPr="00EE379B" w:rsidTr="005E1DCB">
        <w:trPr>
          <w:jc w:val="center"/>
        </w:trPr>
        <w:tc>
          <w:tcPr>
            <w:tcW w:w="3291" w:type="dxa"/>
            <w:tcBorders>
              <w:top w:val="single" w:sz="4" w:space="0" w:color="184897"/>
              <w:left w:val="nil"/>
              <w:bottom w:val="single" w:sz="4" w:space="0" w:color="184897"/>
              <w:right w:val="nil"/>
            </w:tcBorders>
            <w:shd w:val="clear" w:color="auto" w:fill="auto"/>
            <w:vAlign w:val="center"/>
          </w:tcPr>
          <w:p w:rsidR="00FE37D3" w:rsidRPr="00EE379B" w:rsidRDefault="00FE37D3" w:rsidP="005E1DCB">
            <w:pPr>
              <w:pStyle w:val="TableBody"/>
            </w:pPr>
            <w:r w:rsidRPr="00EE379B">
              <w:t xml:space="preserve">Testing and Modelling </w:t>
            </w:r>
          </w:p>
        </w:tc>
        <w:tc>
          <w:tcPr>
            <w:tcW w:w="2756" w:type="dxa"/>
            <w:tcBorders>
              <w:top w:val="single" w:sz="4" w:space="0" w:color="184897"/>
              <w:left w:val="nil"/>
              <w:bottom w:val="single" w:sz="4" w:space="0" w:color="184897"/>
              <w:right w:val="nil"/>
            </w:tcBorders>
            <w:vAlign w:val="center"/>
          </w:tcPr>
          <w:p w:rsidR="00FE37D3" w:rsidRPr="00EE379B" w:rsidRDefault="00FE37D3" w:rsidP="004B2D3B">
            <w:pPr>
              <w:pStyle w:val="TableBody"/>
              <w:ind w:right="765"/>
              <w:jc w:val="right"/>
            </w:pPr>
            <w:r>
              <w:t>$6,000</w:t>
            </w:r>
          </w:p>
        </w:tc>
        <w:tc>
          <w:tcPr>
            <w:tcW w:w="3135" w:type="dxa"/>
            <w:tcBorders>
              <w:top w:val="single" w:sz="4" w:space="0" w:color="184897"/>
              <w:left w:val="nil"/>
              <w:bottom w:val="single" w:sz="4" w:space="0" w:color="184897"/>
              <w:right w:val="nil"/>
            </w:tcBorders>
            <w:shd w:val="clear" w:color="auto" w:fill="auto"/>
            <w:vAlign w:val="center"/>
          </w:tcPr>
          <w:p w:rsidR="00FE37D3" w:rsidRPr="00EE379B" w:rsidRDefault="00FE37D3" w:rsidP="005E1DCB">
            <w:pPr>
              <w:pStyle w:val="TableBody"/>
              <w:jc w:val="center"/>
            </w:pPr>
            <w:r w:rsidRPr="00EE379B">
              <w:t>60%</w:t>
            </w:r>
          </w:p>
        </w:tc>
      </w:tr>
      <w:tr w:rsidR="00FE37D3" w:rsidRPr="00EE379B" w:rsidTr="005E1DCB">
        <w:trPr>
          <w:jc w:val="center"/>
        </w:trPr>
        <w:tc>
          <w:tcPr>
            <w:tcW w:w="3291" w:type="dxa"/>
            <w:tcBorders>
              <w:top w:val="single" w:sz="4" w:space="0" w:color="184897"/>
              <w:left w:val="nil"/>
              <w:bottom w:val="single" w:sz="4" w:space="0" w:color="184897"/>
              <w:right w:val="nil"/>
            </w:tcBorders>
            <w:shd w:val="clear" w:color="auto" w:fill="auto"/>
            <w:vAlign w:val="center"/>
          </w:tcPr>
          <w:p w:rsidR="00FE37D3" w:rsidRPr="00EE379B" w:rsidRDefault="00FE37D3" w:rsidP="005E1DCB">
            <w:pPr>
              <w:pStyle w:val="TableBody"/>
            </w:pPr>
            <w:r w:rsidRPr="00EE379B">
              <w:t xml:space="preserve">Documentation </w:t>
            </w:r>
          </w:p>
        </w:tc>
        <w:tc>
          <w:tcPr>
            <w:tcW w:w="2756" w:type="dxa"/>
            <w:tcBorders>
              <w:top w:val="single" w:sz="4" w:space="0" w:color="184897"/>
              <w:left w:val="nil"/>
              <w:bottom w:val="single" w:sz="4" w:space="0" w:color="184897"/>
              <w:right w:val="nil"/>
            </w:tcBorders>
            <w:vAlign w:val="center"/>
          </w:tcPr>
          <w:p w:rsidR="00FE37D3" w:rsidRPr="00EE379B" w:rsidRDefault="00FE37D3" w:rsidP="004B2D3B">
            <w:pPr>
              <w:pStyle w:val="TableBody"/>
              <w:ind w:right="765"/>
              <w:jc w:val="right"/>
            </w:pPr>
            <w:r>
              <w:t>$500</w:t>
            </w:r>
          </w:p>
        </w:tc>
        <w:tc>
          <w:tcPr>
            <w:tcW w:w="3135" w:type="dxa"/>
            <w:tcBorders>
              <w:top w:val="single" w:sz="4" w:space="0" w:color="184897"/>
              <w:left w:val="nil"/>
              <w:bottom w:val="single" w:sz="4" w:space="0" w:color="184897"/>
              <w:right w:val="nil"/>
            </w:tcBorders>
            <w:shd w:val="clear" w:color="auto" w:fill="auto"/>
            <w:vAlign w:val="center"/>
          </w:tcPr>
          <w:p w:rsidR="00FE37D3" w:rsidRPr="00EE379B" w:rsidRDefault="00FE37D3" w:rsidP="005E1DCB">
            <w:pPr>
              <w:pStyle w:val="TableBody"/>
              <w:jc w:val="center"/>
            </w:pPr>
            <w:r w:rsidRPr="00EE379B">
              <w:t>5%</w:t>
            </w:r>
          </w:p>
        </w:tc>
      </w:tr>
      <w:tr w:rsidR="00FE37D3" w:rsidRPr="00EE379B" w:rsidTr="005E1DCB">
        <w:trPr>
          <w:jc w:val="center"/>
        </w:trPr>
        <w:tc>
          <w:tcPr>
            <w:tcW w:w="3291" w:type="dxa"/>
            <w:tcBorders>
              <w:top w:val="single" w:sz="4" w:space="0" w:color="184897"/>
              <w:left w:val="nil"/>
              <w:bottom w:val="single" w:sz="4" w:space="0" w:color="184897"/>
              <w:right w:val="nil"/>
            </w:tcBorders>
            <w:shd w:val="clear" w:color="auto" w:fill="auto"/>
            <w:vAlign w:val="center"/>
          </w:tcPr>
          <w:p w:rsidR="00FE37D3" w:rsidRPr="00EE379B" w:rsidRDefault="00FE37D3" w:rsidP="005E1DCB">
            <w:pPr>
              <w:pStyle w:val="TableBody"/>
            </w:pPr>
            <w:r w:rsidRPr="00EE379B">
              <w:t xml:space="preserve">Average fee commercial building  </w:t>
            </w:r>
          </w:p>
        </w:tc>
        <w:tc>
          <w:tcPr>
            <w:tcW w:w="2756" w:type="dxa"/>
            <w:tcBorders>
              <w:top w:val="single" w:sz="4" w:space="0" w:color="184897"/>
              <w:left w:val="nil"/>
              <w:bottom w:val="single" w:sz="4" w:space="0" w:color="184897"/>
              <w:right w:val="nil"/>
            </w:tcBorders>
            <w:vAlign w:val="center"/>
          </w:tcPr>
          <w:p w:rsidR="00FE37D3" w:rsidRPr="00EE379B" w:rsidRDefault="00FE37D3" w:rsidP="004B2D3B">
            <w:pPr>
              <w:pStyle w:val="TableBody"/>
              <w:ind w:right="765"/>
              <w:jc w:val="right"/>
            </w:pPr>
            <w:r>
              <w:t>$10,000</w:t>
            </w:r>
          </w:p>
        </w:tc>
        <w:tc>
          <w:tcPr>
            <w:tcW w:w="3135" w:type="dxa"/>
            <w:tcBorders>
              <w:top w:val="single" w:sz="4" w:space="0" w:color="184897"/>
              <w:left w:val="nil"/>
              <w:bottom w:val="single" w:sz="4" w:space="0" w:color="184897"/>
              <w:right w:val="nil"/>
            </w:tcBorders>
            <w:shd w:val="clear" w:color="auto" w:fill="auto"/>
            <w:vAlign w:val="center"/>
          </w:tcPr>
          <w:p w:rsidR="00FE37D3" w:rsidRPr="00EE379B" w:rsidRDefault="00FE37D3" w:rsidP="005E1DCB">
            <w:pPr>
              <w:pStyle w:val="TableBody"/>
              <w:jc w:val="center"/>
            </w:pPr>
            <w:r>
              <w:t>100%</w:t>
            </w:r>
          </w:p>
        </w:tc>
      </w:tr>
    </w:tbl>
    <w:p w:rsidR="00FE37D3" w:rsidRPr="00361E5D" w:rsidRDefault="00FE37D3" w:rsidP="005E1DCB">
      <w:pPr>
        <w:spacing w:before="120" w:after="120"/>
        <w:rPr>
          <w:rFonts w:asciiTheme="minorHAnsi" w:hAnsiTheme="minorHAnsi" w:cstheme="minorHAnsi"/>
          <w:sz w:val="18"/>
          <w:szCs w:val="18"/>
        </w:rPr>
      </w:pPr>
      <w:r w:rsidRPr="00361E5D">
        <w:rPr>
          <w:rFonts w:asciiTheme="minorHAnsi" w:hAnsiTheme="minorHAnsi" w:cstheme="minorHAnsi"/>
          <w:sz w:val="18"/>
          <w:szCs w:val="18"/>
        </w:rPr>
        <w:t xml:space="preserve">Notes: </w:t>
      </w:r>
    </w:p>
    <w:p w:rsidR="00FE37D3" w:rsidRPr="0009712C" w:rsidRDefault="00FE37D3" w:rsidP="00FF3BDF">
      <w:pPr>
        <w:pStyle w:val="ListParagraph"/>
        <w:numPr>
          <w:ilvl w:val="0"/>
          <w:numId w:val="7"/>
        </w:numPr>
        <w:spacing w:before="120" w:after="120"/>
        <w:rPr>
          <w:rFonts w:asciiTheme="minorHAnsi" w:hAnsiTheme="minorHAnsi" w:cstheme="minorHAnsi"/>
          <w:sz w:val="18"/>
          <w:szCs w:val="18"/>
        </w:rPr>
      </w:pPr>
      <w:r w:rsidRPr="0009712C">
        <w:rPr>
          <w:rFonts w:asciiTheme="minorHAnsi" w:hAnsiTheme="minorHAnsi" w:cstheme="minorHAnsi"/>
          <w:sz w:val="18"/>
          <w:szCs w:val="18"/>
        </w:rPr>
        <w:t>A Performance Solution in a residential building has been assumed to be half the cost of a Performance Solution in a commercial building, reflective of lower resources, variability in size and complexity and available cost savings.</w:t>
      </w:r>
    </w:p>
    <w:p w:rsidR="00FE37D3" w:rsidRPr="00F9787F" w:rsidRDefault="00FE37D3" w:rsidP="00FF3BDF">
      <w:pPr>
        <w:pStyle w:val="ListParagraph"/>
        <w:numPr>
          <w:ilvl w:val="0"/>
          <w:numId w:val="7"/>
        </w:numPr>
        <w:spacing w:before="120" w:after="120"/>
        <w:rPr>
          <w:rFonts w:asciiTheme="minorHAnsi" w:hAnsiTheme="minorHAnsi" w:cstheme="minorHAnsi"/>
          <w:sz w:val="18"/>
          <w:szCs w:val="18"/>
        </w:rPr>
      </w:pPr>
      <w:r w:rsidRPr="00CB2395">
        <w:rPr>
          <w:rFonts w:asciiTheme="minorHAnsi" w:hAnsiTheme="minorHAnsi" w:cstheme="minorHAnsi"/>
          <w:sz w:val="18"/>
          <w:szCs w:val="18"/>
        </w:rPr>
        <w:t>Total professional fees exclude the cost of the building or plumbing solution</w:t>
      </w:r>
      <w:r w:rsidRPr="00F9787F">
        <w:rPr>
          <w:rFonts w:asciiTheme="minorHAnsi" w:hAnsiTheme="minorHAnsi" w:cstheme="minorHAnsi"/>
          <w:sz w:val="18"/>
          <w:szCs w:val="18"/>
        </w:rPr>
        <w:t>.</w:t>
      </w:r>
    </w:p>
    <w:p w:rsidR="00FE37D3" w:rsidRDefault="00FE37D3" w:rsidP="006A1047">
      <w:pPr>
        <w:spacing w:before="120" w:after="120"/>
        <w:rPr>
          <w:rFonts w:asciiTheme="minorHAnsi" w:hAnsiTheme="minorHAnsi" w:cstheme="minorHAnsi"/>
          <w:szCs w:val="24"/>
        </w:rPr>
      </w:pPr>
      <w:r w:rsidRPr="00F9787F">
        <w:rPr>
          <w:rFonts w:asciiTheme="minorHAnsi" w:hAnsiTheme="minorHAnsi" w:cstheme="minorHAnsi"/>
          <w:szCs w:val="24"/>
        </w:rPr>
        <w:t>Two respondents to the Consultation RIS commented that the scope and complexity of Performance Solutions can vary considerably depending on the nature of the Performance Solution. This would also have an impact on the costs associated with a Performance Solution</w:t>
      </w:r>
      <w:r>
        <w:rPr>
          <w:rFonts w:asciiTheme="minorHAnsi" w:hAnsiTheme="minorHAnsi" w:cstheme="minorHAnsi"/>
          <w:szCs w:val="24"/>
        </w:rPr>
        <w:t xml:space="preserve">. </w:t>
      </w:r>
      <w:r w:rsidRPr="00F9787F">
        <w:rPr>
          <w:rFonts w:asciiTheme="minorHAnsi" w:hAnsiTheme="minorHAnsi" w:cstheme="minorHAnsi"/>
          <w:szCs w:val="24"/>
        </w:rPr>
        <w:t xml:space="preserve">They considered </w:t>
      </w:r>
      <w:r w:rsidR="00C52D71">
        <w:rPr>
          <w:rFonts w:asciiTheme="minorHAnsi" w:hAnsiTheme="minorHAnsi" w:cstheme="minorHAnsi"/>
          <w:szCs w:val="24"/>
        </w:rPr>
        <w:t>use of</w:t>
      </w:r>
      <w:r w:rsidRPr="00F9787F">
        <w:rPr>
          <w:rFonts w:asciiTheme="minorHAnsi" w:hAnsiTheme="minorHAnsi" w:cstheme="minorHAnsi"/>
          <w:szCs w:val="24"/>
        </w:rPr>
        <w:t xml:space="preserve"> a single cost for commercial </w:t>
      </w:r>
      <w:r w:rsidR="00C52D71">
        <w:rPr>
          <w:rFonts w:asciiTheme="minorHAnsi" w:hAnsiTheme="minorHAnsi" w:cstheme="minorHAnsi"/>
          <w:szCs w:val="24"/>
        </w:rPr>
        <w:t xml:space="preserve">solutions </w:t>
      </w:r>
      <w:r w:rsidRPr="00F9787F">
        <w:rPr>
          <w:rFonts w:asciiTheme="minorHAnsi" w:hAnsiTheme="minorHAnsi" w:cstheme="minorHAnsi"/>
          <w:szCs w:val="24"/>
        </w:rPr>
        <w:t xml:space="preserve">and </w:t>
      </w:r>
      <w:r w:rsidR="00C52D71">
        <w:rPr>
          <w:rFonts w:asciiTheme="minorHAnsi" w:hAnsiTheme="minorHAnsi" w:cstheme="minorHAnsi"/>
          <w:szCs w:val="24"/>
        </w:rPr>
        <w:t xml:space="preserve">a single cost </w:t>
      </w:r>
      <w:r>
        <w:rPr>
          <w:rFonts w:asciiTheme="minorHAnsi" w:hAnsiTheme="minorHAnsi" w:cstheme="minorHAnsi"/>
          <w:szCs w:val="24"/>
        </w:rPr>
        <w:t xml:space="preserve">for </w:t>
      </w:r>
      <w:r w:rsidRPr="00F9787F">
        <w:rPr>
          <w:rFonts w:asciiTheme="minorHAnsi" w:hAnsiTheme="minorHAnsi" w:cstheme="minorHAnsi"/>
          <w:szCs w:val="24"/>
        </w:rPr>
        <w:t xml:space="preserve">residential </w:t>
      </w:r>
      <w:r w:rsidR="00C52D71">
        <w:rPr>
          <w:rFonts w:asciiTheme="minorHAnsi" w:hAnsiTheme="minorHAnsi" w:cstheme="minorHAnsi"/>
          <w:szCs w:val="24"/>
        </w:rPr>
        <w:t>solutions</w:t>
      </w:r>
      <w:r w:rsidR="00C52D71" w:rsidRPr="00F9787F">
        <w:rPr>
          <w:rFonts w:asciiTheme="minorHAnsi" w:hAnsiTheme="minorHAnsi" w:cstheme="minorHAnsi"/>
          <w:szCs w:val="24"/>
        </w:rPr>
        <w:t xml:space="preserve"> </w:t>
      </w:r>
      <w:r w:rsidRPr="00F9787F">
        <w:rPr>
          <w:rFonts w:asciiTheme="minorHAnsi" w:hAnsiTheme="minorHAnsi" w:cstheme="minorHAnsi"/>
          <w:szCs w:val="24"/>
        </w:rPr>
        <w:t xml:space="preserve">may not be reflective of the </w:t>
      </w:r>
      <w:r w:rsidR="00C52D71">
        <w:rPr>
          <w:rFonts w:asciiTheme="minorHAnsi" w:hAnsiTheme="minorHAnsi" w:cstheme="minorHAnsi"/>
          <w:szCs w:val="24"/>
        </w:rPr>
        <w:t>range of</w:t>
      </w:r>
      <w:r w:rsidR="00C52D71" w:rsidRPr="00F9787F">
        <w:rPr>
          <w:rFonts w:asciiTheme="minorHAnsi" w:hAnsiTheme="minorHAnsi" w:cstheme="minorHAnsi"/>
          <w:szCs w:val="24"/>
        </w:rPr>
        <w:t xml:space="preserve"> </w:t>
      </w:r>
      <w:r w:rsidRPr="00F9787F">
        <w:rPr>
          <w:rFonts w:asciiTheme="minorHAnsi" w:hAnsiTheme="minorHAnsi" w:cstheme="minorHAnsi"/>
          <w:szCs w:val="24"/>
        </w:rPr>
        <w:t xml:space="preserve">costs associated with Performance Solutions. </w:t>
      </w:r>
      <w:r>
        <w:rPr>
          <w:rFonts w:asciiTheme="minorHAnsi" w:hAnsiTheme="minorHAnsi" w:cstheme="minorHAnsi"/>
          <w:szCs w:val="24"/>
        </w:rPr>
        <w:t xml:space="preserve">The </w:t>
      </w:r>
      <w:r w:rsidRPr="00F9787F">
        <w:rPr>
          <w:rFonts w:asciiTheme="minorHAnsi" w:hAnsiTheme="minorHAnsi" w:cstheme="minorHAnsi"/>
          <w:szCs w:val="24"/>
        </w:rPr>
        <w:t xml:space="preserve">rates used in the Consultation RIS </w:t>
      </w:r>
      <w:r>
        <w:rPr>
          <w:rFonts w:asciiTheme="minorHAnsi" w:hAnsiTheme="minorHAnsi" w:cstheme="minorHAnsi"/>
          <w:szCs w:val="24"/>
        </w:rPr>
        <w:t>have been maintained as</w:t>
      </w:r>
      <w:r w:rsidRPr="00F9787F">
        <w:rPr>
          <w:rFonts w:asciiTheme="minorHAnsi" w:hAnsiTheme="minorHAnsi" w:cstheme="minorHAnsi"/>
          <w:szCs w:val="24"/>
        </w:rPr>
        <w:t xml:space="preserve"> </w:t>
      </w:r>
      <w:r>
        <w:rPr>
          <w:rFonts w:asciiTheme="minorHAnsi" w:hAnsiTheme="minorHAnsi" w:cstheme="minorHAnsi"/>
          <w:szCs w:val="24"/>
        </w:rPr>
        <w:t xml:space="preserve">an </w:t>
      </w:r>
      <w:r w:rsidRPr="00F9787F">
        <w:rPr>
          <w:rFonts w:asciiTheme="minorHAnsi" w:hAnsiTheme="minorHAnsi" w:cstheme="minorHAnsi"/>
          <w:szCs w:val="24"/>
        </w:rPr>
        <w:t xml:space="preserve">average cost. </w:t>
      </w:r>
      <w:r>
        <w:rPr>
          <w:rFonts w:asciiTheme="minorHAnsi" w:hAnsiTheme="minorHAnsi" w:cstheme="minorHAnsi"/>
          <w:szCs w:val="24"/>
        </w:rPr>
        <w:t>For Option 2, w</w:t>
      </w:r>
      <w:r w:rsidRPr="00F9787F">
        <w:rPr>
          <w:rFonts w:asciiTheme="minorHAnsi" w:hAnsiTheme="minorHAnsi" w:cstheme="minorHAnsi"/>
          <w:szCs w:val="24"/>
        </w:rPr>
        <w:t xml:space="preserve">hile some approvals will exceed these costs, </w:t>
      </w:r>
      <w:r>
        <w:rPr>
          <w:rFonts w:asciiTheme="minorHAnsi" w:hAnsiTheme="minorHAnsi" w:cstheme="minorHAnsi"/>
          <w:szCs w:val="24"/>
        </w:rPr>
        <w:t>many</w:t>
      </w:r>
      <w:r w:rsidRPr="00F9787F">
        <w:rPr>
          <w:rFonts w:asciiTheme="minorHAnsi" w:hAnsiTheme="minorHAnsi" w:cstheme="minorHAnsi"/>
          <w:szCs w:val="24"/>
        </w:rPr>
        <w:t xml:space="preserve"> Performance Solutions</w:t>
      </w:r>
      <w:r w:rsidR="00F70F7F">
        <w:rPr>
          <w:rFonts w:asciiTheme="minorHAnsi" w:hAnsiTheme="minorHAnsi" w:cstheme="minorHAnsi"/>
          <w:szCs w:val="24"/>
        </w:rPr>
        <w:t>,</w:t>
      </w:r>
      <w:r w:rsidRPr="00F9787F">
        <w:rPr>
          <w:rFonts w:asciiTheme="minorHAnsi" w:hAnsiTheme="minorHAnsi" w:cstheme="minorHAnsi"/>
          <w:szCs w:val="24"/>
        </w:rPr>
        <w:t xml:space="preserve"> </w:t>
      </w:r>
      <w:r>
        <w:rPr>
          <w:rFonts w:asciiTheme="minorHAnsi" w:hAnsiTheme="minorHAnsi" w:cstheme="minorHAnsi"/>
          <w:szCs w:val="24"/>
        </w:rPr>
        <w:t xml:space="preserve">such as those that </w:t>
      </w:r>
      <w:r w:rsidRPr="00F9787F">
        <w:rPr>
          <w:rFonts w:asciiTheme="minorHAnsi" w:hAnsiTheme="minorHAnsi" w:cstheme="minorHAnsi"/>
          <w:szCs w:val="24"/>
        </w:rPr>
        <w:t xml:space="preserve">are </w:t>
      </w:r>
      <w:r>
        <w:rPr>
          <w:rFonts w:asciiTheme="minorHAnsi" w:hAnsiTheme="minorHAnsi" w:cstheme="minorHAnsi"/>
          <w:szCs w:val="24"/>
        </w:rPr>
        <w:t xml:space="preserve">suggested as relatively </w:t>
      </w:r>
      <w:r w:rsidRPr="00F9787F">
        <w:rPr>
          <w:rFonts w:asciiTheme="minorHAnsi" w:hAnsiTheme="minorHAnsi" w:cstheme="minorHAnsi"/>
          <w:szCs w:val="24"/>
        </w:rPr>
        <w:t>small or simple in nature</w:t>
      </w:r>
      <w:r w:rsidR="00F70F7F">
        <w:rPr>
          <w:rFonts w:asciiTheme="minorHAnsi" w:hAnsiTheme="minorHAnsi" w:cstheme="minorHAnsi"/>
          <w:szCs w:val="24"/>
        </w:rPr>
        <w:t>,</w:t>
      </w:r>
      <w:r w:rsidRPr="00F9787F">
        <w:rPr>
          <w:rFonts w:asciiTheme="minorHAnsi" w:hAnsiTheme="minorHAnsi" w:cstheme="minorHAnsi"/>
          <w:szCs w:val="24"/>
        </w:rPr>
        <w:t xml:space="preserve"> are likely to be much lower</w:t>
      </w:r>
      <w:r>
        <w:rPr>
          <w:rFonts w:asciiTheme="minorHAnsi" w:hAnsiTheme="minorHAnsi" w:cstheme="minorHAnsi"/>
          <w:szCs w:val="24"/>
        </w:rPr>
        <w:t xml:space="preserve"> (the majority in residential buildings). </w:t>
      </w:r>
    </w:p>
    <w:p w:rsidR="00FE37D3" w:rsidRPr="00F9787F" w:rsidRDefault="00FE37D3" w:rsidP="006A1047">
      <w:pPr>
        <w:spacing w:before="120" w:after="120"/>
        <w:rPr>
          <w:rFonts w:asciiTheme="minorHAnsi" w:hAnsiTheme="minorHAnsi" w:cstheme="minorHAnsi"/>
          <w:szCs w:val="24"/>
        </w:rPr>
      </w:pPr>
      <w:r>
        <w:rPr>
          <w:rFonts w:asciiTheme="minorHAnsi" w:hAnsiTheme="minorHAnsi" w:cstheme="minorHAnsi"/>
          <w:szCs w:val="24"/>
        </w:rPr>
        <w:lastRenderedPageBreak/>
        <w:t xml:space="preserve">For Option 3, where the majority of solutions involve fire safety and structure, the average cost could be significantly higher. However, stakeholder feedback suggests </w:t>
      </w:r>
      <w:r w:rsidRPr="00DE2303">
        <w:rPr>
          <w:rFonts w:asciiTheme="minorHAnsi" w:hAnsiTheme="minorHAnsi" w:cstheme="minorHAnsi"/>
          <w:szCs w:val="24"/>
        </w:rPr>
        <w:t>most elements</w:t>
      </w:r>
      <w:r>
        <w:rPr>
          <w:rFonts w:asciiTheme="minorHAnsi" w:hAnsiTheme="minorHAnsi" w:cstheme="minorHAnsi"/>
          <w:szCs w:val="24"/>
        </w:rPr>
        <w:t xml:space="preserve"> of the process are already reflected in most jurisdictions for fire (the majority of this Option’s scope). </w:t>
      </w:r>
    </w:p>
    <w:p w:rsidR="00FE37D3" w:rsidRPr="009E4AF2" w:rsidRDefault="00FE37D3" w:rsidP="005E1DCB">
      <w:pPr>
        <w:pStyle w:val="ListBullet"/>
      </w:pPr>
      <w:r w:rsidRPr="009E4AF2">
        <w:t>An analysis of the costs from the N</w:t>
      </w:r>
      <w:r>
        <w:t xml:space="preserve">ew </w:t>
      </w:r>
      <w:r w:rsidRPr="009E4AF2">
        <w:t>Z</w:t>
      </w:r>
      <w:r>
        <w:t>ealand</w:t>
      </w:r>
      <w:r w:rsidRPr="009E4AF2">
        <w:t xml:space="preserve"> leaky buildings experience suggests the costs </w:t>
      </w:r>
      <w:r>
        <w:t xml:space="preserve">of rectification in 2019 Australian dollars could conservatively be estimated as shown in Table 9. </w:t>
      </w:r>
    </w:p>
    <w:p w:rsidR="00FE37D3" w:rsidRPr="005E1DCB" w:rsidRDefault="00FE37D3" w:rsidP="005E1DCB">
      <w:pPr>
        <w:pStyle w:val="Caption"/>
        <w:rPr>
          <w:bCs w:val="0"/>
        </w:rPr>
      </w:pPr>
      <w:r w:rsidRPr="00CB0F62">
        <w:t xml:space="preserve">Table </w:t>
      </w:r>
      <w:r w:rsidRPr="00B141DF">
        <w:fldChar w:fldCharType="begin"/>
      </w:r>
      <w:r w:rsidRPr="005E1DCB">
        <w:instrText xml:space="preserve"> SEQ Table \* ARABIC </w:instrText>
      </w:r>
      <w:r w:rsidRPr="00B141DF">
        <w:fldChar w:fldCharType="separate"/>
      </w:r>
      <w:r w:rsidR="002D1698">
        <w:rPr>
          <w:noProof/>
        </w:rPr>
        <w:t>6</w:t>
      </w:r>
      <w:r w:rsidRPr="00B141DF">
        <w:fldChar w:fldCharType="end"/>
      </w:r>
      <w:r w:rsidRPr="005E1DCB">
        <w:t xml:space="preserve"> Single and </w:t>
      </w:r>
      <w:r>
        <w:t>m</w:t>
      </w:r>
      <w:r w:rsidRPr="005E1DCB">
        <w:t>ulti-dwelling cost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565"/>
        <w:gridCol w:w="1564"/>
        <w:gridCol w:w="2010"/>
        <w:gridCol w:w="2010"/>
      </w:tblGrid>
      <w:tr w:rsidR="00FE37D3" w:rsidRPr="003842F9" w:rsidTr="005E1DCB">
        <w:trPr>
          <w:trHeight w:val="615"/>
        </w:trPr>
        <w:tc>
          <w:tcPr>
            <w:tcW w:w="0" w:type="auto"/>
            <w:tcBorders>
              <w:top w:val="nil"/>
              <w:left w:val="nil"/>
              <w:bottom w:val="single" w:sz="4" w:space="0" w:color="184897"/>
              <w:right w:val="nil"/>
            </w:tcBorders>
            <w:shd w:val="clear" w:color="auto" w:fill="184897"/>
            <w:vAlign w:val="center"/>
            <w:hideMark/>
          </w:tcPr>
          <w:p w:rsidR="00FE37D3" w:rsidRPr="003842F9" w:rsidRDefault="00FE37D3" w:rsidP="005E1DCB">
            <w:pPr>
              <w:pStyle w:val="TableHeading"/>
            </w:pPr>
            <w:r w:rsidRPr="003842F9">
              <w:t>Type of expense</w:t>
            </w:r>
          </w:p>
        </w:tc>
        <w:tc>
          <w:tcPr>
            <w:tcW w:w="0" w:type="auto"/>
            <w:tcBorders>
              <w:top w:val="nil"/>
              <w:left w:val="nil"/>
              <w:bottom w:val="single" w:sz="4" w:space="0" w:color="184897"/>
              <w:right w:val="nil"/>
            </w:tcBorders>
            <w:shd w:val="clear" w:color="auto" w:fill="184897"/>
            <w:vAlign w:val="center"/>
            <w:hideMark/>
          </w:tcPr>
          <w:p w:rsidR="00FE37D3" w:rsidRPr="003842F9" w:rsidRDefault="00FE37D3" w:rsidP="005E1DCB">
            <w:pPr>
              <w:pStyle w:val="TableHeading"/>
              <w:jc w:val="center"/>
            </w:pPr>
            <w:r>
              <w:t>Single dwelling</w:t>
            </w:r>
          </w:p>
        </w:tc>
        <w:tc>
          <w:tcPr>
            <w:tcW w:w="0" w:type="auto"/>
            <w:tcBorders>
              <w:top w:val="nil"/>
              <w:left w:val="nil"/>
              <w:bottom w:val="single" w:sz="4" w:space="0" w:color="184897"/>
              <w:right w:val="nil"/>
            </w:tcBorders>
            <w:shd w:val="clear" w:color="auto" w:fill="184897"/>
            <w:vAlign w:val="center"/>
            <w:hideMark/>
          </w:tcPr>
          <w:p w:rsidR="00FE37D3" w:rsidRPr="003842F9" w:rsidRDefault="00FE37D3" w:rsidP="005E1DCB">
            <w:pPr>
              <w:pStyle w:val="TableHeading"/>
              <w:jc w:val="center"/>
            </w:pPr>
            <w:r>
              <w:t>Single dwelling</w:t>
            </w:r>
          </w:p>
        </w:tc>
        <w:tc>
          <w:tcPr>
            <w:tcW w:w="0" w:type="auto"/>
            <w:tcBorders>
              <w:top w:val="nil"/>
              <w:left w:val="nil"/>
              <w:bottom w:val="single" w:sz="4" w:space="0" w:color="184897"/>
              <w:right w:val="nil"/>
            </w:tcBorders>
            <w:shd w:val="clear" w:color="auto" w:fill="184897"/>
            <w:vAlign w:val="center"/>
            <w:hideMark/>
          </w:tcPr>
          <w:p w:rsidR="00FE37D3" w:rsidRPr="003842F9" w:rsidRDefault="00FE37D3" w:rsidP="005E1DCB">
            <w:pPr>
              <w:pStyle w:val="TableHeading"/>
              <w:jc w:val="center"/>
            </w:pPr>
            <w:r>
              <w:t>Sole-occupancy unit</w:t>
            </w:r>
          </w:p>
        </w:tc>
        <w:tc>
          <w:tcPr>
            <w:tcW w:w="0" w:type="auto"/>
            <w:tcBorders>
              <w:top w:val="nil"/>
              <w:left w:val="nil"/>
              <w:bottom w:val="single" w:sz="4" w:space="0" w:color="184897"/>
              <w:right w:val="nil"/>
            </w:tcBorders>
            <w:shd w:val="clear" w:color="auto" w:fill="184897"/>
            <w:vAlign w:val="center"/>
            <w:hideMark/>
          </w:tcPr>
          <w:p w:rsidR="00FE37D3" w:rsidRPr="003842F9" w:rsidRDefault="00FE37D3" w:rsidP="005E1DCB">
            <w:pPr>
              <w:pStyle w:val="TableHeading"/>
              <w:jc w:val="center"/>
            </w:pPr>
            <w:r>
              <w:t>Sole-occupancy unit</w:t>
            </w:r>
          </w:p>
        </w:tc>
      </w:tr>
      <w:tr w:rsidR="00FE37D3" w:rsidRPr="00CB0F62" w:rsidTr="005E1DCB">
        <w:trPr>
          <w:trHeight w:val="315"/>
        </w:trPr>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rPr>
                <w:i/>
              </w:rPr>
            </w:pPr>
            <w:r w:rsidRPr="005E1DCB">
              <w:rPr>
                <w:i/>
              </w:rPr>
              <w:t>Intervention</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i/>
              </w:rPr>
            </w:pPr>
            <w:r w:rsidRPr="005E1DCB">
              <w:rPr>
                <w:i/>
              </w:rPr>
              <w:t>Targeted</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i/>
              </w:rPr>
            </w:pPr>
            <w:r w:rsidRPr="005E1DCB">
              <w:rPr>
                <w:i/>
              </w:rPr>
              <w:t>Full reclad</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i/>
              </w:rPr>
            </w:pPr>
            <w:r w:rsidRPr="005E1DCB">
              <w:rPr>
                <w:i/>
              </w:rPr>
              <w:t>Targeted</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i/>
              </w:rPr>
            </w:pPr>
            <w:r w:rsidRPr="005E1DCB">
              <w:rPr>
                <w:i/>
              </w:rPr>
              <w:t>Partial</w:t>
            </w:r>
          </w:p>
        </w:tc>
      </w:tr>
      <w:tr w:rsidR="00FE37D3" w:rsidRPr="003842F9" w:rsidTr="005E1DCB">
        <w:trPr>
          <w:trHeight w:val="315"/>
        </w:trPr>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pPr>
            <w:r w:rsidRPr="003842F9">
              <w:t>Design</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$4,474</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$13,422</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$2,013</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$2,461</w:t>
            </w:r>
          </w:p>
        </w:tc>
      </w:tr>
      <w:tr w:rsidR="00FE37D3" w:rsidRPr="003842F9" w:rsidTr="005E1DCB">
        <w:trPr>
          <w:trHeight w:val="315"/>
        </w:trPr>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pPr>
            <w:r w:rsidRPr="003842F9">
              <w:t>Legal</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$26,844</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$67,111</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$12,527</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$14,317</w:t>
            </w:r>
          </w:p>
        </w:tc>
      </w:tr>
      <w:tr w:rsidR="00FE37D3" w:rsidRPr="003842F9" w:rsidTr="005E1DCB">
        <w:trPr>
          <w:trHeight w:val="315"/>
        </w:trPr>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pPr>
            <w:r w:rsidRPr="003842F9">
              <w:t>Experts</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$4,474</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$8,948</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$4,027</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$4,921</w:t>
            </w:r>
          </w:p>
        </w:tc>
      </w:tr>
      <w:tr w:rsidR="00FE37D3" w:rsidRPr="003842F9" w:rsidTr="005E1DCB">
        <w:trPr>
          <w:trHeight w:val="315"/>
        </w:trPr>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pPr>
            <w:r w:rsidRPr="003842F9">
              <w:t>Consequential</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$8,948</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$8,948</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$8,053</w:t>
            </w:r>
          </w:p>
        </w:tc>
        <w:tc>
          <w:tcPr>
            <w:tcW w:w="0" w:type="auto"/>
            <w:tcBorders>
              <w:top w:val="single" w:sz="4" w:space="0" w:color="184897"/>
              <w:left w:val="nil"/>
              <w:bottom w:val="single" w:sz="4" w:space="0" w:color="184897"/>
              <w:right w:val="nil"/>
            </w:tcBorders>
            <w:shd w:val="clear" w:color="auto" w:fill="auto"/>
            <w:vAlign w:val="center"/>
            <w:hideMark/>
          </w:tcPr>
          <w:p w:rsidR="00FE37D3" w:rsidRPr="003842F9" w:rsidRDefault="00FE37D3" w:rsidP="005E1DCB">
            <w:pPr>
              <w:pStyle w:val="TableBody"/>
              <w:jc w:val="center"/>
            </w:pPr>
            <w:r w:rsidRPr="003842F9">
              <w:t>$10,738</w:t>
            </w:r>
          </w:p>
        </w:tc>
      </w:tr>
      <w:tr w:rsidR="00FE37D3" w:rsidRPr="00190190" w:rsidTr="005E1DCB">
        <w:trPr>
          <w:trHeight w:val="315"/>
        </w:trPr>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rPr>
                <w:b/>
              </w:rPr>
            </w:pPr>
            <w:r w:rsidRPr="005E1DCB">
              <w:rPr>
                <w:b/>
              </w:rPr>
              <w:t>Total</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b/>
              </w:rPr>
            </w:pPr>
            <w:r w:rsidRPr="005E1DCB">
              <w:rPr>
                <w:b/>
              </w:rPr>
              <w:t>$44,740</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b/>
              </w:rPr>
            </w:pPr>
            <w:r w:rsidRPr="005E1DCB">
              <w:rPr>
                <w:b/>
              </w:rPr>
              <w:t>$98,429</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b/>
              </w:rPr>
            </w:pPr>
            <w:r w:rsidRPr="005E1DCB">
              <w:rPr>
                <w:b/>
              </w:rPr>
              <w:t>$26,621</w:t>
            </w:r>
          </w:p>
        </w:tc>
        <w:tc>
          <w:tcPr>
            <w:tcW w:w="0" w:type="auto"/>
            <w:tcBorders>
              <w:top w:val="single" w:sz="4" w:space="0" w:color="184897"/>
              <w:left w:val="nil"/>
              <w:bottom w:val="single" w:sz="4" w:space="0" w:color="184897"/>
              <w:right w:val="nil"/>
            </w:tcBorders>
            <w:shd w:val="clear" w:color="auto" w:fill="auto"/>
            <w:vAlign w:val="center"/>
            <w:hideMark/>
          </w:tcPr>
          <w:p w:rsidR="00FE37D3" w:rsidRPr="005E1DCB" w:rsidRDefault="00FE37D3" w:rsidP="005E1DCB">
            <w:pPr>
              <w:pStyle w:val="TableBody"/>
              <w:jc w:val="center"/>
              <w:rPr>
                <w:b/>
              </w:rPr>
            </w:pPr>
            <w:r w:rsidRPr="005E1DCB">
              <w:rPr>
                <w:b/>
              </w:rPr>
              <w:t>$32,437</w:t>
            </w:r>
          </w:p>
        </w:tc>
      </w:tr>
    </w:tbl>
    <w:p w:rsidR="00FE37D3" w:rsidRPr="00885368" w:rsidRDefault="00FE37D3" w:rsidP="009E4AF2">
      <w:pPr>
        <w:spacing w:before="120"/>
        <w:rPr>
          <w:rFonts w:asciiTheme="minorHAnsi" w:hAnsiTheme="minorHAnsi" w:cstheme="minorHAnsi"/>
          <w:sz w:val="18"/>
        </w:rPr>
      </w:pPr>
      <w:r w:rsidRPr="00885368">
        <w:rPr>
          <w:rFonts w:asciiTheme="minorHAnsi" w:hAnsiTheme="minorHAnsi" w:cstheme="minorHAnsi"/>
          <w:sz w:val="18"/>
        </w:rPr>
        <w:t>Source: Weather tightness – Estimating the cost (PWC 2009)</w:t>
      </w:r>
    </w:p>
    <w:p w:rsidR="00FE37D3" w:rsidRPr="005242FB" w:rsidRDefault="00FE37D3" w:rsidP="005242FB">
      <w:pPr>
        <w:rPr>
          <w:rFonts w:asciiTheme="minorHAnsi" w:hAnsiTheme="minorHAnsi" w:cstheme="minorHAnsi"/>
        </w:rPr>
      </w:pPr>
      <w:r>
        <w:rPr>
          <w:rFonts w:asciiTheme="minorHAnsi" w:hAnsiTheme="minorHAnsi" w:cstheme="minorHAnsi"/>
        </w:rPr>
        <w:t xml:space="preserve">Assessment of cases of recent rectification work in Australia has shown that the costs incurred in Australia are equal to or higher than those shown in Table 9. </w:t>
      </w:r>
    </w:p>
    <w:p w:rsidR="00FE37D3" w:rsidRPr="005E1DCB" w:rsidRDefault="00FE37D3" w:rsidP="00190190">
      <w:pPr>
        <w:pStyle w:val="Heading3"/>
      </w:pPr>
      <w:bookmarkStart w:id="67" w:name="_Toc32229038"/>
      <w:bookmarkStart w:id="68" w:name="_Toc33098433"/>
      <w:bookmarkStart w:id="69" w:name="_Toc33098892"/>
      <w:r w:rsidRPr="005E1DCB">
        <w:t>Option 1 – Retain the status quo</w:t>
      </w:r>
      <w:bookmarkEnd w:id="67"/>
      <w:bookmarkEnd w:id="68"/>
      <w:bookmarkEnd w:id="69"/>
    </w:p>
    <w:p w:rsidR="00FE37D3" w:rsidRDefault="00FE37D3" w:rsidP="00321767">
      <w:pPr>
        <w:spacing w:after="0"/>
      </w:pPr>
      <w:r w:rsidRPr="00EE379B">
        <w:t xml:space="preserve">The </w:t>
      </w:r>
      <w:r>
        <w:t>impacts</w:t>
      </w:r>
      <w:r w:rsidRPr="00EE379B">
        <w:t xml:space="preserve"> of the status quo are those reflected in the problem section</w:t>
      </w:r>
      <w:r>
        <w:t xml:space="preserve"> of this RIS:</w:t>
      </w:r>
    </w:p>
    <w:p w:rsidR="00FE37D3" w:rsidRPr="0009712C" w:rsidRDefault="00FE37D3" w:rsidP="000D5397">
      <w:pPr>
        <w:pStyle w:val="ListBullet"/>
      </w:pPr>
      <w:r w:rsidRPr="0009712C">
        <w:t>Expectations of the process for documentation remains unclear and increases latent risks in the form of buildings constructed that are unlikely to achieve the required levels of safety, health, amenity, accessibility or sustainability.</w:t>
      </w:r>
    </w:p>
    <w:p w:rsidR="00FE37D3" w:rsidRPr="0009712C" w:rsidRDefault="00FE37D3" w:rsidP="000D5397">
      <w:pPr>
        <w:pStyle w:val="ListBullet"/>
        <w:spacing w:before="0"/>
      </w:pPr>
      <w:r w:rsidRPr="0009712C">
        <w:t xml:space="preserve">Undocumented solutions restrict transparency, accountability and undermine building administration. </w:t>
      </w:r>
    </w:p>
    <w:p w:rsidR="00FE37D3" w:rsidRPr="00EE379B" w:rsidRDefault="00FE37D3" w:rsidP="00321767">
      <w:r w:rsidRPr="0009712C">
        <w:t>Confidence in the building industry’s ability to deliver safe buildings will remain stagnant</w:t>
      </w:r>
      <w:r>
        <w:t>. Under a system where documentation is not a minimum requirement</w:t>
      </w:r>
      <w:r w:rsidR="00F70F7F">
        <w:t>,</w:t>
      </w:r>
      <w:r>
        <w:t xml:space="preserve"> confidence in Performance Solutions could be lower due to a misattribution from other </w:t>
      </w:r>
      <w:r>
        <w:lastRenderedPageBreak/>
        <w:t xml:space="preserve">causes.  </w:t>
      </w:r>
      <w:r w:rsidRPr="00EE379B">
        <w:t>I</w:t>
      </w:r>
      <w:r>
        <w:t>n the event of more building failures (an extreme case), it</w:t>
      </w:r>
      <w:r w:rsidRPr="00EE379B">
        <w:t xml:space="preserve"> may also prompt governments to consider returning to more prescriptive regulation, impacting on an industry where buildings are becoming more complex, innovation </w:t>
      </w:r>
      <w:r>
        <w:t>is</w:t>
      </w:r>
      <w:r w:rsidRPr="00EE379B">
        <w:t xml:space="preserve"> increasing and proprietary systems are often used.  Performance-based regulation is more responsive to this type of environment and contributes significantly to national productivity. </w:t>
      </w:r>
    </w:p>
    <w:p w:rsidR="00FE37D3" w:rsidRPr="00CB0F62" w:rsidRDefault="00FE37D3" w:rsidP="00190190">
      <w:pPr>
        <w:pStyle w:val="Heading3"/>
      </w:pPr>
      <w:bookmarkStart w:id="70" w:name="_Toc32229039"/>
      <w:bookmarkStart w:id="71" w:name="_Toc33098434"/>
      <w:bookmarkStart w:id="72" w:name="_Toc33098893"/>
      <w:r w:rsidRPr="00CB0F62">
        <w:t>Option 2 – Amend the NCC Governing Requirements to include a mandatory process for the development and documentation of a Performance Solution</w:t>
      </w:r>
      <w:bookmarkEnd w:id="70"/>
      <w:bookmarkEnd w:id="71"/>
      <w:bookmarkEnd w:id="72"/>
    </w:p>
    <w:p w:rsidR="00FE37D3" w:rsidRPr="00EE379B" w:rsidRDefault="00FE37D3" w:rsidP="00FB0E0C">
      <w:pPr>
        <w:spacing w:after="120"/>
        <w:rPr>
          <w:rFonts w:asciiTheme="minorHAnsi" w:hAnsiTheme="minorHAnsi" w:cstheme="minorHAnsi"/>
        </w:rPr>
      </w:pPr>
      <w:r w:rsidRPr="00EE379B">
        <w:rPr>
          <w:rFonts w:asciiTheme="minorHAnsi" w:hAnsiTheme="minorHAnsi" w:cstheme="minorHAnsi"/>
        </w:rPr>
        <w:t xml:space="preserve">This option would require all Performance Solutions use the ABCB’s process </w:t>
      </w:r>
      <w:r>
        <w:rPr>
          <w:rFonts w:asciiTheme="minorHAnsi" w:hAnsiTheme="minorHAnsi" w:cstheme="minorHAnsi"/>
        </w:rPr>
        <w:t xml:space="preserve">for formulating and approving </w:t>
      </w:r>
      <w:r w:rsidRPr="00EE379B">
        <w:rPr>
          <w:rFonts w:asciiTheme="minorHAnsi" w:hAnsiTheme="minorHAnsi" w:cstheme="minorHAnsi"/>
        </w:rPr>
        <w:t>Performance Solution</w:t>
      </w:r>
      <w:r>
        <w:rPr>
          <w:rFonts w:asciiTheme="minorHAnsi" w:hAnsiTheme="minorHAnsi" w:cstheme="minorHAnsi"/>
        </w:rPr>
        <w:t>s</w:t>
      </w:r>
      <w:r w:rsidRPr="00EE379B">
        <w:rPr>
          <w:rFonts w:asciiTheme="minorHAnsi" w:hAnsiTheme="minorHAnsi" w:cstheme="minorHAnsi"/>
        </w:rPr>
        <w:t xml:space="preserve">. The process would be reflected in the Governing Requirements of all Volumes of the NCC. </w:t>
      </w:r>
    </w:p>
    <w:p w:rsidR="00FE37D3" w:rsidRPr="00EE379B" w:rsidRDefault="00FE37D3" w:rsidP="00FB0E0C">
      <w:pPr>
        <w:rPr>
          <w:rFonts w:asciiTheme="minorHAnsi" w:hAnsiTheme="minorHAnsi" w:cstheme="minorHAnsi"/>
        </w:rPr>
      </w:pPr>
      <w:r w:rsidRPr="00EE379B">
        <w:rPr>
          <w:rFonts w:asciiTheme="minorHAnsi" w:hAnsiTheme="minorHAnsi" w:cstheme="minorHAnsi"/>
        </w:rPr>
        <w:t>The process is aimed at formalising a nationally consistent approach to assessing Performance Solutions, based on the process proposed in Attachment A. This option would require all Performance Solutions</w:t>
      </w:r>
      <w:r w:rsidR="00B30A81">
        <w:rPr>
          <w:rFonts w:asciiTheme="minorHAnsi" w:hAnsiTheme="minorHAnsi" w:cstheme="minorHAnsi"/>
        </w:rPr>
        <w:t>,</w:t>
      </w:r>
      <w:r w:rsidRPr="00EE379B">
        <w:rPr>
          <w:rFonts w:asciiTheme="minorHAnsi" w:hAnsiTheme="minorHAnsi" w:cstheme="minorHAnsi"/>
        </w:rPr>
        <w:t xml:space="preserve"> regardless of topic, size or complexity, </w:t>
      </w:r>
      <w:r>
        <w:rPr>
          <w:rFonts w:asciiTheme="minorHAnsi" w:hAnsiTheme="minorHAnsi" w:cstheme="minorHAnsi"/>
        </w:rPr>
        <w:t xml:space="preserve">to </w:t>
      </w:r>
      <w:r w:rsidRPr="00EE379B">
        <w:rPr>
          <w:rFonts w:asciiTheme="minorHAnsi" w:hAnsiTheme="minorHAnsi" w:cstheme="minorHAnsi"/>
        </w:rPr>
        <w:t>be subject to the process</w:t>
      </w:r>
      <w:r>
        <w:rPr>
          <w:rFonts w:asciiTheme="minorHAnsi" w:hAnsiTheme="minorHAnsi" w:cstheme="minorHAnsi"/>
        </w:rPr>
        <w:t>, but importantly,</w:t>
      </w:r>
      <w:r w:rsidRPr="00EE379B">
        <w:rPr>
          <w:rFonts w:asciiTheme="minorHAnsi" w:hAnsiTheme="minorHAnsi" w:cstheme="minorHAnsi"/>
        </w:rPr>
        <w:t xml:space="preserve"> to an extent commensurate with the complexity and risk of the design</w:t>
      </w:r>
      <w:r>
        <w:rPr>
          <w:rFonts w:asciiTheme="minorHAnsi" w:hAnsiTheme="minorHAnsi" w:cstheme="minorHAnsi"/>
        </w:rPr>
        <w:t xml:space="preserve"> (in other words</w:t>
      </w:r>
      <w:r w:rsidR="00B30A81">
        <w:rPr>
          <w:rFonts w:asciiTheme="minorHAnsi" w:hAnsiTheme="minorHAnsi" w:cstheme="minorHAnsi"/>
        </w:rPr>
        <w:t>,</w:t>
      </w:r>
      <w:r>
        <w:rPr>
          <w:rFonts w:asciiTheme="minorHAnsi" w:hAnsiTheme="minorHAnsi" w:cstheme="minorHAnsi"/>
        </w:rPr>
        <w:t xml:space="preserve"> not a one size fits all approach)</w:t>
      </w:r>
      <w:r w:rsidRPr="00EE379B">
        <w:rPr>
          <w:rFonts w:asciiTheme="minorHAnsi" w:hAnsiTheme="minorHAnsi" w:cstheme="minorHAnsi"/>
        </w:rPr>
        <w:t>.</w:t>
      </w:r>
    </w:p>
    <w:p w:rsidR="00FE37D3" w:rsidRPr="00CB0F62" w:rsidRDefault="00FE37D3" w:rsidP="00CB0F62">
      <w:pPr>
        <w:pStyle w:val="Heading4"/>
      </w:pPr>
      <w:r w:rsidRPr="00CB0F62">
        <w:t>Qualitative Costs</w:t>
      </w:r>
    </w:p>
    <w:p w:rsidR="00FE37D3" w:rsidRDefault="00FE37D3" w:rsidP="00FB0E0C">
      <w:pPr>
        <w:rPr>
          <w:rFonts w:asciiTheme="minorHAnsi" w:hAnsiTheme="minorHAnsi" w:cstheme="minorHAnsi"/>
        </w:rPr>
      </w:pPr>
      <w:r w:rsidRPr="00EE379B">
        <w:rPr>
          <w:rFonts w:asciiTheme="minorHAnsi" w:hAnsiTheme="minorHAnsi" w:cstheme="minorHAnsi"/>
        </w:rPr>
        <w:t xml:space="preserve">It could be argued that formalising </w:t>
      </w:r>
      <w:r>
        <w:rPr>
          <w:rFonts w:asciiTheme="minorHAnsi" w:hAnsiTheme="minorHAnsi" w:cstheme="minorHAnsi"/>
        </w:rPr>
        <w:t xml:space="preserve">the existing </w:t>
      </w:r>
      <w:r w:rsidRPr="00EE379B">
        <w:rPr>
          <w:rFonts w:asciiTheme="minorHAnsi" w:hAnsiTheme="minorHAnsi" w:cstheme="minorHAnsi"/>
        </w:rPr>
        <w:t>guidance material in the NCC, which has been developed and promoted by the ABCB, is the status quo and simply reflects the current intent of the NCC and the expectations of state and terri</w:t>
      </w:r>
      <w:r>
        <w:rPr>
          <w:rFonts w:asciiTheme="minorHAnsi" w:hAnsiTheme="minorHAnsi" w:cstheme="minorHAnsi"/>
        </w:rPr>
        <w:t xml:space="preserve">tory building control systems. </w:t>
      </w:r>
      <w:r w:rsidRPr="00EE379B">
        <w:rPr>
          <w:rFonts w:asciiTheme="minorHAnsi" w:hAnsiTheme="minorHAnsi" w:cstheme="minorHAnsi"/>
        </w:rPr>
        <w:t xml:space="preserve">On this basis, changes to the NCC would impose no additional cost on industry. </w:t>
      </w:r>
      <w:r>
        <w:rPr>
          <w:rFonts w:asciiTheme="minorHAnsi" w:hAnsiTheme="minorHAnsi" w:cstheme="minorHAnsi"/>
        </w:rPr>
        <w:t>However, i</w:t>
      </w:r>
      <w:r w:rsidRPr="00EE379B">
        <w:rPr>
          <w:rFonts w:asciiTheme="minorHAnsi" w:hAnsiTheme="minorHAnsi" w:cstheme="minorHAnsi"/>
        </w:rPr>
        <w:t>n those cases</w:t>
      </w:r>
      <w:r>
        <w:rPr>
          <w:rFonts w:asciiTheme="minorHAnsi" w:hAnsiTheme="minorHAnsi" w:cstheme="minorHAnsi"/>
        </w:rPr>
        <w:t>,</w:t>
      </w:r>
      <w:r w:rsidRPr="00EE379B">
        <w:rPr>
          <w:rFonts w:asciiTheme="minorHAnsi" w:hAnsiTheme="minorHAnsi" w:cstheme="minorHAnsi"/>
        </w:rPr>
        <w:t xml:space="preserve"> where the intent of the NCC and guidance documents have not been followed and sub</w:t>
      </w:r>
      <w:r>
        <w:rPr>
          <w:rFonts w:asciiTheme="minorHAnsi" w:hAnsiTheme="minorHAnsi" w:cstheme="minorHAnsi"/>
        </w:rPr>
        <w:t>-</w:t>
      </w:r>
      <w:r w:rsidRPr="00EE379B">
        <w:rPr>
          <w:rFonts w:asciiTheme="minorHAnsi" w:hAnsiTheme="minorHAnsi" w:cstheme="minorHAnsi"/>
        </w:rPr>
        <w:t xml:space="preserve">standard Performance Solutions developed, industry should expect to incur greater costs.  </w:t>
      </w:r>
    </w:p>
    <w:p w:rsidR="00FE37D3" w:rsidRPr="00DE2303" w:rsidRDefault="00FE37D3" w:rsidP="00FB0E0C">
      <w:pPr>
        <w:rPr>
          <w:rFonts w:asciiTheme="minorHAnsi" w:hAnsiTheme="minorHAnsi" w:cstheme="minorHAnsi"/>
          <w:iCs/>
        </w:rPr>
      </w:pPr>
      <w:r w:rsidRPr="00DE2303">
        <w:rPr>
          <w:rFonts w:asciiTheme="minorHAnsi" w:hAnsiTheme="minorHAnsi" w:cstheme="minorHAnsi"/>
          <w:iCs/>
        </w:rPr>
        <w:t>Arguably</w:t>
      </w:r>
      <w:r w:rsidR="00B30A81">
        <w:rPr>
          <w:rFonts w:asciiTheme="minorHAnsi" w:hAnsiTheme="minorHAnsi" w:cstheme="minorHAnsi"/>
          <w:iCs/>
        </w:rPr>
        <w:t>,</w:t>
      </w:r>
      <w:r w:rsidRPr="00DE2303">
        <w:rPr>
          <w:rFonts w:asciiTheme="minorHAnsi" w:hAnsiTheme="minorHAnsi" w:cstheme="minorHAnsi"/>
          <w:iCs/>
        </w:rPr>
        <w:t xml:space="preserve"> changes to the Governing Requirements is </w:t>
      </w:r>
      <w:r w:rsidR="00B30A81">
        <w:rPr>
          <w:rFonts w:asciiTheme="minorHAnsi" w:hAnsiTheme="minorHAnsi" w:cstheme="minorHAnsi"/>
          <w:iCs/>
        </w:rPr>
        <w:t>simply</w:t>
      </w:r>
      <w:r w:rsidRPr="00DE2303">
        <w:rPr>
          <w:rFonts w:asciiTheme="minorHAnsi" w:hAnsiTheme="minorHAnsi" w:cstheme="minorHAnsi"/>
          <w:iCs/>
        </w:rPr>
        <w:t xml:space="preserve"> further confirmation of what was always expected (i</w:t>
      </w:r>
      <w:r>
        <w:rPr>
          <w:rFonts w:asciiTheme="minorHAnsi" w:hAnsiTheme="minorHAnsi" w:cstheme="minorHAnsi"/>
          <w:iCs/>
        </w:rPr>
        <w:t>.</w:t>
      </w:r>
      <w:r w:rsidRPr="00DE2303">
        <w:rPr>
          <w:rFonts w:asciiTheme="minorHAnsi" w:hAnsiTheme="minorHAnsi" w:cstheme="minorHAnsi"/>
          <w:iCs/>
        </w:rPr>
        <w:t>e</w:t>
      </w:r>
      <w:r>
        <w:rPr>
          <w:rFonts w:asciiTheme="minorHAnsi" w:hAnsiTheme="minorHAnsi" w:cstheme="minorHAnsi"/>
          <w:iCs/>
        </w:rPr>
        <w:t>.</w:t>
      </w:r>
      <w:r w:rsidRPr="00DE2303">
        <w:rPr>
          <w:rFonts w:asciiTheme="minorHAnsi" w:hAnsiTheme="minorHAnsi" w:cstheme="minorHAnsi"/>
          <w:iCs/>
        </w:rPr>
        <w:t xml:space="preserve"> Performance Solutions need to be properly documented by those practitioners using them to test and justify their application against the Performance Requirements; enable those approving them to be able to </w:t>
      </w:r>
      <w:r w:rsidRPr="00DE2303">
        <w:rPr>
          <w:rFonts w:asciiTheme="minorHAnsi" w:hAnsiTheme="minorHAnsi" w:cstheme="minorHAnsi"/>
          <w:iCs/>
        </w:rPr>
        <w:lastRenderedPageBreak/>
        <w:t>assess their adequacy; and provide a record for future auditing and owners of buildings to reference).</w:t>
      </w:r>
    </w:p>
    <w:p w:rsidR="00FE37D3" w:rsidRPr="00EE379B" w:rsidRDefault="00FE37D3" w:rsidP="00FB0E0C">
      <w:pPr>
        <w:rPr>
          <w:rFonts w:asciiTheme="minorHAnsi" w:hAnsiTheme="minorHAnsi" w:cstheme="minorHAnsi"/>
        </w:rPr>
      </w:pPr>
      <w:r w:rsidRPr="0009712C">
        <w:rPr>
          <w:rFonts w:asciiTheme="minorHAnsi" w:hAnsiTheme="minorHAnsi" w:cstheme="minorHAnsi"/>
        </w:rPr>
        <w:t xml:space="preserve">The costs associated with Option 2 will be highly dependent on the extent to which industry has been developing Performance Solutions in line with </w:t>
      </w:r>
      <w:r w:rsidR="00056590">
        <w:rPr>
          <w:rFonts w:asciiTheme="minorHAnsi" w:hAnsiTheme="minorHAnsi" w:cstheme="minorHAnsi"/>
        </w:rPr>
        <w:t>g</w:t>
      </w:r>
      <w:r w:rsidRPr="0009712C">
        <w:rPr>
          <w:rFonts w:asciiTheme="minorHAnsi" w:hAnsiTheme="minorHAnsi" w:cstheme="minorHAnsi"/>
        </w:rPr>
        <w:t>uidelines and the intent and objectives of the NCC.</w:t>
      </w:r>
      <w:r w:rsidRPr="00EE379B">
        <w:rPr>
          <w:rFonts w:asciiTheme="minorHAnsi" w:hAnsiTheme="minorHAnsi" w:cstheme="minorHAnsi"/>
        </w:rPr>
        <w:t xml:space="preserve">  In a scenario where decisions have been made </w:t>
      </w:r>
      <w:r>
        <w:rPr>
          <w:rFonts w:asciiTheme="minorHAnsi" w:hAnsiTheme="minorHAnsi" w:cstheme="minorHAnsi"/>
        </w:rPr>
        <w:t>without adequate analysis, additional costs will be incurred</w:t>
      </w:r>
      <w:r w:rsidRPr="00EE379B">
        <w:rPr>
          <w:rFonts w:asciiTheme="minorHAnsi" w:hAnsiTheme="minorHAnsi" w:cstheme="minorHAnsi"/>
        </w:rPr>
        <w:t>.  The</w:t>
      </w:r>
      <w:r>
        <w:rPr>
          <w:rFonts w:asciiTheme="minorHAnsi" w:hAnsiTheme="minorHAnsi" w:cstheme="minorHAnsi"/>
        </w:rPr>
        <w:t>se</w:t>
      </w:r>
      <w:r w:rsidRPr="00EE379B">
        <w:rPr>
          <w:rFonts w:asciiTheme="minorHAnsi" w:hAnsiTheme="minorHAnsi" w:cstheme="minorHAnsi"/>
        </w:rPr>
        <w:t xml:space="preserve"> costs may include the engagement of </w:t>
      </w:r>
      <w:r>
        <w:rPr>
          <w:rFonts w:asciiTheme="minorHAnsi" w:hAnsiTheme="minorHAnsi" w:cstheme="minorHAnsi"/>
        </w:rPr>
        <w:t>experts</w:t>
      </w:r>
      <w:r w:rsidRPr="00EE379B">
        <w:rPr>
          <w:rFonts w:asciiTheme="minorHAnsi" w:hAnsiTheme="minorHAnsi" w:cstheme="minorHAnsi"/>
        </w:rPr>
        <w:t>, time to consult with stakeholders, additional analysis and the preparation of associated documentation.</w:t>
      </w:r>
      <w:r>
        <w:rPr>
          <w:rFonts w:asciiTheme="minorHAnsi" w:hAnsiTheme="minorHAnsi" w:cstheme="minorHAnsi"/>
        </w:rPr>
        <w:t xml:space="preserve"> These costs are considered by the quantitative cost section below. </w:t>
      </w:r>
    </w:p>
    <w:p w:rsidR="00FE37D3" w:rsidRPr="00EE379B" w:rsidRDefault="00FE37D3" w:rsidP="00CB0F62">
      <w:pPr>
        <w:pStyle w:val="Heading4"/>
      </w:pPr>
      <w:r w:rsidRPr="00EE379B">
        <w:t>Quantitative Costs</w:t>
      </w:r>
    </w:p>
    <w:p w:rsidR="00FE37D3" w:rsidRPr="00EE379B" w:rsidRDefault="00FE37D3" w:rsidP="00D62E8A">
      <w:pPr>
        <w:rPr>
          <w:rFonts w:asciiTheme="minorHAnsi" w:hAnsiTheme="minorHAnsi" w:cstheme="minorHAnsi"/>
        </w:rPr>
      </w:pPr>
      <w:r w:rsidRPr="00EE379B">
        <w:rPr>
          <w:rFonts w:asciiTheme="minorHAnsi" w:hAnsiTheme="minorHAnsi" w:cstheme="minorHAnsi"/>
        </w:rPr>
        <w:t>Consistent with the stated problem, irrespective of the qualitative assessment above, the impact analysis adopts the approach that as ex</w:t>
      </w:r>
      <w:r>
        <w:rPr>
          <w:rFonts w:asciiTheme="minorHAnsi" w:hAnsiTheme="minorHAnsi" w:cstheme="minorHAnsi"/>
        </w:rPr>
        <w:t>pectations are not legislat</w:t>
      </w:r>
      <w:r w:rsidR="002F589F">
        <w:rPr>
          <w:rFonts w:asciiTheme="minorHAnsi" w:hAnsiTheme="minorHAnsi" w:cstheme="minorHAnsi"/>
        </w:rPr>
        <w:t>ed</w:t>
      </w:r>
      <w:r w:rsidR="007903D5">
        <w:rPr>
          <w:rFonts w:asciiTheme="minorHAnsi" w:hAnsiTheme="minorHAnsi" w:cstheme="minorHAnsi"/>
        </w:rPr>
        <w:t xml:space="preserve"> </w:t>
      </w:r>
      <w:r w:rsidRPr="00EE379B">
        <w:rPr>
          <w:rFonts w:asciiTheme="minorHAnsi" w:hAnsiTheme="minorHAnsi" w:cstheme="minorHAnsi"/>
        </w:rPr>
        <w:t>or consistent, incremental costs will be incurred by industry where a step in the current process i</w:t>
      </w:r>
      <w:r>
        <w:rPr>
          <w:rFonts w:asciiTheme="minorHAnsi" w:hAnsiTheme="minorHAnsi" w:cstheme="minorHAnsi"/>
        </w:rPr>
        <w:t>s either ‘inadequately’ or ‘not</w:t>
      </w:r>
      <w:r w:rsidRPr="00EE379B">
        <w:rPr>
          <w:rFonts w:asciiTheme="minorHAnsi" w:hAnsiTheme="minorHAnsi" w:cstheme="minorHAnsi"/>
        </w:rPr>
        <w:t xml:space="preserve"> undertaken</w:t>
      </w:r>
      <w:r>
        <w:rPr>
          <w:rFonts w:asciiTheme="minorHAnsi" w:hAnsiTheme="minorHAnsi" w:cstheme="minorHAnsi"/>
        </w:rPr>
        <w:t>’</w:t>
      </w:r>
      <w:r w:rsidRPr="00EE379B">
        <w:rPr>
          <w:rFonts w:asciiTheme="minorHAnsi" w:hAnsiTheme="minorHAnsi" w:cstheme="minorHAnsi"/>
        </w:rPr>
        <w:t xml:space="preserve">. In addition to the ABCB survey results, the following key parameters and assumptions have been used in preparation of </w:t>
      </w:r>
      <w:r>
        <w:rPr>
          <w:rFonts w:asciiTheme="minorHAnsi" w:hAnsiTheme="minorHAnsi" w:cstheme="minorHAnsi"/>
        </w:rPr>
        <w:t>the quantitative costs:</w:t>
      </w:r>
      <w:r w:rsidRPr="00EE379B">
        <w:rPr>
          <w:rFonts w:asciiTheme="minorHAnsi" w:hAnsiTheme="minorHAnsi" w:cstheme="minorHAnsi"/>
        </w:rPr>
        <w:t xml:space="preserve"> </w:t>
      </w:r>
    </w:p>
    <w:p w:rsidR="00FE37D3" w:rsidRPr="00EE379B" w:rsidRDefault="00FE37D3" w:rsidP="00CB0F62">
      <w:pPr>
        <w:pStyle w:val="ListBullet"/>
      </w:pPr>
      <w:r w:rsidRPr="00EE379B">
        <w:t>The annual number of new houses constructed each year is 116,000.</w:t>
      </w:r>
      <w:r w:rsidRPr="00EE379B">
        <w:rPr>
          <w:rStyle w:val="FootnoteReference"/>
          <w:rFonts w:asciiTheme="minorHAnsi" w:hAnsiTheme="minorHAnsi" w:cstheme="minorHAnsi"/>
        </w:rPr>
        <w:footnoteReference w:id="48"/>
      </w:r>
      <w:r w:rsidRPr="00EE379B">
        <w:t xml:space="preserve"> </w:t>
      </w:r>
    </w:p>
    <w:p w:rsidR="00FE37D3" w:rsidRPr="00EE379B" w:rsidRDefault="00FE37D3" w:rsidP="00CB0F62">
      <w:pPr>
        <w:pStyle w:val="ListBullet"/>
      </w:pPr>
      <w:r w:rsidRPr="00EE379B">
        <w:t>The annual number of new commercial buildings constructed each year is 24,000</w:t>
      </w:r>
      <w:r>
        <w:t>.</w:t>
      </w:r>
      <w:r w:rsidRPr="00EE379B">
        <w:rPr>
          <w:rStyle w:val="FootnoteReference"/>
          <w:rFonts w:asciiTheme="minorHAnsi" w:hAnsiTheme="minorHAnsi" w:cstheme="minorHAnsi"/>
        </w:rPr>
        <w:footnoteReference w:id="49"/>
      </w:r>
    </w:p>
    <w:p w:rsidR="00FE37D3" w:rsidRDefault="00FE37D3" w:rsidP="00CB0F62">
      <w:pPr>
        <w:pStyle w:val="ListBullet"/>
      </w:pPr>
      <w:r w:rsidRPr="00EE379B">
        <w:t xml:space="preserve">The proportion of total completions using at least one Performance Solution is </w:t>
      </w:r>
      <w:r>
        <w:t>30 per cent</w:t>
      </w:r>
      <w:r w:rsidRPr="00EE379B">
        <w:t xml:space="preserve"> of all new commercial buildings and approximately 3</w:t>
      </w:r>
      <w:r>
        <w:t xml:space="preserve"> per cent</w:t>
      </w:r>
      <w:r w:rsidRPr="00EE379B">
        <w:t xml:space="preserve"> of all new residential buildings. </w:t>
      </w:r>
    </w:p>
    <w:p w:rsidR="00FE37D3" w:rsidRDefault="00FE37D3" w:rsidP="00CB0F62">
      <w:pPr>
        <w:pStyle w:val="ListBullet"/>
      </w:pPr>
      <w:r>
        <w:t xml:space="preserve">The assumed average number of Performance Solutions used is 2 for commercial buildings and 1 for residential buildings. </w:t>
      </w:r>
    </w:p>
    <w:p w:rsidR="00FE37D3" w:rsidRPr="00EE379B" w:rsidRDefault="00FE37D3" w:rsidP="00CB0F62">
      <w:pPr>
        <w:pStyle w:val="ListBullet"/>
      </w:pPr>
      <w:r w:rsidRPr="00EE379B">
        <w:t xml:space="preserve">The estimated proportion of Performance Solutions not </w:t>
      </w:r>
      <w:r w:rsidR="00B30A81">
        <w:t xml:space="preserve">currently </w:t>
      </w:r>
      <w:r w:rsidRPr="00EE379B">
        <w:t xml:space="preserve">following a component of the process is that shown in </w:t>
      </w:r>
      <w:r>
        <w:t>Table 6</w:t>
      </w:r>
      <w:r w:rsidRPr="00EE379B">
        <w:t>.</w:t>
      </w:r>
    </w:p>
    <w:p w:rsidR="00FE37D3" w:rsidRPr="00EE379B" w:rsidRDefault="00FE37D3" w:rsidP="00CB0F62">
      <w:pPr>
        <w:pStyle w:val="ListBullet"/>
      </w:pPr>
      <w:r w:rsidRPr="00EE379B">
        <w:lastRenderedPageBreak/>
        <w:t>The assumed increase in total professional fees is estimated to be 8</w:t>
      </w:r>
      <w:r>
        <w:t xml:space="preserve"> per cent</w:t>
      </w:r>
      <w:r w:rsidRPr="00EE379B">
        <w:t xml:space="preserve"> where the process is currently inadequately undertaken and 108</w:t>
      </w:r>
      <w:r>
        <w:t xml:space="preserve"> per cent</w:t>
      </w:r>
      <w:r w:rsidRPr="00EE379B">
        <w:t xml:space="preserve"> where components of the process are not undertaken at all.</w:t>
      </w:r>
      <w:r w:rsidRPr="00EE379B">
        <w:rPr>
          <w:rStyle w:val="FootnoteReference"/>
          <w:rFonts w:asciiTheme="minorHAnsi" w:hAnsiTheme="minorHAnsi" w:cstheme="minorHAnsi"/>
        </w:rPr>
        <w:footnoteReference w:id="50"/>
      </w:r>
      <w:r w:rsidRPr="00EE379B">
        <w:t xml:space="preserve"> </w:t>
      </w:r>
    </w:p>
    <w:p w:rsidR="00FE37D3" w:rsidRPr="00EE379B" w:rsidRDefault="00FE37D3" w:rsidP="00CB0F62">
      <w:r w:rsidRPr="00EE379B">
        <w:t>The increase</w:t>
      </w:r>
      <w:r>
        <w:t>s</w:t>
      </w:r>
      <w:r w:rsidRPr="00EE379B">
        <w:t xml:space="preserve"> in professional fees appl</w:t>
      </w:r>
      <w:r>
        <w:t>ied using the above assumptions is shown in Tables 10 &amp; 11.</w:t>
      </w:r>
    </w:p>
    <w:p w:rsidR="00FE37D3" w:rsidRPr="00F02E1E" w:rsidRDefault="00FE37D3" w:rsidP="005E1DCB">
      <w:pPr>
        <w:pStyle w:val="Caption"/>
      </w:pPr>
      <w:r>
        <w:t xml:space="preserve">Table </w:t>
      </w:r>
      <w:r>
        <w:rPr>
          <w:noProof/>
        </w:rPr>
        <w:fldChar w:fldCharType="begin"/>
      </w:r>
      <w:r>
        <w:rPr>
          <w:noProof/>
        </w:rPr>
        <w:instrText xml:space="preserve"> SEQ Table \* ARABIC </w:instrText>
      </w:r>
      <w:r>
        <w:rPr>
          <w:noProof/>
        </w:rPr>
        <w:fldChar w:fldCharType="separate"/>
      </w:r>
      <w:r w:rsidR="002D1698">
        <w:rPr>
          <w:noProof/>
        </w:rPr>
        <w:t>7</w:t>
      </w:r>
      <w:r>
        <w:rPr>
          <w:noProof/>
        </w:rPr>
        <w:fldChar w:fldCharType="end"/>
      </w:r>
      <w:r w:rsidRPr="00F02E1E">
        <w:t xml:space="preserve"> Estimates of marginal annual increase in cost for proportion not undertaking a component of the process</w:t>
      </w:r>
    </w:p>
    <w:tbl>
      <w:tblPr>
        <w:tblStyle w:val="TableGrid"/>
        <w:tblW w:w="5000" w:type="pct"/>
        <w:tblLook w:val="04A0" w:firstRow="1" w:lastRow="0" w:firstColumn="1" w:lastColumn="0" w:noHBand="0" w:noVBand="1"/>
        <w:tblCaption w:val="Table 10 Estimates of marginal annual increase in cost for proportion not undertaking a component of the process"/>
      </w:tblPr>
      <w:tblGrid>
        <w:gridCol w:w="3763"/>
        <w:gridCol w:w="2643"/>
        <w:gridCol w:w="2664"/>
      </w:tblGrid>
      <w:tr w:rsidR="00FE37D3" w:rsidRPr="00EE379B" w:rsidTr="003756FF">
        <w:trPr>
          <w:tblHeader/>
        </w:trPr>
        <w:tc>
          <w:tcPr>
            <w:tcW w:w="2127" w:type="pct"/>
            <w:tcBorders>
              <w:top w:val="nil"/>
              <w:left w:val="nil"/>
              <w:bottom w:val="single" w:sz="4" w:space="0" w:color="184897"/>
              <w:right w:val="nil"/>
            </w:tcBorders>
            <w:shd w:val="clear" w:color="auto" w:fill="184897"/>
            <w:vAlign w:val="center"/>
          </w:tcPr>
          <w:p w:rsidR="00FE37D3" w:rsidRPr="007536D6" w:rsidRDefault="00FE37D3" w:rsidP="005E1DCB">
            <w:pPr>
              <w:pStyle w:val="TableHeading"/>
            </w:pPr>
            <w:r w:rsidRPr="007536D6">
              <w:t>Component</w:t>
            </w:r>
          </w:p>
        </w:tc>
        <w:tc>
          <w:tcPr>
            <w:tcW w:w="1352" w:type="pct"/>
            <w:tcBorders>
              <w:top w:val="nil"/>
              <w:left w:val="nil"/>
              <w:bottom w:val="single" w:sz="4" w:space="0" w:color="184897"/>
              <w:right w:val="nil"/>
            </w:tcBorders>
            <w:shd w:val="clear" w:color="auto" w:fill="184897"/>
            <w:vAlign w:val="center"/>
          </w:tcPr>
          <w:p w:rsidR="00FE37D3" w:rsidRPr="007536D6" w:rsidRDefault="00FE37D3" w:rsidP="005E1DCB">
            <w:pPr>
              <w:pStyle w:val="TableHeading"/>
            </w:pPr>
            <w:r w:rsidRPr="007536D6">
              <w:t>Commercial</w:t>
            </w:r>
          </w:p>
        </w:tc>
        <w:tc>
          <w:tcPr>
            <w:tcW w:w="1521" w:type="pct"/>
            <w:tcBorders>
              <w:top w:val="nil"/>
              <w:left w:val="nil"/>
              <w:bottom w:val="single" w:sz="4" w:space="0" w:color="184897"/>
              <w:right w:val="nil"/>
            </w:tcBorders>
            <w:shd w:val="clear" w:color="auto" w:fill="184897"/>
            <w:vAlign w:val="center"/>
          </w:tcPr>
          <w:p w:rsidR="00FE37D3" w:rsidRPr="007536D6" w:rsidRDefault="00FE37D3" w:rsidP="005E1DCB">
            <w:pPr>
              <w:pStyle w:val="TableHeading"/>
            </w:pPr>
            <w:r w:rsidRPr="007536D6">
              <w:t>Residential</w:t>
            </w:r>
          </w:p>
        </w:tc>
      </w:tr>
      <w:tr w:rsidR="00FE37D3" w:rsidRPr="00EE379B" w:rsidTr="005E1DCB">
        <w:tc>
          <w:tcPr>
            <w:tcW w:w="2127"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5E1DCB">
            <w:pPr>
              <w:pStyle w:val="TableBody"/>
            </w:pPr>
            <w:r w:rsidRPr="00EE379B">
              <w:t>Performance-Based Design Brief</w:t>
            </w:r>
          </w:p>
        </w:tc>
        <w:tc>
          <w:tcPr>
            <w:tcW w:w="1352"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4B2D3B">
            <w:pPr>
              <w:pStyle w:val="TableBody"/>
              <w:ind w:right="958"/>
              <w:jc w:val="right"/>
            </w:pPr>
            <w:r w:rsidRPr="00EE379B">
              <w:t>$</w:t>
            </w:r>
            <w:r>
              <w:t>2,799,360</w:t>
            </w:r>
          </w:p>
        </w:tc>
        <w:tc>
          <w:tcPr>
            <w:tcW w:w="1521"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4B2D3B">
            <w:pPr>
              <w:pStyle w:val="TableBody"/>
              <w:ind w:right="958"/>
              <w:jc w:val="right"/>
            </w:pPr>
            <w:r w:rsidRPr="00EE379B">
              <w:t>$789,264</w:t>
            </w:r>
          </w:p>
        </w:tc>
      </w:tr>
      <w:tr w:rsidR="00FE37D3" w:rsidRPr="00EE379B" w:rsidTr="005E1DCB">
        <w:tc>
          <w:tcPr>
            <w:tcW w:w="2127"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5E1DCB">
            <w:pPr>
              <w:pStyle w:val="TableBody"/>
            </w:pPr>
            <w:r w:rsidRPr="00EE379B">
              <w:t>Consultation</w:t>
            </w:r>
          </w:p>
        </w:tc>
        <w:tc>
          <w:tcPr>
            <w:tcW w:w="1352"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4B2D3B">
            <w:pPr>
              <w:pStyle w:val="TableBody"/>
              <w:ind w:right="958"/>
              <w:jc w:val="right"/>
            </w:pPr>
            <w:r w:rsidRPr="00EE379B">
              <w:t>$</w:t>
            </w:r>
            <w:r>
              <w:t>4,432,320</w:t>
            </w:r>
          </w:p>
        </w:tc>
        <w:tc>
          <w:tcPr>
            <w:tcW w:w="1521"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4B2D3B">
            <w:pPr>
              <w:pStyle w:val="TableBody"/>
              <w:ind w:right="958"/>
              <w:jc w:val="right"/>
            </w:pPr>
            <w:r w:rsidRPr="00EE379B">
              <w:t>$902,016</w:t>
            </w:r>
          </w:p>
        </w:tc>
      </w:tr>
      <w:tr w:rsidR="00FE37D3" w:rsidRPr="00EE379B" w:rsidTr="005E1DCB">
        <w:tc>
          <w:tcPr>
            <w:tcW w:w="2127"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5E1DCB">
            <w:pPr>
              <w:pStyle w:val="TableBody"/>
            </w:pPr>
            <w:r w:rsidRPr="00EE379B">
              <w:t>Testing and modelling</w:t>
            </w:r>
          </w:p>
        </w:tc>
        <w:tc>
          <w:tcPr>
            <w:tcW w:w="1352"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4B2D3B">
            <w:pPr>
              <w:pStyle w:val="TableBody"/>
              <w:ind w:right="958"/>
              <w:jc w:val="right"/>
            </w:pPr>
            <w:r w:rsidRPr="00EE379B">
              <w:t>$</w:t>
            </w:r>
            <w:r>
              <w:t>13,063,680</w:t>
            </w:r>
          </w:p>
        </w:tc>
        <w:tc>
          <w:tcPr>
            <w:tcW w:w="1521"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4B2D3B">
            <w:pPr>
              <w:pStyle w:val="TableBody"/>
              <w:ind w:right="958"/>
              <w:jc w:val="right"/>
            </w:pPr>
            <w:r w:rsidRPr="00EE379B">
              <w:t>$2,818,800</w:t>
            </w:r>
          </w:p>
        </w:tc>
      </w:tr>
      <w:tr w:rsidR="00FE37D3" w:rsidRPr="00EE379B" w:rsidTr="005E1DCB">
        <w:trPr>
          <w:trHeight w:val="56"/>
        </w:trPr>
        <w:tc>
          <w:tcPr>
            <w:tcW w:w="2127"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5E1DCB">
            <w:pPr>
              <w:pStyle w:val="TableBody"/>
            </w:pPr>
            <w:r w:rsidRPr="00EE379B">
              <w:t>Documentation</w:t>
            </w:r>
          </w:p>
        </w:tc>
        <w:tc>
          <w:tcPr>
            <w:tcW w:w="1352"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4B2D3B">
            <w:pPr>
              <w:pStyle w:val="TableBody"/>
              <w:ind w:right="958"/>
              <w:jc w:val="right"/>
            </w:pPr>
            <w:r w:rsidRPr="00EE379B">
              <w:t>$</w:t>
            </w:r>
            <w:r>
              <w:t>699,840</w:t>
            </w:r>
          </w:p>
        </w:tc>
        <w:tc>
          <w:tcPr>
            <w:tcW w:w="1521"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4B2D3B">
            <w:pPr>
              <w:pStyle w:val="TableBody"/>
              <w:ind w:right="958"/>
              <w:jc w:val="right"/>
            </w:pPr>
            <w:r w:rsidRPr="00EE379B">
              <w:t>$225,504</w:t>
            </w:r>
          </w:p>
        </w:tc>
      </w:tr>
      <w:tr w:rsidR="00FE37D3" w:rsidRPr="00EE379B" w:rsidTr="005E1DCB">
        <w:tc>
          <w:tcPr>
            <w:tcW w:w="2127"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5E1DCB">
            <w:pPr>
              <w:pStyle w:val="TableBody"/>
            </w:pPr>
            <w:r w:rsidRPr="00EE379B">
              <w:t>Total Annual Cost</w:t>
            </w:r>
          </w:p>
        </w:tc>
        <w:tc>
          <w:tcPr>
            <w:tcW w:w="1352"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4B2D3B">
            <w:pPr>
              <w:pStyle w:val="TableBody"/>
              <w:ind w:right="958"/>
              <w:jc w:val="right"/>
            </w:pPr>
            <w:r>
              <w:t>$20,995,200</w:t>
            </w:r>
          </w:p>
        </w:tc>
        <w:tc>
          <w:tcPr>
            <w:tcW w:w="1521"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4B2D3B">
            <w:pPr>
              <w:pStyle w:val="TableBody"/>
              <w:ind w:right="958"/>
              <w:jc w:val="right"/>
            </w:pPr>
            <w:r w:rsidRPr="00EE379B">
              <w:t>$4,735,584</w:t>
            </w:r>
          </w:p>
        </w:tc>
      </w:tr>
      <w:tr w:rsidR="00FE37D3" w:rsidRPr="00EE379B" w:rsidTr="005E1DCB">
        <w:tc>
          <w:tcPr>
            <w:tcW w:w="2127" w:type="pct"/>
            <w:tcBorders>
              <w:top w:val="single" w:sz="4" w:space="0" w:color="184897"/>
              <w:left w:val="nil"/>
              <w:bottom w:val="single" w:sz="4" w:space="0" w:color="184897"/>
              <w:right w:val="nil"/>
            </w:tcBorders>
            <w:shd w:val="clear" w:color="auto" w:fill="FFFFFF" w:themeFill="background1"/>
            <w:vAlign w:val="center"/>
          </w:tcPr>
          <w:p w:rsidR="00FE37D3" w:rsidRPr="009C667B" w:rsidRDefault="00FE37D3" w:rsidP="005E1DCB">
            <w:pPr>
              <w:pStyle w:val="TableBody"/>
              <w:rPr>
                <w:b/>
              </w:rPr>
            </w:pPr>
            <w:r w:rsidRPr="009C667B">
              <w:rPr>
                <w:b/>
              </w:rPr>
              <w:t>Present Value Cost</w:t>
            </w:r>
          </w:p>
        </w:tc>
        <w:tc>
          <w:tcPr>
            <w:tcW w:w="1352"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4B2D3B">
            <w:pPr>
              <w:pStyle w:val="TableBody"/>
              <w:ind w:right="958"/>
              <w:jc w:val="right"/>
              <w:rPr>
                <w:b/>
              </w:rPr>
            </w:pPr>
            <w:r w:rsidRPr="00EE379B">
              <w:rPr>
                <w:b/>
              </w:rPr>
              <w:t>$</w:t>
            </w:r>
            <w:r>
              <w:rPr>
                <w:b/>
              </w:rPr>
              <w:t>157,783,804</w:t>
            </w:r>
          </w:p>
        </w:tc>
        <w:tc>
          <w:tcPr>
            <w:tcW w:w="1521" w:type="pct"/>
            <w:tcBorders>
              <w:top w:val="single" w:sz="4" w:space="0" w:color="184897"/>
              <w:left w:val="nil"/>
              <w:bottom w:val="single" w:sz="4" w:space="0" w:color="184897"/>
              <w:right w:val="nil"/>
            </w:tcBorders>
            <w:shd w:val="clear" w:color="auto" w:fill="FFFFFF" w:themeFill="background1"/>
            <w:vAlign w:val="center"/>
          </w:tcPr>
          <w:p w:rsidR="00FE37D3" w:rsidRPr="00EE379B" w:rsidRDefault="00FE37D3" w:rsidP="004B2D3B">
            <w:pPr>
              <w:pStyle w:val="TableBody"/>
              <w:ind w:right="958"/>
              <w:jc w:val="right"/>
            </w:pPr>
            <w:r w:rsidRPr="00EE379B">
              <w:rPr>
                <w:b/>
              </w:rPr>
              <w:t>$35,589,014</w:t>
            </w:r>
          </w:p>
        </w:tc>
      </w:tr>
    </w:tbl>
    <w:p w:rsidR="00FE37D3" w:rsidRDefault="00FE37D3" w:rsidP="005E1DCB">
      <w:pPr>
        <w:spacing w:before="120" w:after="120"/>
      </w:pPr>
    </w:p>
    <w:p w:rsidR="00FE37D3" w:rsidRDefault="00FE37D3" w:rsidP="005E1DCB">
      <w:pPr>
        <w:pStyle w:val="Caption"/>
      </w:pPr>
      <w:r>
        <w:t xml:space="preserve">Table </w:t>
      </w:r>
      <w:r>
        <w:rPr>
          <w:noProof/>
        </w:rPr>
        <w:fldChar w:fldCharType="begin"/>
      </w:r>
      <w:r>
        <w:rPr>
          <w:noProof/>
        </w:rPr>
        <w:instrText xml:space="preserve"> SEQ Table \* ARABIC </w:instrText>
      </w:r>
      <w:r>
        <w:rPr>
          <w:noProof/>
        </w:rPr>
        <w:fldChar w:fldCharType="separate"/>
      </w:r>
      <w:r w:rsidR="002D1698">
        <w:rPr>
          <w:noProof/>
        </w:rPr>
        <w:t>8</w:t>
      </w:r>
      <w:r>
        <w:rPr>
          <w:noProof/>
        </w:rPr>
        <w:fldChar w:fldCharType="end"/>
      </w:r>
      <w:r w:rsidRPr="007536D6">
        <w:t xml:space="preserve"> Estimate of marginal annual cost for proportion not adequately undertaking a component of the process</w:t>
      </w:r>
    </w:p>
    <w:tbl>
      <w:tblPr>
        <w:tblStyle w:val="TableGrid"/>
        <w:tblW w:w="5000" w:type="pct"/>
        <w:shd w:val="clear" w:color="auto" w:fill="184897"/>
        <w:tblLook w:val="04A0" w:firstRow="1" w:lastRow="0" w:firstColumn="1" w:lastColumn="0" w:noHBand="0" w:noVBand="1"/>
        <w:tblCaption w:val="Table 11 Estimate of marginal annual cost for proportion not adequately undertaking a component of the process"/>
      </w:tblPr>
      <w:tblGrid>
        <w:gridCol w:w="3858"/>
        <w:gridCol w:w="2453"/>
        <w:gridCol w:w="2759"/>
      </w:tblGrid>
      <w:tr w:rsidR="00FE37D3" w:rsidRPr="00EE379B" w:rsidTr="003756FF">
        <w:trPr>
          <w:tblHeader/>
        </w:trPr>
        <w:tc>
          <w:tcPr>
            <w:tcW w:w="2127" w:type="pct"/>
            <w:tcBorders>
              <w:top w:val="nil"/>
              <w:left w:val="nil"/>
              <w:bottom w:val="nil"/>
              <w:right w:val="nil"/>
            </w:tcBorders>
            <w:shd w:val="clear" w:color="auto" w:fill="184897"/>
            <w:vAlign w:val="center"/>
          </w:tcPr>
          <w:p w:rsidR="00FE37D3" w:rsidRPr="007536D6" w:rsidRDefault="00FE37D3" w:rsidP="005E1DCB">
            <w:pPr>
              <w:pStyle w:val="TableHeading"/>
              <w:keepLines/>
            </w:pPr>
            <w:r w:rsidRPr="007536D6">
              <w:t>Component</w:t>
            </w:r>
          </w:p>
        </w:tc>
        <w:tc>
          <w:tcPr>
            <w:tcW w:w="1352" w:type="pct"/>
            <w:tcBorders>
              <w:top w:val="nil"/>
              <w:left w:val="nil"/>
              <w:bottom w:val="nil"/>
              <w:right w:val="nil"/>
            </w:tcBorders>
            <w:shd w:val="clear" w:color="auto" w:fill="184897"/>
            <w:vAlign w:val="center"/>
          </w:tcPr>
          <w:p w:rsidR="00FE37D3" w:rsidRPr="007536D6" w:rsidRDefault="00FE37D3" w:rsidP="005E1DCB">
            <w:pPr>
              <w:pStyle w:val="TableHeading"/>
              <w:keepLines/>
            </w:pPr>
            <w:r w:rsidRPr="007536D6">
              <w:t>Commercial</w:t>
            </w:r>
          </w:p>
        </w:tc>
        <w:tc>
          <w:tcPr>
            <w:tcW w:w="1521" w:type="pct"/>
            <w:tcBorders>
              <w:top w:val="nil"/>
              <w:left w:val="nil"/>
              <w:bottom w:val="nil"/>
              <w:right w:val="nil"/>
            </w:tcBorders>
            <w:shd w:val="clear" w:color="auto" w:fill="184897"/>
            <w:vAlign w:val="center"/>
          </w:tcPr>
          <w:p w:rsidR="00FE37D3" w:rsidRPr="007536D6" w:rsidRDefault="00FE37D3" w:rsidP="005E1DCB">
            <w:pPr>
              <w:pStyle w:val="TableHeading"/>
              <w:keepLines/>
            </w:pPr>
            <w:r w:rsidRPr="007536D6">
              <w:t>Residential</w:t>
            </w:r>
          </w:p>
        </w:tc>
      </w:tr>
      <w:tr w:rsidR="00FE37D3" w:rsidRPr="00EE379B" w:rsidTr="005E1DCB">
        <w:tc>
          <w:tcPr>
            <w:tcW w:w="2127" w:type="pct"/>
            <w:tcBorders>
              <w:top w:val="nil"/>
              <w:left w:val="nil"/>
              <w:bottom w:val="single" w:sz="4" w:space="0" w:color="184897"/>
              <w:right w:val="nil"/>
            </w:tcBorders>
            <w:shd w:val="clear" w:color="auto" w:fill="auto"/>
            <w:vAlign w:val="center"/>
          </w:tcPr>
          <w:p w:rsidR="00FE37D3" w:rsidRPr="00EE379B" w:rsidRDefault="00FE37D3" w:rsidP="005E1DCB">
            <w:pPr>
              <w:pStyle w:val="TableBody"/>
              <w:keepNext/>
              <w:keepLines/>
            </w:pPr>
            <w:r w:rsidRPr="00EE379B">
              <w:t>Performance-Based Design Brief</w:t>
            </w:r>
          </w:p>
        </w:tc>
        <w:tc>
          <w:tcPr>
            <w:tcW w:w="1352" w:type="pct"/>
            <w:tcBorders>
              <w:top w:val="nil"/>
              <w:left w:val="nil"/>
              <w:bottom w:val="single" w:sz="4" w:space="0" w:color="184897"/>
              <w:right w:val="nil"/>
            </w:tcBorders>
            <w:shd w:val="clear" w:color="auto" w:fill="auto"/>
          </w:tcPr>
          <w:p w:rsidR="00FE37D3" w:rsidRPr="00EE379B" w:rsidRDefault="00FE37D3" w:rsidP="005E1DCB">
            <w:pPr>
              <w:pStyle w:val="TableBody"/>
              <w:keepNext/>
              <w:keepLines/>
            </w:pPr>
            <w:r w:rsidRPr="00F02E1E">
              <w:t>$</w:t>
            </w:r>
            <w:r>
              <w:t>944,640</w:t>
            </w:r>
          </w:p>
        </w:tc>
        <w:tc>
          <w:tcPr>
            <w:tcW w:w="1521" w:type="pct"/>
            <w:tcBorders>
              <w:top w:val="nil"/>
              <w:left w:val="nil"/>
              <w:bottom w:val="single" w:sz="4" w:space="0" w:color="184897"/>
              <w:right w:val="nil"/>
            </w:tcBorders>
            <w:shd w:val="clear" w:color="auto" w:fill="auto"/>
          </w:tcPr>
          <w:p w:rsidR="00FE37D3" w:rsidRPr="00EE379B" w:rsidRDefault="00FE37D3" w:rsidP="005E1DCB">
            <w:pPr>
              <w:pStyle w:val="TableBody"/>
              <w:keepNext/>
              <w:keepLines/>
            </w:pPr>
            <w:r w:rsidRPr="00F02E1E">
              <w:t>$103,008</w:t>
            </w:r>
          </w:p>
        </w:tc>
      </w:tr>
      <w:tr w:rsidR="00FE37D3" w:rsidRPr="00EE379B" w:rsidTr="005E1DCB">
        <w:tc>
          <w:tcPr>
            <w:tcW w:w="2127" w:type="pct"/>
            <w:tcBorders>
              <w:top w:val="single" w:sz="4" w:space="0" w:color="184897"/>
              <w:left w:val="nil"/>
              <w:bottom w:val="single" w:sz="4" w:space="0" w:color="184897"/>
              <w:right w:val="nil"/>
            </w:tcBorders>
            <w:shd w:val="clear" w:color="auto" w:fill="auto"/>
            <w:vAlign w:val="center"/>
          </w:tcPr>
          <w:p w:rsidR="00FE37D3" w:rsidRPr="00EE379B" w:rsidRDefault="00FE37D3" w:rsidP="005E1DCB">
            <w:pPr>
              <w:pStyle w:val="TableBody"/>
              <w:keepNext/>
              <w:keepLines/>
            </w:pPr>
            <w:r w:rsidRPr="00EE379B">
              <w:t>Consultation</w:t>
            </w:r>
          </w:p>
        </w:tc>
        <w:tc>
          <w:tcPr>
            <w:tcW w:w="1352" w:type="pct"/>
            <w:tcBorders>
              <w:top w:val="single" w:sz="4" w:space="0" w:color="184897"/>
              <w:left w:val="nil"/>
              <w:bottom w:val="single" w:sz="4" w:space="0" w:color="184897"/>
              <w:right w:val="nil"/>
            </w:tcBorders>
            <w:shd w:val="clear" w:color="auto" w:fill="auto"/>
          </w:tcPr>
          <w:p w:rsidR="00FE37D3" w:rsidRPr="00EE379B" w:rsidRDefault="00FE37D3" w:rsidP="005E1DCB">
            <w:pPr>
              <w:pStyle w:val="TableBody"/>
              <w:keepNext/>
              <w:keepLines/>
            </w:pPr>
            <w:r w:rsidRPr="00F02E1E">
              <w:t>$</w:t>
            </w:r>
            <w:r>
              <w:t>691,200</w:t>
            </w:r>
          </w:p>
        </w:tc>
        <w:tc>
          <w:tcPr>
            <w:tcW w:w="1521" w:type="pct"/>
            <w:tcBorders>
              <w:top w:val="single" w:sz="4" w:space="0" w:color="184897"/>
              <w:left w:val="nil"/>
              <w:bottom w:val="single" w:sz="4" w:space="0" w:color="184897"/>
              <w:right w:val="nil"/>
            </w:tcBorders>
            <w:shd w:val="clear" w:color="auto" w:fill="auto"/>
          </w:tcPr>
          <w:p w:rsidR="00FE37D3" w:rsidRPr="00EE379B" w:rsidRDefault="00FE37D3" w:rsidP="005E1DCB">
            <w:pPr>
              <w:pStyle w:val="TableBody"/>
              <w:keepNext/>
              <w:keepLines/>
            </w:pPr>
            <w:r w:rsidRPr="00F02E1E">
              <w:t>$141,984</w:t>
            </w:r>
          </w:p>
        </w:tc>
      </w:tr>
      <w:tr w:rsidR="00FE37D3" w:rsidRPr="00EE379B" w:rsidTr="005E1DCB">
        <w:tc>
          <w:tcPr>
            <w:tcW w:w="2127" w:type="pct"/>
            <w:tcBorders>
              <w:top w:val="single" w:sz="4" w:space="0" w:color="184897"/>
              <w:left w:val="nil"/>
              <w:bottom w:val="single" w:sz="4" w:space="0" w:color="184897"/>
              <w:right w:val="nil"/>
            </w:tcBorders>
            <w:shd w:val="clear" w:color="auto" w:fill="auto"/>
            <w:vAlign w:val="center"/>
          </w:tcPr>
          <w:p w:rsidR="00FE37D3" w:rsidRPr="00EE379B" w:rsidRDefault="00FE37D3" w:rsidP="005E1DCB">
            <w:pPr>
              <w:pStyle w:val="TableBody"/>
              <w:keepNext/>
              <w:keepLines/>
            </w:pPr>
            <w:r w:rsidRPr="00EE379B">
              <w:t>Testing and modelling</w:t>
            </w:r>
          </w:p>
        </w:tc>
        <w:tc>
          <w:tcPr>
            <w:tcW w:w="1352" w:type="pct"/>
            <w:tcBorders>
              <w:top w:val="single" w:sz="4" w:space="0" w:color="184897"/>
              <w:left w:val="nil"/>
              <w:bottom w:val="single" w:sz="4" w:space="0" w:color="184897"/>
              <w:right w:val="nil"/>
            </w:tcBorders>
            <w:shd w:val="clear" w:color="auto" w:fill="auto"/>
          </w:tcPr>
          <w:p w:rsidR="00FE37D3" w:rsidRPr="00EE379B" w:rsidRDefault="00FE37D3" w:rsidP="005E1DCB">
            <w:pPr>
              <w:pStyle w:val="TableBody"/>
              <w:keepNext/>
              <w:keepLines/>
            </w:pPr>
            <w:r w:rsidRPr="00F02E1E">
              <w:t>$</w:t>
            </w:r>
            <w:r>
              <w:t>2,972,160</w:t>
            </w:r>
          </w:p>
        </w:tc>
        <w:tc>
          <w:tcPr>
            <w:tcW w:w="1521" w:type="pct"/>
            <w:tcBorders>
              <w:top w:val="single" w:sz="4" w:space="0" w:color="184897"/>
              <w:left w:val="nil"/>
              <w:bottom w:val="single" w:sz="4" w:space="0" w:color="184897"/>
              <w:right w:val="nil"/>
            </w:tcBorders>
            <w:shd w:val="clear" w:color="auto" w:fill="auto"/>
          </w:tcPr>
          <w:p w:rsidR="00FE37D3" w:rsidRPr="00EE379B" w:rsidRDefault="00FE37D3" w:rsidP="005E1DCB">
            <w:pPr>
              <w:pStyle w:val="TableBody"/>
              <w:keepNext/>
              <w:keepLines/>
            </w:pPr>
            <w:r w:rsidRPr="00F02E1E">
              <w:t>$257,520</w:t>
            </w:r>
          </w:p>
        </w:tc>
      </w:tr>
      <w:tr w:rsidR="00FE37D3" w:rsidRPr="00EE379B" w:rsidTr="005E1DCB">
        <w:trPr>
          <w:trHeight w:val="56"/>
        </w:trPr>
        <w:tc>
          <w:tcPr>
            <w:tcW w:w="2127" w:type="pct"/>
            <w:tcBorders>
              <w:top w:val="single" w:sz="4" w:space="0" w:color="184897"/>
              <w:left w:val="nil"/>
              <w:bottom w:val="single" w:sz="4" w:space="0" w:color="184897"/>
              <w:right w:val="nil"/>
            </w:tcBorders>
            <w:shd w:val="clear" w:color="auto" w:fill="auto"/>
            <w:vAlign w:val="center"/>
          </w:tcPr>
          <w:p w:rsidR="00FE37D3" w:rsidRPr="00EE379B" w:rsidRDefault="00FE37D3" w:rsidP="005E1DCB">
            <w:pPr>
              <w:pStyle w:val="TableBody"/>
              <w:keepNext/>
              <w:keepLines/>
            </w:pPr>
            <w:r w:rsidRPr="00EE379B">
              <w:t>Documentation</w:t>
            </w:r>
          </w:p>
        </w:tc>
        <w:tc>
          <w:tcPr>
            <w:tcW w:w="1352" w:type="pct"/>
            <w:tcBorders>
              <w:top w:val="single" w:sz="4" w:space="0" w:color="184897"/>
              <w:left w:val="nil"/>
              <w:bottom w:val="single" w:sz="4" w:space="0" w:color="184897"/>
              <w:right w:val="nil"/>
            </w:tcBorders>
            <w:shd w:val="clear" w:color="auto" w:fill="auto"/>
          </w:tcPr>
          <w:p w:rsidR="00FE37D3" w:rsidRPr="00EE379B" w:rsidRDefault="00FE37D3" w:rsidP="005E1DCB">
            <w:pPr>
              <w:pStyle w:val="TableBody"/>
              <w:keepNext/>
              <w:keepLines/>
            </w:pPr>
            <w:r w:rsidRPr="00F02E1E">
              <w:t>$</w:t>
            </w:r>
            <w:r>
              <w:t>247,680</w:t>
            </w:r>
          </w:p>
        </w:tc>
        <w:tc>
          <w:tcPr>
            <w:tcW w:w="1521" w:type="pct"/>
            <w:tcBorders>
              <w:top w:val="single" w:sz="4" w:space="0" w:color="184897"/>
              <w:left w:val="nil"/>
              <w:bottom w:val="single" w:sz="4" w:space="0" w:color="184897"/>
              <w:right w:val="nil"/>
            </w:tcBorders>
            <w:shd w:val="clear" w:color="auto" w:fill="auto"/>
          </w:tcPr>
          <w:p w:rsidR="00FE37D3" w:rsidRPr="00EE379B" w:rsidRDefault="00FE37D3" w:rsidP="005E1DCB">
            <w:pPr>
              <w:pStyle w:val="TableBody"/>
              <w:keepNext/>
              <w:keepLines/>
            </w:pPr>
            <w:r w:rsidRPr="00F02E1E">
              <w:t>$57,072</w:t>
            </w:r>
          </w:p>
        </w:tc>
      </w:tr>
      <w:tr w:rsidR="00FE37D3" w:rsidRPr="00EE379B" w:rsidTr="005E1DCB">
        <w:tc>
          <w:tcPr>
            <w:tcW w:w="2127" w:type="pct"/>
            <w:tcBorders>
              <w:top w:val="single" w:sz="4" w:space="0" w:color="184897"/>
              <w:left w:val="nil"/>
              <w:bottom w:val="single" w:sz="4" w:space="0" w:color="184897"/>
              <w:right w:val="nil"/>
            </w:tcBorders>
            <w:shd w:val="clear" w:color="auto" w:fill="auto"/>
            <w:vAlign w:val="center"/>
          </w:tcPr>
          <w:p w:rsidR="00FE37D3" w:rsidRPr="00EE379B" w:rsidRDefault="00FE37D3" w:rsidP="005E1DCB">
            <w:pPr>
              <w:pStyle w:val="TableBody"/>
              <w:keepNext/>
              <w:keepLines/>
            </w:pPr>
            <w:r w:rsidRPr="00EE379B">
              <w:t>Total Annual Cost</w:t>
            </w:r>
          </w:p>
        </w:tc>
        <w:tc>
          <w:tcPr>
            <w:tcW w:w="1352" w:type="pct"/>
            <w:tcBorders>
              <w:top w:val="single" w:sz="4" w:space="0" w:color="184897"/>
              <w:left w:val="nil"/>
              <w:bottom w:val="single" w:sz="4" w:space="0" w:color="184897"/>
              <w:right w:val="nil"/>
            </w:tcBorders>
            <w:shd w:val="clear" w:color="auto" w:fill="auto"/>
          </w:tcPr>
          <w:p w:rsidR="00FE37D3" w:rsidRPr="00EE379B" w:rsidRDefault="00FE37D3" w:rsidP="005E1DCB">
            <w:pPr>
              <w:pStyle w:val="TableBody"/>
              <w:keepNext/>
              <w:keepLines/>
            </w:pPr>
            <w:r w:rsidRPr="00F02E1E">
              <w:t>$</w:t>
            </w:r>
            <w:r>
              <w:t>4,855,680</w:t>
            </w:r>
          </w:p>
        </w:tc>
        <w:tc>
          <w:tcPr>
            <w:tcW w:w="1521" w:type="pct"/>
            <w:tcBorders>
              <w:top w:val="single" w:sz="4" w:space="0" w:color="184897"/>
              <w:left w:val="nil"/>
              <w:bottom w:val="single" w:sz="4" w:space="0" w:color="184897"/>
              <w:right w:val="nil"/>
            </w:tcBorders>
            <w:shd w:val="clear" w:color="auto" w:fill="auto"/>
          </w:tcPr>
          <w:p w:rsidR="00FE37D3" w:rsidRPr="00EE379B" w:rsidRDefault="00FE37D3" w:rsidP="005E1DCB">
            <w:pPr>
              <w:pStyle w:val="TableBody"/>
              <w:keepNext/>
              <w:keepLines/>
            </w:pPr>
            <w:r w:rsidRPr="00F02E1E">
              <w:t>$559,584</w:t>
            </w:r>
          </w:p>
        </w:tc>
      </w:tr>
      <w:tr w:rsidR="00FE37D3" w:rsidRPr="00EE379B" w:rsidTr="005E1DCB">
        <w:tc>
          <w:tcPr>
            <w:tcW w:w="2127" w:type="pct"/>
            <w:tcBorders>
              <w:top w:val="single" w:sz="4" w:space="0" w:color="184897"/>
              <w:left w:val="nil"/>
              <w:bottom w:val="single" w:sz="4" w:space="0" w:color="184897"/>
              <w:right w:val="nil"/>
            </w:tcBorders>
            <w:shd w:val="clear" w:color="auto" w:fill="auto"/>
            <w:vAlign w:val="center"/>
          </w:tcPr>
          <w:p w:rsidR="00FE37D3" w:rsidRPr="009C667B" w:rsidRDefault="00FE37D3" w:rsidP="005E1DCB">
            <w:pPr>
              <w:pStyle w:val="TableBody"/>
              <w:keepNext/>
              <w:keepLines/>
              <w:rPr>
                <w:b/>
              </w:rPr>
            </w:pPr>
            <w:r w:rsidRPr="009C667B">
              <w:rPr>
                <w:b/>
              </w:rPr>
              <w:t>Present Value Cost</w:t>
            </w:r>
          </w:p>
        </w:tc>
        <w:tc>
          <w:tcPr>
            <w:tcW w:w="1352" w:type="pct"/>
            <w:tcBorders>
              <w:top w:val="single" w:sz="4" w:space="0" w:color="184897"/>
              <w:left w:val="nil"/>
              <w:bottom w:val="single" w:sz="4" w:space="0" w:color="184897"/>
              <w:right w:val="nil"/>
            </w:tcBorders>
            <w:shd w:val="clear" w:color="auto" w:fill="auto"/>
          </w:tcPr>
          <w:p w:rsidR="00FE37D3" w:rsidRPr="00EE379B" w:rsidRDefault="00FE37D3" w:rsidP="005E1DCB">
            <w:pPr>
              <w:pStyle w:val="TableBody"/>
              <w:keepNext/>
              <w:keepLines/>
              <w:rPr>
                <w:b/>
              </w:rPr>
            </w:pPr>
            <w:r w:rsidRPr="00F02E1E">
              <w:rPr>
                <w:b/>
              </w:rPr>
              <w:t>$</w:t>
            </w:r>
            <w:r>
              <w:rPr>
                <w:b/>
              </w:rPr>
              <w:t>36,491,563</w:t>
            </w:r>
          </w:p>
        </w:tc>
        <w:tc>
          <w:tcPr>
            <w:tcW w:w="1521" w:type="pct"/>
            <w:tcBorders>
              <w:top w:val="single" w:sz="4" w:space="0" w:color="184897"/>
              <w:left w:val="nil"/>
              <w:bottom w:val="single" w:sz="4" w:space="0" w:color="184897"/>
              <w:right w:val="nil"/>
            </w:tcBorders>
            <w:shd w:val="clear" w:color="auto" w:fill="auto"/>
          </w:tcPr>
          <w:p w:rsidR="00FE37D3" w:rsidRPr="00F02E1E" w:rsidRDefault="00FE37D3" w:rsidP="005E1DCB">
            <w:pPr>
              <w:pStyle w:val="TableBody"/>
              <w:keepNext/>
              <w:keepLines/>
              <w:rPr>
                <w:b/>
              </w:rPr>
            </w:pPr>
            <w:r w:rsidRPr="00F02E1E">
              <w:rPr>
                <w:b/>
              </w:rPr>
              <w:t>$4,205,404</w:t>
            </w:r>
          </w:p>
        </w:tc>
      </w:tr>
    </w:tbl>
    <w:p w:rsidR="00FE37D3" w:rsidRPr="00885368" w:rsidRDefault="00FE37D3" w:rsidP="005E1DCB">
      <w:pPr>
        <w:spacing w:before="120" w:after="120"/>
        <w:rPr>
          <w:rFonts w:asciiTheme="minorHAnsi" w:hAnsiTheme="minorHAnsi" w:cstheme="minorHAnsi"/>
          <w:sz w:val="18"/>
        </w:rPr>
      </w:pPr>
      <w:r w:rsidRPr="00885368">
        <w:rPr>
          <w:rFonts w:asciiTheme="minorHAnsi" w:hAnsiTheme="minorHAnsi" w:cstheme="minorHAnsi"/>
          <w:sz w:val="18"/>
        </w:rPr>
        <w:t xml:space="preserve">Note: Present Values have been calculated using a 7% discount rate over a 10 year period. </w:t>
      </w:r>
    </w:p>
    <w:p w:rsidR="00FE37D3" w:rsidRPr="00EE379B" w:rsidRDefault="00FE37D3" w:rsidP="00FB0E0C">
      <w:pPr>
        <w:rPr>
          <w:rFonts w:asciiTheme="minorHAnsi" w:hAnsiTheme="minorHAnsi" w:cstheme="minorHAnsi"/>
        </w:rPr>
      </w:pPr>
      <w:r w:rsidRPr="0009712C">
        <w:rPr>
          <w:rFonts w:asciiTheme="minorHAnsi" w:hAnsiTheme="minorHAnsi" w:cstheme="minorHAnsi"/>
        </w:rPr>
        <w:t>The total aggregate annual cost is estimated to be $31,146,048</w:t>
      </w:r>
      <w:r w:rsidRPr="0009712C">
        <w:rPr>
          <w:rStyle w:val="FootnoteReference"/>
          <w:rFonts w:asciiTheme="minorHAnsi" w:hAnsiTheme="minorHAnsi" w:cstheme="minorHAnsi"/>
        </w:rPr>
        <w:footnoteReference w:id="51"/>
      </w:r>
      <w:r w:rsidRPr="0009712C">
        <w:rPr>
          <w:rFonts w:asciiTheme="minorHAnsi" w:hAnsiTheme="minorHAnsi" w:cstheme="minorHAnsi"/>
        </w:rPr>
        <w:t xml:space="preserve"> or $234,069,785</w:t>
      </w:r>
      <w:r w:rsidRPr="0009712C">
        <w:rPr>
          <w:rStyle w:val="FootnoteReference"/>
          <w:rFonts w:asciiTheme="minorHAnsi" w:hAnsiTheme="minorHAnsi" w:cstheme="minorHAnsi"/>
        </w:rPr>
        <w:footnoteReference w:id="52"/>
      </w:r>
      <w:r w:rsidRPr="0009712C">
        <w:rPr>
          <w:rFonts w:asciiTheme="minorHAnsi" w:hAnsiTheme="minorHAnsi" w:cstheme="minorHAnsi"/>
        </w:rPr>
        <w:t xml:space="preserve"> in Present Value terms.</w:t>
      </w:r>
      <w:r w:rsidRPr="00EE379B">
        <w:rPr>
          <w:rFonts w:asciiTheme="minorHAnsi" w:hAnsiTheme="minorHAnsi" w:cstheme="minorHAnsi"/>
        </w:rPr>
        <w:t xml:space="preserve"> These impacts will not be distributed equally on all Per</w:t>
      </w:r>
      <w:r>
        <w:rPr>
          <w:rFonts w:asciiTheme="minorHAnsi" w:hAnsiTheme="minorHAnsi" w:cstheme="minorHAnsi"/>
        </w:rPr>
        <w:t xml:space="preserve">formance </w:t>
      </w:r>
      <w:r>
        <w:rPr>
          <w:rFonts w:asciiTheme="minorHAnsi" w:hAnsiTheme="minorHAnsi" w:cstheme="minorHAnsi"/>
        </w:rPr>
        <w:lastRenderedPageBreak/>
        <w:t xml:space="preserve">Solutions and can be assumed to reduce to zero the closer </w:t>
      </w:r>
      <w:r w:rsidRPr="00EE379B">
        <w:rPr>
          <w:rFonts w:asciiTheme="minorHAnsi" w:hAnsiTheme="minorHAnsi" w:cstheme="minorHAnsi"/>
        </w:rPr>
        <w:t>current processes</w:t>
      </w:r>
      <w:r>
        <w:rPr>
          <w:rFonts w:asciiTheme="minorHAnsi" w:hAnsiTheme="minorHAnsi" w:cstheme="minorHAnsi"/>
        </w:rPr>
        <w:t xml:space="preserve"> reflect the proposal</w:t>
      </w:r>
      <w:r w:rsidRPr="00EE379B">
        <w:rPr>
          <w:rFonts w:asciiTheme="minorHAnsi" w:hAnsiTheme="minorHAnsi" w:cstheme="minorHAnsi"/>
        </w:rPr>
        <w:t>.</w:t>
      </w:r>
      <w:r>
        <w:rPr>
          <w:rFonts w:asciiTheme="minorHAnsi" w:hAnsiTheme="minorHAnsi" w:cstheme="minorHAnsi"/>
        </w:rPr>
        <w:t xml:space="preserve"> </w:t>
      </w:r>
    </w:p>
    <w:p w:rsidR="00FE37D3" w:rsidRPr="00D57087" w:rsidRDefault="00FE37D3" w:rsidP="00CB0F62">
      <w:pPr>
        <w:pStyle w:val="Heading4"/>
      </w:pPr>
      <w:r w:rsidRPr="00D57087">
        <w:t>Qualitative Benefits</w:t>
      </w:r>
    </w:p>
    <w:p w:rsidR="00FE37D3" w:rsidRPr="00EE379B" w:rsidRDefault="00FE37D3" w:rsidP="00FB0E0C">
      <w:pPr>
        <w:rPr>
          <w:rFonts w:asciiTheme="minorHAnsi" w:hAnsiTheme="minorHAnsi" w:cstheme="minorHAnsi"/>
        </w:rPr>
      </w:pPr>
      <w:r w:rsidRPr="00EE379B">
        <w:rPr>
          <w:rFonts w:asciiTheme="minorHAnsi" w:hAnsiTheme="minorHAnsi" w:cstheme="minorHAnsi"/>
        </w:rPr>
        <w:t>A national process helps ensure variations are minimised in both the process and guidance around the development of Performance Solutions that meet the NCC.</w:t>
      </w:r>
      <w:r>
        <w:rPr>
          <w:rFonts w:asciiTheme="minorHAnsi" w:hAnsiTheme="minorHAnsi" w:cstheme="minorHAnsi"/>
        </w:rPr>
        <w:t xml:space="preserve"> </w:t>
      </w:r>
      <w:r w:rsidRPr="00EE379B">
        <w:rPr>
          <w:rFonts w:asciiTheme="minorHAnsi" w:hAnsiTheme="minorHAnsi" w:cstheme="minorHAnsi"/>
          <w:lang w:val="en"/>
        </w:rPr>
        <w:t xml:space="preserve">Stakeholders have expressed higher confidence in the </w:t>
      </w:r>
      <w:r w:rsidR="00685804">
        <w:rPr>
          <w:rFonts w:asciiTheme="minorHAnsi" w:hAnsiTheme="minorHAnsi" w:cstheme="minorHAnsi"/>
          <w:lang w:val="en"/>
        </w:rPr>
        <w:t>o</w:t>
      </w:r>
      <w:r w:rsidRPr="00EE379B">
        <w:rPr>
          <w:rFonts w:asciiTheme="minorHAnsi" w:hAnsiTheme="minorHAnsi" w:cstheme="minorHAnsi"/>
          <w:lang w:val="en"/>
        </w:rPr>
        <w:t xml:space="preserve">bjectives of the NCC being met where the proposed process is followed. </w:t>
      </w:r>
      <w:r w:rsidRPr="00EE379B">
        <w:rPr>
          <w:rFonts w:asciiTheme="minorHAnsi" w:hAnsiTheme="minorHAnsi" w:cstheme="minorHAnsi"/>
        </w:rPr>
        <w:t>State and territory governments will benefit from not having to maintain separate legislation and guidance material.</w:t>
      </w:r>
      <w:r>
        <w:rPr>
          <w:rFonts w:asciiTheme="minorHAnsi" w:hAnsiTheme="minorHAnsi" w:cstheme="minorHAnsi"/>
        </w:rPr>
        <w:t xml:space="preserve"> </w:t>
      </w:r>
      <w:r w:rsidRPr="00EE379B">
        <w:rPr>
          <w:rFonts w:asciiTheme="minorHAnsi" w:hAnsiTheme="minorHAnsi" w:cstheme="minorHAnsi"/>
        </w:rPr>
        <w:t xml:space="preserve">The ABCB survey asked respondents to </w:t>
      </w:r>
      <w:r>
        <w:rPr>
          <w:rFonts w:asciiTheme="minorHAnsi" w:hAnsiTheme="minorHAnsi" w:cstheme="minorHAnsi"/>
        </w:rPr>
        <w:t>advise</w:t>
      </w:r>
      <w:r w:rsidRPr="00EE379B">
        <w:rPr>
          <w:rFonts w:asciiTheme="minorHAnsi" w:hAnsiTheme="minorHAnsi" w:cstheme="minorHAnsi"/>
        </w:rPr>
        <w:t xml:space="preserve"> the extent that the steps identified in the ABCB </w:t>
      </w:r>
      <w:r w:rsidR="00056590">
        <w:rPr>
          <w:rFonts w:asciiTheme="minorHAnsi" w:hAnsiTheme="minorHAnsi" w:cstheme="minorHAnsi"/>
        </w:rPr>
        <w:t>g</w:t>
      </w:r>
      <w:r w:rsidRPr="00EE379B">
        <w:rPr>
          <w:rFonts w:asciiTheme="minorHAnsi" w:hAnsiTheme="minorHAnsi" w:cstheme="minorHAnsi"/>
        </w:rPr>
        <w:t>uideline were:</w:t>
      </w:r>
    </w:p>
    <w:p w:rsidR="00FE37D3" w:rsidRPr="00EE379B" w:rsidRDefault="00FE37D3" w:rsidP="00CB0F62">
      <w:pPr>
        <w:pStyle w:val="ListBullet"/>
      </w:pPr>
      <w:r w:rsidRPr="00EE379B">
        <w:t>Adequately undertaken</w:t>
      </w:r>
    </w:p>
    <w:p w:rsidR="00FE37D3" w:rsidRPr="00EE379B" w:rsidRDefault="00FE37D3" w:rsidP="00CB0F62">
      <w:pPr>
        <w:pStyle w:val="ListBullet"/>
      </w:pPr>
      <w:r w:rsidRPr="00EE379B">
        <w:t xml:space="preserve">Inadequately undertaken </w:t>
      </w:r>
    </w:p>
    <w:p w:rsidR="00FE37D3" w:rsidRPr="00EE379B" w:rsidRDefault="00FE37D3" w:rsidP="00CB0F62">
      <w:pPr>
        <w:pStyle w:val="ListBullet"/>
      </w:pPr>
      <w:r w:rsidRPr="00EE379B">
        <w:t xml:space="preserve">Not undertaken. </w:t>
      </w:r>
    </w:p>
    <w:p w:rsidR="00FE37D3" w:rsidRPr="00EE379B" w:rsidRDefault="00FE37D3" w:rsidP="00FB0E0C">
      <w:pPr>
        <w:spacing w:before="360"/>
        <w:rPr>
          <w:rFonts w:asciiTheme="minorHAnsi" w:hAnsiTheme="minorHAnsi" w:cstheme="minorHAnsi"/>
          <w:noProof/>
          <w:lang w:eastAsia="en-AU"/>
        </w:rPr>
      </w:pPr>
      <w:r>
        <w:rPr>
          <w:rFonts w:asciiTheme="minorHAnsi" w:hAnsiTheme="minorHAnsi" w:cstheme="minorHAnsi"/>
          <w:noProof/>
          <w:lang w:eastAsia="en-AU"/>
        </w:rPr>
        <w:t>Hence</w:t>
      </w:r>
      <w:r w:rsidRPr="00EE379B">
        <w:rPr>
          <w:rFonts w:asciiTheme="minorHAnsi" w:hAnsiTheme="minorHAnsi" w:cstheme="minorHAnsi"/>
          <w:noProof/>
          <w:lang w:eastAsia="en-AU"/>
        </w:rPr>
        <w:t xml:space="preserve">, the </w:t>
      </w:r>
      <w:r>
        <w:rPr>
          <w:rFonts w:asciiTheme="minorHAnsi" w:hAnsiTheme="minorHAnsi" w:cstheme="minorHAnsi"/>
          <w:noProof/>
          <w:lang w:eastAsia="en-AU"/>
        </w:rPr>
        <w:t>competence</w:t>
      </w:r>
      <w:r w:rsidRPr="00EE379B">
        <w:rPr>
          <w:rFonts w:asciiTheme="minorHAnsi" w:hAnsiTheme="minorHAnsi" w:cstheme="minorHAnsi"/>
          <w:noProof/>
          <w:lang w:eastAsia="en-AU"/>
        </w:rPr>
        <w:t xml:space="preserve"> of the solution is only assumed </w:t>
      </w:r>
      <w:r>
        <w:rPr>
          <w:rFonts w:asciiTheme="minorHAnsi" w:hAnsiTheme="minorHAnsi" w:cstheme="minorHAnsi"/>
          <w:noProof/>
          <w:lang w:eastAsia="en-AU"/>
        </w:rPr>
        <w:t xml:space="preserve">if all steps are adequately followed in the process. </w:t>
      </w:r>
      <w:r w:rsidRPr="00EE379B">
        <w:rPr>
          <w:rFonts w:asciiTheme="minorHAnsi" w:hAnsiTheme="minorHAnsi" w:cstheme="minorHAnsi"/>
          <w:noProof/>
          <w:lang w:eastAsia="en-AU"/>
        </w:rPr>
        <w:t xml:space="preserve">Amendments </w:t>
      </w:r>
      <w:r>
        <w:rPr>
          <w:rFonts w:asciiTheme="minorHAnsi" w:hAnsiTheme="minorHAnsi" w:cstheme="minorHAnsi"/>
          <w:noProof/>
          <w:lang w:eastAsia="en-AU"/>
        </w:rPr>
        <w:t xml:space="preserve">to the NCC </w:t>
      </w:r>
      <w:r w:rsidRPr="00EE379B">
        <w:rPr>
          <w:rFonts w:asciiTheme="minorHAnsi" w:hAnsiTheme="minorHAnsi" w:cstheme="minorHAnsi"/>
          <w:noProof/>
          <w:lang w:eastAsia="en-AU"/>
        </w:rPr>
        <w:t xml:space="preserve">would ensure </w:t>
      </w:r>
      <w:r>
        <w:rPr>
          <w:rFonts w:asciiTheme="minorHAnsi" w:hAnsiTheme="minorHAnsi" w:cstheme="minorHAnsi"/>
          <w:noProof/>
          <w:lang w:eastAsia="en-AU"/>
        </w:rPr>
        <w:t>expectations</w:t>
      </w:r>
      <w:r w:rsidRPr="00EE379B">
        <w:rPr>
          <w:rFonts w:asciiTheme="minorHAnsi" w:hAnsiTheme="minorHAnsi" w:cstheme="minorHAnsi"/>
          <w:noProof/>
          <w:lang w:eastAsia="en-AU"/>
        </w:rPr>
        <w:t xml:space="preserve"> are clear </w:t>
      </w:r>
      <w:r>
        <w:rPr>
          <w:rFonts w:asciiTheme="minorHAnsi" w:hAnsiTheme="minorHAnsi" w:cstheme="minorHAnsi"/>
          <w:noProof/>
          <w:lang w:eastAsia="en-AU"/>
        </w:rPr>
        <w:t>about</w:t>
      </w:r>
      <w:r w:rsidRPr="00EE379B">
        <w:rPr>
          <w:rFonts w:asciiTheme="minorHAnsi" w:hAnsiTheme="minorHAnsi" w:cstheme="minorHAnsi"/>
          <w:noProof/>
          <w:lang w:eastAsia="en-AU"/>
        </w:rPr>
        <w:t xml:space="preserve"> documenting what consultation with stakeholders was undertaken and </w:t>
      </w:r>
      <w:r>
        <w:rPr>
          <w:rFonts w:asciiTheme="minorHAnsi" w:hAnsiTheme="minorHAnsi" w:cstheme="minorHAnsi"/>
          <w:noProof/>
          <w:lang w:eastAsia="en-AU"/>
        </w:rPr>
        <w:t xml:space="preserve">what </w:t>
      </w:r>
      <w:r w:rsidRPr="00EE379B">
        <w:rPr>
          <w:rFonts w:asciiTheme="minorHAnsi" w:hAnsiTheme="minorHAnsi" w:cstheme="minorHAnsi"/>
          <w:noProof/>
          <w:lang w:eastAsia="en-AU"/>
        </w:rPr>
        <w:t>acceptance criteria</w:t>
      </w:r>
      <w:r>
        <w:rPr>
          <w:rFonts w:asciiTheme="minorHAnsi" w:hAnsiTheme="minorHAnsi" w:cstheme="minorHAnsi"/>
          <w:noProof/>
          <w:lang w:eastAsia="en-AU"/>
        </w:rPr>
        <w:t xml:space="preserve"> was</w:t>
      </w:r>
      <w:r w:rsidRPr="00EE379B">
        <w:rPr>
          <w:rFonts w:asciiTheme="minorHAnsi" w:hAnsiTheme="minorHAnsi" w:cstheme="minorHAnsi"/>
          <w:noProof/>
          <w:lang w:eastAsia="en-AU"/>
        </w:rPr>
        <w:t xml:space="preserve"> agreed. Comparing ‘likely’ or ‘highly likely’ responses to the question of how likely a proces</w:t>
      </w:r>
      <w:r>
        <w:rPr>
          <w:rFonts w:asciiTheme="minorHAnsi" w:hAnsiTheme="minorHAnsi" w:cstheme="minorHAnsi"/>
          <w:noProof/>
          <w:lang w:eastAsia="en-AU"/>
        </w:rPr>
        <w:t xml:space="preserve">s was to meet the NCC </w:t>
      </w:r>
      <w:r w:rsidR="00685804">
        <w:rPr>
          <w:rFonts w:asciiTheme="minorHAnsi" w:hAnsiTheme="minorHAnsi" w:cstheme="minorHAnsi"/>
          <w:noProof/>
          <w:lang w:eastAsia="en-AU"/>
        </w:rPr>
        <w:t xml:space="preserve">Performance </w:t>
      </w:r>
      <w:r>
        <w:rPr>
          <w:rFonts w:asciiTheme="minorHAnsi" w:hAnsiTheme="minorHAnsi" w:cstheme="minorHAnsi"/>
          <w:noProof/>
          <w:lang w:eastAsia="en-AU"/>
        </w:rPr>
        <w:t>Requireme</w:t>
      </w:r>
      <w:r w:rsidRPr="00EE379B">
        <w:rPr>
          <w:rFonts w:asciiTheme="minorHAnsi" w:hAnsiTheme="minorHAnsi" w:cstheme="minorHAnsi"/>
          <w:noProof/>
          <w:lang w:eastAsia="en-AU"/>
        </w:rPr>
        <w:t>n</w:t>
      </w:r>
      <w:r>
        <w:rPr>
          <w:rFonts w:asciiTheme="minorHAnsi" w:hAnsiTheme="minorHAnsi" w:cstheme="minorHAnsi"/>
          <w:noProof/>
          <w:lang w:eastAsia="en-AU"/>
        </w:rPr>
        <w:t>t</w:t>
      </w:r>
      <w:r w:rsidRPr="00EE379B">
        <w:rPr>
          <w:rFonts w:asciiTheme="minorHAnsi" w:hAnsiTheme="minorHAnsi" w:cstheme="minorHAnsi"/>
          <w:noProof/>
          <w:lang w:eastAsia="en-AU"/>
        </w:rPr>
        <w:t xml:space="preserve">s, shows these </w:t>
      </w:r>
      <w:r>
        <w:rPr>
          <w:rFonts w:asciiTheme="minorHAnsi" w:hAnsiTheme="minorHAnsi" w:cstheme="minorHAnsi"/>
          <w:noProof/>
          <w:lang w:eastAsia="en-AU"/>
        </w:rPr>
        <w:t xml:space="preserve">reduce </w:t>
      </w:r>
      <w:r w:rsidRPr="00EE379B">
        <w:rPr>
          <w:rFonts w:asciiTheme="minorHAnsi" w:hAnsiTheme="minorHAnsi" w:cstheme="minorHAnsi"/>
          <w:noProof/>
          <w:lang w:eastAsia="en-AU"/>
        </w:rPr>
        <w:t xml:space="preserve">significantly where ‘inadequate’ or ‘not undertaken’ steps were nomninated. ‘Highly unlikely’ reponses more than double in proportion. </w:t>
      </w:r>
      <w:r>
        <w:rPr>
          <w:rFonts w:asciiTheme="minorHAnsi" w:hAnsiTheme="minorHAnsi" w:cstheme="minorHAnsi"/>
          <w:noProof/>
          <w:lang w:eastAsia="en-AU"/>
        </w:rPr>
        <w:t xml:space="preserve">This is shown by Figure 3. </w:t>
      </w:r>
    </w:p>
    <w:p w:rsidR="00FE37D3" w:rsidRPr="00EE379B" w:rsidRDefault="00FE37D3" w:rsidP="005E1DCB">
      <w:pPr>
        <w:pStyle w:val="Caption"/>
      </w:pPr>
      <w:r>
        <w:lastRenderedPageBreak/>
        <w:t>Figure 3 Reported l</w:t>
      </w:r>
      <w:r w:rsidRPr="00EE379B">
        <w:t xml:space="preserve">ikelihood of </w:t>
      </w:r>
      <w:r>
        <w:t>a s</w:t>
      </w:r>
      <w:r w:rsidRPr="00EE379B">
        <w:t xml:space="preserve">olution meeting the Performance Requirements of the NCC, grouped by response to adequacy of steps </w:t>
      </w:r>
    </w:p>
    <w:p w:rsidR="00FE37D3" w:rsidRPr="00EE379B" w:rsidRDefault="00FE37D3" w:rsidP="005E1DCB">
      <w:pPr>
        <w:spacing w:before="120" w:after="120"/>
        <w:rPr>
          <w:rFonts w:asciiTheme="minorHAnsi" w:hAnsiTheme="minorHAnsi" w:cstheme="minorHAnsi"/>
          <w:noProof/>
          <w:lang w:eastAsia="en-AU"/>
        </w:rPr>
      </w:pPr>
      <w:r w:rsidRPr="00EE379B">
        <w:rPr>
          <w:rFonts w:asciiTheme="minorHAnsi" w:hAnsiTheme="minorHAnsi" w:cstheme="minorHAnsi"/>
          <w:noProof/>
          <w:lang w:eastAsia="en-AU"/>
        </w:rPr>
        <w:drawing>
          <wp:inline distT="0" distB="0" distL="0" distR="0" wp14:anchorId="7B0D263C" wp14:editId="4B47970F">
            <wp:extent cx="5709684" cy="2743200"/>
            <wp:effectExtent l="0" t="0" r="5715" b="0"/>
            <wp:docPr id="15" name="Chart 15" title="Figure 3 Reported likelihood of a solution meeting the Performance Requirements of the NCC, grouped by response to adequacy of steps"/>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EE379B">
        <w:rPr>
          <w:rFonts w:asciiTheme="minorHAnsi" w:hAnsiTheme="minorHAnsi" w:cstheme="minorHAnsi"/>
          <w:noProof/>
          <w:lang w:eastAsia="en-AU"/>
        </w:rPr>
        <w:t xml:space="preserve"> </w:t>
      </w:r>
    </w:p>
    <w:p w:rsidR="00FE37D3" w:rsidRPr="00885368" w:rsidRDefault="00FE37D3" w:rsidP="005E1DCB">
      <w:pPr>
        <w:spacing w:before="120" w:after="120"/>
        <w:rPr>
          <w:rFonts w:asciiTheme="minorHAnsi" w:hAnsiTheme="minorHAnsi" w:cstheme="minorHAnsi"/>
          <w:noProof/>
          <w:sz w:val="18"/>
          <w:szCs w:val="20"/>
          <w:lang w:eastAsia="en-AU"/>
        </w:rPr>
      </w:pPr>
      <w:r w:rsidRPr="00885368">
        <w:rPr>
          <w:rFonts w:asciiTheme="minorHAnsi" w:hAnsiTheme="minorHAnsi" w:cstheme="minorHAnsi"/>
          <w:noProof/>
          <w:sz w:val="18"/>
          <w:szCs w:val="20"/>
          <w:lang w:eastAsia="en-AU"/>
        </w:rPr>
        <w:t>Source: ABCB Survey, 2019</w:t>
      </w:r>
    </w:p>
    <w:p w:rsidR="00FE37D3" w:rsidRPr="00EE379B" w:rsidRDefault="00FE37D3" w:rsidP="00FB0E0C">
      <w:pPr>
        <w:rPr>
          <w:rFonts w:asciiTheme="minorHAnsi" w:hAnsiTheme="minorHAnsi" w:cstheme="minorHAnsi"/>
        </w:rPr>
      </w:pPr>
      <w:r w:rsidRPr="00EE379B">
        <w:rPr>
          <w:rFonts w:asciiTheme="minorHAnsi" w:hAnsiTheme="minorHAnsi" w:cstheme="minorHAnsi"/>
        </w:rPr>
        <w:t>When a Performance Solution is proposed, acceptance criteria must be developed in order to analyse the outcome of the design. The relationship between the acceptance criteria and the relevant Performance Requirement</w:t>
      </w:r>
      <w:r w:rsidR="00056590">
        <w:rPr>
          <w:rFonts w:asciiTheme="minorHAnsi" w:hAnsiTheme="minorHAnsi" w:cstheme="minorHAnsi"/>
        </w:rPr>
        <w:t>(</w:t>
      </w:r>
      <w:r w:rsidRPr="00EE379B">
        <w:rPr>
          <w:rFonts w:asciiTheme="minorHAnsi" w:hAnsiTheme="minorHAnsi" w:cstheme="minorHAnsi"/>
        </w:rPr>
        <w:t>s</w:t>
      </w:r>
      <w:r w:rsidR="00056590">
        <w:rPr>
          <w:rFonts w:asciiTheme="minorHAnsi" w:hAnsiTheme="minorHAnsi" w:cstheme="minorHAnsi"/>
        </w:rPr>
        <w:t>)</w:t>
      </w:r>
      <w:r w:rsidRPr="00EE379B">
        <w:rPr>
          <w:rFonts w:asciiTheme="minorHAnsi" w:hAnsiTheme="minorHAnsi" w:cstheme="minorHAnsi"/>
        </w:rPr>
        <w:t xml:space="preserve"> is often a matter of engineering and professional judgement. </w:t>
      </w:r>
      <w:r w:rsidRPr="0009712C">
        <w:rPr>
          <w:rFonts w:asciiTheme="minorHAnsi" w:hAnsiTheme="minorHAnsi" w:cstheme="minorHAnsi"/>
        </w:rPr>
        <w:t>As a condition of developing a Performance Solution, clearly articulating the steps undertaken will benefit regulatory authorities who rely on the documented process when auditing the adequacy of the solution. State and territory governments will also benefit from not maintaining separate legislation and guidance material.</w:t>
      </w:r>
    </w:p>
    <w:p w:rsidR="00FE37D3" w:rsidRDefault="00FE37D3" w:rsidP="00A95E4B">
      <w:pPr>
        <w:spacing w:before="100" w:beforeAutospacing="1" w:after="100" w:afterAutospacing="1"/>
        <w:rPr>
          <w:rFonts w:asciiTheme="minorHAnsi" w:hAnsiTheme="minorHAnsi" w:cstheme="minorHAnsi"/>
        </w:rPr>
      </w:pPr>
      <w:r w:rsidRPr="00EE379B">
        <w:rPr>
          <w:rFonts w:asciiTheme="minorHAnsi" w:hAnsiTheme="minorHAnsi" w:cstheme="minorHAnsi"/>
        </w:rPr>
        <w:t>In the case of widespread system failure, governments are often left as the insurer of last resort</w:t>
      </w:r>
      <w:r>
        <w:rPr>
          <w:rFonts w:asciiTheme="minorHAnsi" w:hAnsiTheme="minorHAnsi" w:cstheme="minorHAnsi"/>
        </w:rPr>
        <w:t>.</w:t>
      </w:r>
      <w:r w:rsidRPr="00EE379B">
        <w:rPr>
          <w:rStyle w:val="FootnoteReference"/>
          <w:rFonts w:asciiTheme="minorHAnsi" w:hAnsiTheme="minorHAnsi" w:cstheme="minorHAnsi"/>
        </w:rPr>
        <w:footnoteReference w:id="53"/>
      </w:r>
      <w:r w:rsidRPr="00EE379B">
        <w:rPr>
          <w:rFonts w:asciiTheme="minorHAnsi" w:hAnsiTheme="minorHAnsi" w:cstheme="minorHAnsi"/>
        </w:rPr>
        <w:t xml:space="preserve"> Therefore, improving the process reduces government</w:t>
      </w:r>
      <w:r>
        <w:rPr>
          <w:rFonts w:asciiTheme="minorHAnsi" w:hAnsiTheme="minorHAnsi" w:cstheme="minorHAnsi"/>
        </w:rPr>
        <w:t>s’ and the community’s</w:t>
      </w:r>
      <w:r w:rsidRPr="00EE379B">
        <w:rPr>
          <w:rFonts w:asciiTheme="minorHAnsi" w:hAnsiTheme="minorHAnsi" w:cstheme="minorHAnsi"/>
        </w:rPr>
        <w:t xml:space="preserve"> exposure to private risk</w:t>
      </w:r>
      <w:r>
        <w:rPr>
          <w:rFonts w:asciiTheme="minorHAnsi" w:hAnsiTheme="minorHAnsi" w:cstheme="minorHAnsi"/>
        </w:rPr>
        <w:t xml:space="preserve"> taking</w:t>
      </w:r>
      <w:r w:rsidRPr="00EE379B">
        <w:rPr>
          <w:rFonts w:asciiTheme="minorHAnsi" w:hAnsiTheme="minorHAnsi" w:cstheme="minorHAnsi"/>
        </w:rPr>
        <w:t xml:space="preserve">. </w:t>
      </w:r>
    </w:p>
    <w:p w:rsidR="00FE37D3" w:rsidRDefault="00FE37D3" w:rsidP="005D0F78">
      <w:pPr>
        <w:spacing w:before="100" w:beforeAutospacing="1" w:after="100" w:afterAutospacing="1"/>
        <w:rPr>
          <w:rFonts w:asciiTheme="minorHAnsi" w:hAnsiTheme="minorHAnsi" w:cstheme="minorHAnsi"/>
        </w:rPr>
      </w:pPr>
      <w:r>
        <w:rPr>
          <w:rFonts w:asciiTheme="minorHAnsi" w:hAnsiTheme="minorHAnsi" w:cstheme="minorHAnsi"/>
        </w:rPr>
        <w:t xml:space="preserve">As part of the Consultation RIS, stakeholders were asked whether there were any other qualitative benefits to consider. </w:t>
      </w:r>
      <w:r w:rsidRPr="00EB6406">
        <w:t xml:space="preserve">Other </w:t>
      </w:r>
      <w:r>
        <w:t xml:space="preserve">benefits of the proposal raised </w:t>
      </w:r>
      <w:r w:rsidRPr="00EB6406">
        <w:t xml:space="preserve">related to better information to end users, particularly in regard to maintenance expectations; greater </w:t>
      </w:r>
      <w:r w:rsidRPr="00EB6406">
        <w:lastRenderedPageBreak/>
        <w:t>auditing ability through improved record keeping; and greater national consistency in recognising commonly approved Performance Solutions.</w:t>
      </w:r>
      <w:r>
        <w:t xml:space="preserve"> </w:t>
      </w:r>
    </w:p>
    <w:p w:rsidR="00FE37D3" w:rsidRDefault="00FE37D3" w:rsidP="00910E4B">
      <w:pPr>
        <w:pStyle w:val="Heading4"/>
      </w:pPr>
      <w:r w:rsidRPr="00910E4B">
        <w:t xml:space="preserve">Quantitative Benefits </w:t>
      </w:r>
    </w:p>
    <w:p w:rsidR="00FE37D3" w:rsidRDefault="00FE37D3" w:rsidP="00F70C8E">
      <w:r>
        <w:t xml:space="preserve">Consultation on this proposal did not provide any representative data on the occurrence of defects and associated costs across the building stock annually. However, a number of studies on the costs of defects in Australia are now known. </w:t>
      </w:r>
    </w:p>
    <w:p w:rsidR="00FE37D3" w:rsidRPr="00F70C8E" w:rsidRDefault="00FE37D3" w:rsidP="00E249F0">
      <w:r>
        <w:t xml:space="preserve">In 2019, a survey of 1,222 homeowners found: </w:t>
      </w:r>
    </w:p>
    <w:p w:rsidR="00FE37D3" w:rsidRPr="00F70C8E" w:rsidRDefault="00FE37D3" w:rsidP="00E249F0">
      <w:r w:rsidRPr="00F70C8E">
        <w:t>■ for apartments, 4 per cent of owners had to pay above $50 000 for repairs, 23 per cent paid between $5 000 to $50 000 and 74 per cent paid up to $5 000;</w:t>
      </w:r>
    </w:p>
    <w:p w:rsidR="00FE37D3" w:rsidRPr="00F70C8E" w:rsidRDefault="00FE37D3" w:rsidP="00E249F0">
      <w:r w:rsidRPr="00F70C8E">
        <w:t>■</w:t>
      </w:r>
      <w:r>
        <w:t xml:space="preserve"> </w:t>
      </w:r>
      <w:r w:rsidRPr="00F70C8E">
        <w:t>for houses, 5 per cent of owners had to pay over $20 000 for repairs, 27 per cent paid between $5 000 and $20 000, and 68 per cent paid up to $5 000.</w:t>
      </w:r>
    </w:p>
    <w:p w:rsidR="00FE37D3" w:rsidRPr="00F70C8E" w:rsidRDefault="00FE37D3" w:rsidP="00E249F0">
      <w:r w:rsidRPr="00F70C8E">
        <w:t xml:space="preserve">In addition, property owners faced </w:t>
      </w:r>
      <w:r>
        <w:t xml:space="preserve">delay </w:t>
      </w:r>
      <w:r w:rsidRPr="00F70C8E">
        <w:t xml:space="preserve">costs with 21 per cent of owners waiting for between 3 to 6 months for the completion of repairs and 9 per cent </w:t>
      </w:r>
      <w:r>
        <w:t xml:space="preserve">for </w:t>
      </w:r>
      <w:r w:rsidRPr="00F70C8E">
        <w:t>more than 6 months.</w:t>
      </w:r>
    </w:p>
    <w:p w:rsidR="00FE37D3" w:rsidRPr="00F70C8E" w:rsidRDefault="00FE37D3" w:rsidP="00E249F0">
      <w:r w:rsidRPr="00F70C8E">
        <w:t>In a survey of strata owners in NSW</w:t>
      </w:r>
      <w:r w:rsidR="00685804">
        <w:t>,</w:t>
      </w:r>
      <w:r w:rsidRPr="00F70C8E">
        <w:t xml:space="preserve"> conducted by </w:t>
      </w:r>
      <w:r w:rsidR="00685804">
        <w:t xml:space="preserve">the University of </w:t>
      </w:r>
      <w:r w:rsidRPr="00F70C8E">
        <w:t>NSW in 2009, 10 respondents indicated that defects would cost $10 million to remedy.</w:t>
      </w:r>
    </w:p>
    <w:p w:rsidR="00FE37D3" w:rsidRDefault="00FE37D3" w:rsidP="00E249F0">
      <w:r w:rsidRPr="00F70C8E">
        <w:t xml:space="preserve">Some high-profile cases also provide information in </w:t>
      </w:r>
      <w:r>
        <w:t>rectification</w:t>
      </w:r>
      <w:r w:rsidRPr="00F70C8E">
        <w:t xml:space="preserve"> cost</w:t>
      </w:r>
      <w:r>
        <w:t>s</w:t>
      </w:r>
      <w:r w:rsidRPr="00F70C8E">
        <w:t xml:space="preserve">. </w:t>
      </w:r>
      <w:r>
        <w:t>The fire</w:t>
      </w:r>
      <w:r w:rsidRPr="00F70C8E">
        <w:t xml:space="preserve"> at Lacrosse Apartment in Melbourne in 2014 resulted </w:t>
      </w:r>
      <w:r w:rsidR="00685804">
        <w:t xml:space="preserve">in </w:t>
      </w:r>
      <w:r w:rsidRPr="00F70C8E">
        <w:t>a claim of $24 million by owners</w:t>
      </w:r>
      <w:r w:rsidR="00685804">
        <w:t>,</w:t>
      </w:r>
      <w:r w:rsidRPr="00F70C8E">
        <w:t xml:space="preserve"> with the court f</w:t>
      </w:r>
      <w:r>
        <w:t>inding</w:t>
      </w:r>
      <w:r w:rsidRPr="00F70C8E">
        <w:t xml:space="preserve"> the fire engineer, building surveyor, the architect and builder were jointly liable and ordered to pay costs of $5.7 million to the owners</w:t>
      </w:r>
      <w:r>
        <w:rPr>
          <w:rStyle w:val="FootnoteReference"/>
        </w:rPr>
        <w:footnoteReference w:id="54"/>
      </w:r>
      <w:r w:rsidRPr="00F70C8E">
        <w:t>.</w:t>
      </w:r>
      <w:r>
        <w:t xml:space="preserve"> Also the recent structural rectification of Mascot Towers are also reported to have cost over $50 million.</w:t>
      </w:r>
      <w:r>
        <w:rPr>
          <w:rStyle w:val="FootnoteReference"/>
        </w:rPr>
        <w:footnoteReference w:id="55"/>
      </w:r>
      <w:r>
        <w:t xml:space="preserve"> Both these examples show that</w:t>
      </w:r>
      <w:r w:rsidR="00685804">
        <w:t>,</w:t>
      </w:r>
      <w:r>
        <w:t xml:space="preserve"> where problems do arise</w:t>
      </w:r>
      <w:r w:rsidR="00685804">
        <w:t>,</w:t>
      </w:r>
      <w:r>
        <w:t xml:space="preserve"> they are very </w:t>
      </w:r>
      <w:r>
        <w:lastRenderedPageBreak/>
        <w:t xml:space="preserve">costly and consequences can extend beyond rectification to occupation </w:t>
      </w:r>
      <w:r w:rsidR="00C648D9">
        <w:t xml:space="preserve">displacement and stress, </w:t>
      </w:r>
      <w:r>
        <w:t>and business continuity</w:t>
      </w:r>
      <w:r w:rsidR="00685804">
        <w:t>,</w:t>
      </w:r>
      <w:r>
        <w:t xml:space="preserve"> particularly in the case of high-rise construction.  </w:t>
      </w:r>
    </w:p>
    <w:p w:rsidR="00FE37D3" w:rsidRDefault="00FE37D3" w:rsidP="00E249F0">
      <w:r>
        <w:t xml:space="preserve">The extent of the problem of building rectification work is also better understood through studies on existing buildings. </w:t>
      </w:r>
    </w:p>
    <w:p w:rsidR="00FE37D3" w:rsidRDefault="00FE37D3" w:rsidP="00E249F0">
      <w:r>
        <w:t>A study in 2019, which examined 212 building defect reports found:</w:t>
      </w:r>
      <w:r w:rsidRPr="007079C0">
        <w:rPr>
          <w:vertAlign w:val="superscript"/>
        </w:rPr>
        <w:footnoteReference w:id="56"/>
      </w:r>
    </w:p>
    <w:p w:rsidR="00FE37D3" w:rsidRDefault="00FE37D3" w:rsidP="00910E4B">
      <w:pPr>
        <w:pStyle w:val="ListParagraph"/>
        <w:numPr>
          <w:ilvl w:val="0"/>
          <w:numId w:val="26"/>
        </w:numPr>
      </w:pPr>
      <w:r w:rsidRPr="00910E4B">
        <w:t xml:space="preserve">Building fabric </w:t>
      </w:r>
      <w:r>
        <w:t>and cladding accounted for 40 per cent</w:t>
      </w:r>
      <w:r w:rsidRPr="00910E4B">
        <w:t xml:space="preserve"> of defects, fo</w:t>
      </w:r>
      <w:r>
        <w:t>llowed by fire protection (13 per cent), water proofing (11.5 per cent</w:t>
      </w:r>
      <w:r w:rsidRPr="00910E4B">
        <w:t>), roof and rainw</w:t>
      </w:r>
      <w:r>
        <w:t>ater disposal (9 per cent), and structural (7 per cent</w:t>
      </w:r>
      <w:r w:rsidRPr="00910E4B">
        <w:t>).</w:t>
      </w:r>
    </w:p>
    <w:p w:rsidR="00FE37D3" w:rsidRDefault="00FE37D3" w:rsidP="00910E4B">
      <w:pPr>
        <w:pStyle w:val="ListParagraph"/>
        <w:numPr>
          <w:ilvl w:val="0"/>
          <w:numId w:val="26"/>
        </w:numPr>
      </w:pPr>
      <w:r w:rsidRPr="00910E4B">
        <w:t>Structural defects resulted in building damage (35</w:t>
      </w:r>
      <w:r>
        <w:t xml:space="preserve"> per cent</w:t>
      </w:r>
      <w:r w:rsidRPr="00910E4B">
        <w:t>) and multiple other impacts (35</w:t>
      </w:r>
      <w:r>
        <w:t xml:space="preserve"> per cent</w:t>
      </w:r>
      <w:r w:rsidRPr="00910E4B">
        <w:t>), followed by water ingress, moisture, and rust.</w:t>
      </w:r>
    </w:p>
    <w:p w:rsidR="00FE37D3" w:rsidRPr="0009712C" w:rsidRDefault="00FE37D3" w:rsidP="00910E4B">
      <w:pPr>
        <w:pStyle w:val="ListParagraph"/>
        <w:numPr>
          <w:ilvl w:val="0"/>
          <w:numId w:val="26"/>
        </w:numPr>
      </w:pPr>
      <w:r w:rsidRPr="0009712C">
        <w:t>Two recurring triggers for defects identified by the report were the motivation to make a profit, which incentivises cheaper building solutions; and time pressure on completions that resulted in mismanaged construction processes and inferior builds.</w:t>
      </w:r>
    </w:p>
    <w:p w:rsidR="00FE37D3" w:rsidRDefault="00FE37D3" w:rsidP="0054381F">
      <w:pPr>
        <w:spacing w:after="0"/>
      </w:pPr>
      <w:r>
        <w:t>The NSW Lambert Review in 2016 used data on complaints to Fair Trading NSW to estimate a break-down of defects</w:t>
      </w:r>
      <w:r w:rsidR="00685804">
        <w:t>,</w:t>
      </w:r>
      <w:r>
        <w:t xml:space="preserve"> which show</w:t>
      </w:r>
      <w:r w:rsidR="00685804">
        <w:t>s</w:t>
      </w:r>
      <w:r>
        <w:t xml:space="preserve"> external</w:t>
      </w:r>
      <w:r w:rsidRPr="001C377A">
        <w:t xml:space="preserve"> water penetration</w:t>
      </w:r>
      <w:r>
        <w:t xml:space="preserve"> constitute</w:t>
      </w:r>
      <w:r w:rsidR="00685804">
        <w:t>s</w:t>
      </w:r>
      <w:r>
        <w:t xml:space="preserve"> 10 per cent of complaints. </w:t>
      </w:r>
    </w:p>
    <w:p w:rsidR="00FE37D3" w:rsidRPr="00F70C8E" w:rsidRDefault="00FE37D3" w:rsidP="0095793C">
      <w:r>
        <w:t xml:space="preserve">Although these studies do not provide information on the extent that inadequate Performance Solutions are contributing to the problem annually, they do provide insight into the extent of the problem more broadly and frame plausible thresholds for break-even scenarios. </w:t>
      </w:r>
    </w:p>
    <w:p w:rsidR="00FE37D3" w:rsidRPr="005E1DCB" w:rsidRDefault="00FE37D3" w:rsidP="005E1DCB">
      <w:pPr>
        <w:pStyle w:val="Heading3"/>
      </w:pPr>
      <w:bookmarkStart w:id="73" w:name="_Toc32229040"/>
      <w:bookmarkStart w:id="74" w:name="_Toc33098435"/>
      <w:bookmarkStart w:id="75" w:name="_Toc33098894"/>
      <w:r w:rsidRPr="005E1DCB">
        <w:t xml:space="preserve">Option 3 Restrict the application of the </w:t>
      </w:r>
      <w:r>
        <w:t>process</w:t>
      </w:r>
      <w:r w:rsidRPr="005E1DCB">
        <w:t xml:space="preserve"> to</w:t>
      </w:r>
      <w:r>
        <w:t xml:space="preserve"> topics of</w:t>
      </w:r>
      <w:r w:rsidRPr="005E1DCB">
        <w:t xml:space="preserve"> fire and structure</w:t>
      </w:r>
      <w:bookmarkEnd w:id="73"/>
      <w:bookmarkEnd w:id="74"/>
      <w:bookmarkEnd w:id="75"/>
      <w:r w:rsidRPr="005E1DCB">
        <w:t xml:space="preserve"> </w:t>
      </w:r>
    </w:p>
    <w:p w:rsidR="00FE37D3" w:rsidRPr="00EE379B" w:rsidRDefault="00FE37D3" w:rsidP="00A95E4B">
      <w:pPr>
        <w:spacing w:before="120" w:after="120"/>
        <w:rPr>
          <w:rFonts w:asciiTheme="minorHAnsi" w:hAnsiTheme="minorHAnsi" w:cstheme="minorHAnsi"/>
        </w:rPr>
      </w:pPr>
      <w:r w:rsidRPr="00EE379B">
        <w:rPr>
          <w:rFonts w:asciiTheme="minorHAnsi" w:hAnsiTheme="minorHAnsi" w:cstheme="minorHAnsi"/>
        </w:rPr>
        <w:t xml:space="preserve">This option would require that all Performance Solutions relating to fire and structure use the ABCB’s Performance Solution process. The process would be referenced in </w:t>
      </w:r>
      <w:r w:rsidRPr="00EE379B">
        <w:rPr>
          <w:rFonts w:asciiTheme="minorHAnsi" w:hAnsiTheme="minorHAnsi" w:cstheme="minorHAnsi"/>
        </w:rPr>
        <w:lastRenderedPageBreak/>
        <w:t>the Governing Requirements of all Volumes of the NCC and be specific to Performance Solutions relating to life-safety</w:t>
      </w:r>
      <w:r>
        <w:rPr>
          <w:rFonts w:asciiTheme="minorHAnsi" w:hAnsiTheme="minorHAnsi" w:cstheme="minorHAnsi"/>
        </w:rPr>
        <w:t xml:space="preserve"> (fire and structural solutions)</w:t>
      </w:r>
      <w:r w:rsidRPr="00EE379B">
        <w:rPr>
          <w:rFonts w:asciiTheme="minorHAnsi" w:hAnsiTheme="minorHAnsi" w:cstheme="minorHAnsi"/>
        </w:rPr>
        <w:t>.</w:t>
      </w:r>
    </w:p>
    <w:p w:rsidR="00FE37D3" w:rsidRPr="00D57087" w:rsidRDefault="00FE37D3" w:rsidP="00CB0F62">
      <w:pPr>
        <w:pStyle w:val="Heading4"/>
      </w:pPr>
      <w:r w:rsidRPr="00D57087">
        <w:t xml:space="preserve">Qualitative Costs </w:t>
      </w:r>
    </w:p>
    <w:p w:rsidR="00FE37D3" w:rsidRDefault="00FE37D3" w:rsidP="009C667B">
      <w:pPr>
        <w:rPr>
          <w:rFonts w:asciiTheme="minorHAnsi" w:hAnsiTheme="minorHAnsi" w:cstheme="minorHAnsi"/>
        </w:rPr>
      </w:pPr>
      <w:r w:rsidRPr="00EE379B">
        <w:rPr>
          <w:rFonts w:asciiTheme="minorHAnsi" w:hAnsiTheme="minorHAnsi" w:cstheme="minorHAnsi"/>
        </w:rPr>
        <w:t xml:space="preserve">This option would impose similar costs to Option 2. However, there is likely to be </w:t>
      </w:r>
      <w:r>
        <w:rPr>
          <w:rFonts w:asciiTheme="minorHAnsi" w:hAnsiTheme="minorHAnsi" w:cstheme="minorHAnsi"/>
        </w:rPr>
        <w:t>a</w:t>
      </w:r>
      <w:r w:rsidRPr="00EE379B">
        <w:rPr>
          <w:rFonts w:asciiTheme="minorHAnsi" w:hAnsiTheme="minorHAnsi" w:cstheme="minorHAnsi"/>
        </w:rPr>
        <w:t xml:space="preserve"> need for separate guidance, education </w:t>
      </w:r>
      <w:r w:rsidRPr="007079C0">
        <w:rPr>
          <w:rFonts w:asciiTheme="minorHAnsi" w:hAnsiTheme="minorHAnsi" w:cstheme="minorHAnsi"/>
        </w:rPr>
        <w:t xml:space="preserve">and training material depending on the </w:t>
      </w:r>
      <w:r>
        <w:rPr>
          <w:rFonts w:asciiTheme="minorHAnsi" w:hAnsiTheme="minorHAnsi" w:cstheme="minorHAnsi"/>
        </w:rPr>
        <w:t>topic</w:t>
      </w:r>
      <w:r w:rsidRPr="007079C0">
        <w:rPr>
          <w:rFonts w:asciiTheme="minorHAnsi" w:hAnsiTheme="minorHAnsi" w:cstheme="minorHAnsi"/>
        </w:rPr>
        <w:t xml:space="preserve"> targeted. Inconsistency with the long-stated position of the ABCB and education material produced to date is likely to lead to misinterpretation by NCC practitioners by tacit</w:t>
      </w:r>
      <w:r w:rsidR="00C20838">
        <w:rPr>
          <w:rFonts w:asciiTheme="minorHAnsi" w:hAnsiTheme="minorHAnsi" w:cstheme="minorHAnsi"/>
        </w:rPr>
        <w:t>ly indicating that there is no need</w:t>
      </w:r>
      <w:r w:rsidRPr="007079C0">
        <w:rPr>
          <w:rFonts w:asciiTheme="minorHAnsi" w:hAnsiTheme="minorHAnsi" w:cstheme="minorHAnsi"/>
        </w:rPr>
        <w:t xml:space="preserve"> to properly document Performance Solutions for topics other than life-safety.</w:t>
      </w:r>
      <w:r w:rsidRPr="00EE379B">
        <w:rPr>
          <w:rFonts w:asciiTheme="minorHAnsi" w:hAnsiTheme="minorHAnsi" w:cstheme="minorHAnsi"/>
        </w:rPr>
        <w:t xml:space="preserve"> </w:t>
      </w:r>
    </w:p>
    <w:p w:rsidR="00FE37D3" w:rsidRPr="00EE379B" w:rsidRDefault="00FE37D3" w:rsidP="009C667B">
      <w:pPr>
        <w:rPr>
          <w:rFonts w:asciiTheme="minorHAnsi" w:hAnsiTheme="minorHAnsi" w:cstheme="minorHAnsi"/>
        </w:rPr>
      </w:pPr>
      <w:r w:rsidRPr="00EE379B">
        <w:rPr>
          <w:rFonts w:asciiTheme="minorHAnsi" w:hAnsiTheme="minorHAnsi" w:cstheme="minorHAnsi"/>
        </w:rPr>
        <w:t>Transparency in decision making and stakeholder agreement to acceptance criteria is already a component of some V</w:t>
      </w:r>
      <w:r>
        <w:rPr>
          <w:rFonts w:asciiTheme="minorHAnsi" w:hAnsiTheme="minorHAnsi" w:cstheme="minorHAnsi"/>
        </w:rPr>
        <w:t>M</w:t>
      </w:r>
      <w:r w:rsidRPr="00EE379B">
        <w:rPr>
          <w:rFonts w:asciiTheme="minorHAnsi" w:hAnsiTheme="minorHAnsi" w:cstheme="minorHAnsi"/>
        </w:rPr>
        <w:t>s outside fire and structur</w:t>
      </w:r>
      <w:r w:rsidR="00C20838">
        <w:rPr>
          <w:rFonts w:asciiTheme="minorHAnsi" w:hAnsiTheme="minorHAnsi" w:cstheme="minorHAnsi"/>
        </w:rPr>
        <w:t>e</w:t>
      </w:r>
      <w:r w:rsidRPr="00EE379B">
        <w:rPr>
          <w:rFonts w:asciiTheme="minorHAnsi" w:hAnsiTheme="minorHAnsi" w:cstheme="minorHAnsi"/>
        </w:rPr>
        <w:t xml:space="preserve">. </w:t>
      </w:r>
      <w:r>
        <w:rPr>
          <w:rFonts w:asciiTheme="minorHAnsi" w:hAnsiTheme="minorHAnsi" w:cstheme="minorHAnsi"/>
        </w:rPr>
        <w:t xml:space="preserve">It could create some confusion if this were to appear </w:t>
      </w:r>
      <w:r w:rsidR="00C20838">
        <w:rPr>
          <w:rFonts w:asciiTheme="minorHAnsi" w:hAnsiTheme="minorHAnsi" w:cstheme="minorHAnsi"/>
        </w:rPr>
        <w:t>un</w:t>
      </w:r>
      <w:r>
        <w:rPr>
          <w:rFonts w:asciiTheme="minorHAnsi" w:hAnsiTheme="minorHAnsi" w:cstheme="minorHAnsi"/>
        </w:rPr>
        <w:t xml:space="preserve">necessary </w:t>
      </w:r>
      <w:r w:rsidR="00C20838">
        <w:rPr>
          <w:rFonts w:asciiTheme="minorHAnsi" w:hAnsiTheme="minorHAnsi" w:cstheme="minorHAnsi"/>
        </w:rPr>
        <w:t xml:space="preserve">or </w:t>
      </w:r>
      <w:r>
        <w:rPr>
          <w:rFonts w:asciiTheme="minorHAnsi" w:hAnsiTheme="minorHAnsi" w:cstheme="minorHAnsi"/>
        </w:rPr>
        <w:t xml:space="preserve">only desirable.  A key feature of this measure is to contribute to changing industry culture in the use of a performance-based code, which is made more difficult if it is </w:t>
      </w:r>
      <w:r w:rsidDel="00C20838">
        <w:rPr>
          <w:rFonts w:asciiTheme="minorHAnsi" w:hAnsiTheme="minorHAnsi" w:cstheme="minorHAnsi"/>
        </w:rPr>
        <w:t>explicitly acknowledged</w:t>
      </w:r>
      <w:r w:rsidR="005B1EEE">
        <w:rPr>
          <w:rFonts w:asciiTheme="minorHAnsi" w:hAnsiTheme="minorHAnsi" w:cstheme="minorHAnsi"/>
        </w:rPr>
        <w:t xml:space="preserve"> </w:t>
      </w:r>
      <w:r w:rsidR="00D404C2">
        <w:rPr>
          <w:rFonts w:asciiTheme="minorHAnsi" w:hAnsiTheme="minorHAnsi" w:cstheme="minorHAnsi"/>
        </w:rPr>
        <w:t xml:space="preserve">that </w:t>
      </w:r>
      <w:r w:rsidR="005B1EEE">
        <w:rPr>
          <w:rFonts w:asciiTheme="minorHAnsi" w:hAnsiTheme="minorHAnsi" w:cstheme="minorHAnsi"/>
        </w:rPr>
        <w:t>the expectation is</w:t>
      </w:r>
      <w:r>
        <w:rPr>
          <w:rFonts w:asciiTheme="minorHAnsi" w:hAnsiTheme="minorHAnsi" w:cstheme="minorHAnsi"/>
        </w:rPr>
        <w:t xml:space="preserve"> that some Performance Solutions do not need to be subject to consultation and adequately documented. </w:t>
      </w:r>
    </w:p>
    <w:p w:rsidR="00FE37D3" w:rsidRPr="00D57087" w:rsidRDefault="00FE37D3" w:rsidP="005E1DCB">
      <w:pPr>
        <w:pStyle w:val="Heading4"/>
      </w:pPr>
      <w:r w:rsidRPr="00D57087">
        <w:t>Quantitative Costs</w:t>
      </w:r>
    </w:p>
    <w:p w:rsidR="00FE37D3" w:rsidRPr="00EE379B" w:rsidRDefault="00FE37D3" w:rsidP="009C667B">
      <w:pPr>
        <w:spacing w:after="120"/>
        <w:rPr>
          <w:rFonts w:asciiTheme="minorHAnsi" w:hAnsiTheme="minorHAnsi" w:cstheme="minorHAnsi"/>
        </w:rPr>
      </w:pPr>
      <w:r w:rsidRPr="00EE379B">
        <w:rPr>
          <w:rFonts w:asciiTheme="minorHAnsi" w:hAnsiTheme="minorHAnsi" w:cstheme="minorHAnsi"/>
        </w:rPr>
        <w:t>The costs of this option will be a subset of the costs of Option 2. It is not known with certainty the proportion of fire and structural solutions. As the proposed process has its origins in engineering, the degree of use in this area would be expected to be higher</w:t>
      </w:r>
      <w:r w:rsidR="00C20838">
        <w:rPr>
          <w:rFonts w:asciiTheme="minorHAnsi" w:hAnsiTheme="minorHAnsi" w:cstheme="minorHAnsi"/>
        </w:rPr>
        <w:t>, noting it was</w:t>
      </w:r>
      <w:r w:rsidRPr="00826E6E">
        <w:rPr>
          <w:rFonts w:asciiTheme="minorHAnsi" w:hAnsiTheme="minorHAnsi" w:cstheme="minorHAnsi"/>
        </w:rPr>
        <w:t xml:space="preserve"> </w:t>
      </w:r>
      <w:r>
        <w:rPr>
          <w:rFonts w:asciiTheme="minorHAnsi" w:hAnsiTheme="minorHAnsi" w:cstheme="minorHAnsi"/>
        </w:rPr>
        <w:t>the most commonly nominated area</w:t>
      </w:r>
      <w:r w:rsidRPr="00EE379B">
        <w:rPr>
          <w:rFonts w:asciiTheme="minorHAnsi" w:hAnsiTheme="minorHAnsi" w:cstheme="minorHAnsi"/>
        </w:rPr>
        <w:t xml:space="preserve"> where Performance Solutions were used by respondents to </w:t>
      </w:r>
      <w:r>
        <w:rPr>
          <w:rFonts w:asciiTheme="minorHAnsi" w:hAnsiTheme="minorHAnsi" w:cstheme="minorHAnsi"/>
        </w:rPr>
        <w:t>ABCB</w:t>
      </w:r>
      <w:r w:rsidRPr="00EE379B">
        <w:rPr>
          <w:rFonts w:asciiTheme="minorHAnsi" w:hAnsiTheme="minorHAnsi" w:cstheme="minorHAnsi"/>
        </w:rPr>
        <w:t xml:space="preserve"> survey</w:t>
      </w:r>
      <w:r>
        <w:rPr>
          <w:rFonts w:asciiTheme="minorHAnsi" w:hAnsiTheme="minorHAnsi" w:cstheme="minorHAnsi"/>
        </w:rPr>
        <w:t>s</w:t>
      </w:r>
      <w:r w:rsidRPr="00EE379B">
        <w:rPr>
          <w:rFonts w:asciiTheme="minorHAnsi" w:hAnsiTheme="minorHAnsi" w:cstheme="minorHAnsi"/>
        </w:rPr>
        <w:t xml:space="preserve">. </w:t>
      </w:r>
    </w:p>
    <w:p w:rsidR="00FE37D3" w:rsidRPr="00EE379B" w:rsidRDefault="00FE37D3" w:rsidP="00FB0E0C">
      <w:pPr>
        <w:spacing w:after="120"/>
        <w:rPr>
          <w:rFonts w:asciiTheme="minorHAnsi" w:hAnsiTheme="minorHAnsi" w:cstheme="minorHAnsi"/>
        </w:rPr>
      </w:pPr>
      <w:r w:rsidRPr="00EE379B">
        <w:rPr>
          <w:rFonts w:asciiTheme="minorHAnsi" w:hAnsiTheme="minorHAnsi" w:cstheme="minorHAnsi"/>
        </w:rPr>
        <w:t>Examining the proportion of ‘adequate’ responses where fire and structure were nominated by respondents suggests adequacy in this area is not significantly higher. The value of fire Performance Solutions is also on average likely to be higher.</w:t>
      </w:r>
    </w:p>
    <w:p w:rsidR="00FE37D3" w:rsidRPr="00EE379B" w:rsidRDefault="00FE37D3" w:rsidP="00FB0E0C">
      <w:pPr>
        <w:spacing w:after="0"/>
        <w:rPr>
          <w:rFonts w:asciiTheme="minorHAnsi" w:hAnsiTheme="minorHAnsi" w:cstheme="minorHAnsi"/>
        </w:rPr>
      </w:pPr>
      <w:r w:rsidRPr="00EE379B">
        <w:rPr>
          <w:rFonts w:asciiTheme="minorHAnsi" w:hAnsiTheme="minorHAnsi" w:cstheme="minorHAnsi"/>
        </w:rPr>
        <w:t xml:space="preserve">As such, this analysis assumes that </w:t>
      </w:r>
      <w:r>
        <w:rPr>
          <w:rFonts w:asciiTheme="minorHAnsi" w:hAnsiTheme="minorHAnsi" w:cstheme="minorHAnsi"/>
        </w:rPr>
        <w:t>6</w:t>
      </w:r>
      <w:r w:rsidRPr="00EE379B">
        <w:rPr>
          <w:rFonts w:asciiTheme="minorHAnsi" w:hAnsiTheme="minorHAnsi" w:cstheme="minorHAnsi"/>
        </w:rPr>
        <w:t>0</w:t>
      </w:r>
      <w:r>
        <w:rPr>
          <w:rFonts w:asciiTheme="minorHAnsi" w:hAnsiTheme="minorHAnsi" w:cstheme="minorHAnsi"/>
        </w:rPr>
        <w:t xml:space="preserve"> per cent</w:t>
      </w:r>
      <w:r w:rsidRPr="00EE379B">
        <w:rPr>
          <w:rFonts w:asciiTheme="minorHAnsi" w:hAnsiTheme="minorHAnsi" w:cstheme="minorHAnsi"/>
        </w:rPr>
        <w:t xml:space="preserve"> of all Performance Solutions relate to fire and structure. </w:t>
      </w:r>
    </w:p>
    <w:p w:rsidR="00FE37D3" w:rsidRPr="00EE379B" w:rsidRDefault="00FE37D3" w:rsidP="00FB0E0C">
      <w:pPr>
        <w:spacing w:after="0"/>
        <w:rPr>
          <w:rFonts w:asciiTheme="minorHAnsi" w:hAnsiTheme="minorHAnsi" w:cstheme="minorHAnsi"/>
        </w:rPr>
      </w:pPr>
      <w:r w:rsidRPr="007079C0">
        <w:rPr>
          <w:rFonts w:asciiTheme="minorHAnsi" w:hAnsiTheme="minorHAnsi" w:cstheme="minorHAnsi"/>
        </w:rPr>
        <w:lastRenderedPageBreak/>
        <w:t>Should this assumption hold, the annual cost of this option would be $18,687,629</w:t>
      </w:r>
      <w:r w:rsidR="00C20838">
        <w:rPr>
          <w:rFonts w:asciiTheme="minorHAnsi" w:hAnsiTheme="minorHAnsi" w:cstheme="minorHAnsi"/>
        </w:rPr>
        <w:t>,</w:t>
      </w:r>
      <w:r w:rsidRPr="007079C0">
        <w:rPr>
          <w:rFonts w:asciiTheme="minorHAnsi" w:hAnsiTheme="minorHAnsi" w:cstheme="minorHAnsi"/>
        </w:rPr>
        <w:t xml:space="preserve"> or $140,441,871</w:t>
      </w:r>
      <w:r>
        <w:rPr>
          <w:rFonts w:asciiTheme="minorHAnsi" w:hAnsiTheme="minorHAnsi" w:cstheme="minorHAnsi"/>
        </w:rPr>
        <w:t xml:space="preserve"> </w:t>
      </w:r>
      <w:r w:rsidRPr="007079C0">
        <w:rPr>
          <w:rFonts w:asciiTheme="minorHAnsi" w:hAnsiTheme="minorHAnsi" w:cstheme="minorHAnsi"/>
        </w:rPr>
        <w:t xml:space="preserve">in Present Value terms using a discount rate of 7 per cent over 10 years. </w:t>
      </w:r>
    </w:p>
    <w:p w:rsidR="00FE37D3" w:rsidRPr="007536D6" w:rsidRDefault="00FE37D3" w:rsidP="005E1DCB">
      <w:pPr>
        <w:pStyle w:val="Heading4"/>
      </w:pPr>
      <w:r w:rsidRPr="007536D6">
        <w:t>Benefits</w:t>
      </w:r>
    </w:p>
    <w:p w:rsidR="00FE37D3" w:rsidRPr="00EE379B" w:rsidRDefault="00FE37D3" w:rsidP="009C667B">
      <w:pPr>
        <w:rPr>
          <w:rFonts w:asciiTheme="minorHAnsi" w:hAnsiTheme="minorHAnsi" w:cstheme="minorHAnsi"/>
        </w:rPr>
      </w:pPr>
      <w:r w:rsidRPr="00EE379B">
        <w:rPr>
          <w:rFonts w:asciiTheme="minorHAnsi" w:hAnsiTheme="minorHAnsi" w:cstheme="minorHAnsi"/>
        </w:rPr>
        <w:t xml:space="preserve">The amendment of the Governing Requirements will provide a clearer indication of government expectations </w:t>
      </w:r>
      <w:r w:rsidR="00C20838">
        <w:rPr>
          <w:rFonts w:asciiTheme="minorHAnsi" w:hAnsiTheme="minorHAnsi" w:cstheme="minorHAnsi"/>
        </w:rPr>
        <w:t>about</w:t>
      </w:r>
      <w:r w:rsidRPr="00EE379B">
        <w:rPr>
          <w:rFonts w:asciiTheme="minorHAnsi" w:hAnsiTheme="minorHAnsi" w:cstheme="minorHAnsi"/>
        </w:rPr>
        <w:t xml:space="preserve"> compliance with the process for practitioners to follow and governments or third parties to enforce. </w:t>
      </w:r>
      <w:r w:rsidRPr="007079C0">
        <w:rPr>
          <w:rFonts w:asciiTheme="minorHAnsi" w:hAnsiTheme="minorHAnsi" w:cstheme="minorHAnsi"/>
        </w:rPr>
        <w:t>The proposed changes will</w:t>
      </w:r>
      <w:r w:rsidR="00C20838">
        <w:rPr>
          <w:rFonts w:asciiTheme="minorHAnsi" w:hAnsiTheme="minorHAnsi" w:cstheme="minorHAnsi"/>
        </w:rPr>
        <w:t>,</w:t>
      </w:r>
      <w:r w:rsidRPr="007079C0">
        <w:rPr>
          <w:rFonts w:asciiTheme="minorHAnsi" w:hAnsiTheme="minorHAnsi" w:cstheme="minorHAnsi"/>
        </w:rPr>
        <w:t xml:space="preserve"> therefore</w:t>
      </w:r>
      <w:r w:rsidR="00C20838">
        <w:rPr>
          <w:rFonts w:asciiTheme="minorHAnsi" w:hAnsiTheme="minorHAnsi" w:cstheme="minorHAnsi"/>
        </w:rPr>
        <w:t>,</w:t>
      </w:r>
      <w:r w:rsidRPr="007079C0">
        <w:rPr>
          <w:rFonts w:asciiTheme="minorHAnsi" w:hAnsiTheme="minorHAnsi" w:cstheme="minorHAnsi"/>
        </w:rPr>
        <w:t xml:space="preserve"> better reflect government and community expectations when a Performance Solution is developed.</w:t>
      </w:r>
      <w:r w:rsidRPr="00EE379B">
        <w:rPr>
          <w:rFonts w:asciiTheme="minorHAnsi" w:hAnsiTheme="minorHAnsi" w:cstheme="minorHAnsi"/>
        </w:rPr>
        <w:t xml:space="preserve"> Consistent with the survey feedback, </w:t>
      </w:r>
      <w:r>
        <w:rPr>
          <w:rFonts w:asciiTheme="minorHAnsi" w:hAnsiTheme="minorHAnsi" w:cstheme="minorHAnsi"/>
        </w:rPr>
        <w:t xml:space="preserve">by </w:t>
      </w:r>
      <w:r w:rsidRPr="00EE379B">
        <w:rPr>
          <w:rFonts w:asciiTheme="minorHAnsi" w:hAnsiTheme="minorHAnsi" w:cstheme="minorHAnsi"/>
        </w:rPr>
        <w:t>following the process there is a much better chance that Performance Solutions will comply with the NCC’s Performance Requirements and that the building meets community expectation in terms of safety.</w:t>
      </w:r>
    </w:p>
    <w:p w:rsidR="00FE37D3" w:rsidRDefault="00FE37D3" w:rsidP="00FB0E0C">
      <w:pPr>
        <w:rPr>
          <w:rFonts w:asciiTheme="minorHAnsi" w:hAnsiTheme="minorHAnsi" w:cstheme="minorHAnsi"/>
        </w:rPr>
      </w:pPr>
      <w:r w:rsidRPr="00EE379B">
        <w:rPr>
          <w:rFonts w:asciiTheme="minorHAnsi" w:hAnsiTheme="minorHAnsi" w:cstheme="minorHAnsi"/>
        </w:rPr>
        <w:t xml:space="preserve">In the case that a complaint is lodged or where there is an issue with a building </w:t>
      </w:r>
      <w:r w:rsidR="00C20838">
        <w:rPr>
          <w:rFonts w:asciiTheme="minorHAnsi" w:hAnsiTheme="minorHAnsi" w:cstheme="minorHAnsi"/>
        </w:rPr>
        <w:t xml:space="preserve">that is </w:t>
      </w:r>
      <w:r w:rsidRPr="00EE379B">
        <w:rPr>
          <w:rFonts w:asciiTheme="minorHAnsi" w:hAnsiTheme="minorHAnsi" w:cstheme="minorHAnsi"/>
        </w:rPr>
        <w:t xml:space="preserve">limited to fire or structural </w:t>
      </w:r>
      <w:r>
        <w:rPr>
          <w:rFonts w:asciiTheme="minorHAnsi" w:hAnsiTheme="minorHAnsi" w:cstheme="minorHAnsi"/>
        </w:rPr>
        <w:t>solutions</w:t>
      </w:r>
      <w:r w:rsidRPr="00EE379B">
        <w:rPr>
          <w:rFonts w:asciiTheme="minorHAnsi" w:hAnsiTheme="minorHAnsi" w:cstheme="minorHAnsi"/>
        </w:rPr>
        <w:t xml:space="preserve">, governments will have access to documentation for the purpose of </w:t>
      </w:r>
      <w:r w:rsidRPr="007079C0">
        <w:rPr>
          <w:rFonts w:asciiTheme="minorHAnsi" w:hAnsiTheme="minorHAnsi" w:cstheme="minorHAnsi"/>
        </w:rPr>
        <w:t>auditing</w:t>
      </w:r>
      <w:r w:rsidRPr="00EE379B">
        <w:rPr>
          <w:rFonts w:asciiTheme="minorHAnsi" w:hAnsiTheme="minorHAnsi" w:cstheme="minorHAnsi"/>
        </w:rPr>
        <w:t xml:space="preserve"> and determining compliance with the NCC’s Performance Requirements.</w:t>
      </w:r>
    </w:p>
    <w:p w:rsidR="00FE37D3" w:rsidRDefault="00FE37D3" w:rsidP="00FB0E0C">
      <w:pPr>
        <w:rPr>
          <w:rFonts w:asciiTheme="minorHAnsi" w:hAnsiTheme="minorHAnsi" w:cstheme="minorHAnsi"/>
        </w:rPr>
      </w:pPr>
      <w:r w:rsidRPr="007079C0">
        <w:rPr>
          <w:rFonts w:asciiTheme="minorHAnsi" w:hAnsiTheme="minorHAnsi" w:cstheme="minorHAnsi"/>
        </w:rPr>
        <w:t>Over time</w:t>
      </w:r>
      <w:r w:rsidR="00C20838">
        <w:rPr>
          <w:rFonts w:asciiTheme="minorHAnsi" w:hAnsiTheme="minorHAnsi" w:cstheme="minorHAnsi"/>
        </w:rPr>
        <w:t>,</w:t>
      </w:r>
      <w:r w:rsidRPr="007079C0">
        <w:rPr>
          <w:rFonts w:asciiTheme="minorHAnsi" w:hAnsiTheme="minorHAnsi" w:cstheme="minorHAnsi"/>
        </w:rPr>
        <w:t xml:space="preserve"> and combined with other measures, this should result in improved building outcomes, reducing costs of rectification and disputation, lifting confidence in the industry and potentially </w:t>
      </w:r>
      <w:r>
        <w:rPr>
          <w:rFonts w:asciiTheme="minorHAnsi" w:hAnsiTheme="minorHAnsi" w:cstheme="minorHAnsi"/>
        </w:rPr>
        <w:t>contribut</w:t>
      </w:r>
      <w:r w:rsidR="00690EAC">
        <w:rPr>
          <w:rFonts w:asciiTheme="minorHAnsi" w:hAnsiTheme="minorHAnsi" w:cstheme="minorHAnsi"/>
        </w:rPr>
        <w:t>ing</w:t>
      </w:r>
      <w:r>
        <w:rPr>
          <w:rFonts w:asciiTheme="minorHAnsi" w:hAnsiTheme="minorHAnsi" w:cstheme="minorHAnsi"/>
        </w:rPr>
        <w:t xml:space="preserve"> to </w:t>
      </w:r>
      <w:r w:rsidRPr="007079C0">
        <w:rPr>
          <w:rFonts w:asciiTheme="minorHAnsi" w:hAnsiTheme="minorHAnsi" w:cstheme="minorHAnsi"/>
        </w:rPr>
        <w:t>lowering professional indemnity insurance for practitioners.</w:t>
      </w:r>
    </w:p>
    <w:tbl>
      <w:tblPr>
        <w:tblStyle w:val="TableGrid"/>
        <w:tblW w:w="0" w:type="auto"/>
        <w:tblLook w:val="0480" w:firstRow="0" w:lastRow="0" w:firstColumn="1" w:lastColumn="0" w:noHBand="0" w:noVBand="1"/>
        <w:tblCaption w:val="Text box"/>
      </w:tblPr>
      <w:tblGrid>
        <w:gridCol w:w="9060"/>
      </w:tblGrid>
      <w:tr w:rsidR="00FE37D3" w:rsidTr="003756FF">
        <w:trPr>
          <w:tblHeader/>
        </w:trPr>
        <w:tc>
          <w:tcPr>
            <w:tcW w:w="9060" w:type="dxa"/>
            <w:shd w:val="clear" w:color="auto" w:fill="BFBFBF" w:themeFill="background1" w:themeFillShade="BF"/>
          </w:tcPr>
          <w:p w:rsidR="00FE37D3" w:rsidRDefault="00FE37D3" w:rsidP="001D3E0C">
            <w:bookmarkStart w:id="76" w:name="_Hlk35962085"/>
            <w:r w:rsidRPr="00AB283E">
              <w:t xml:space="preserve">The Consultation RIS asked stakeholders whether </w:t>
            </w:r>
            <w:r>
              <w:t>there were any other qualitative or quantitative costs and benefits to consider associated with implementing Option</w:t>
            </w:r>
            <w:r w:rsidR="00690EAC">
              <w:t>s</w:t>
            </w:r>
            <w:r>
              <w:t xml:space="preserve"> 2 or 3. </w:t>
            </w:r>
          </w:p>
        </w:tc>
      </w:tr>
    </w:tbl>
    <w:p w:rsidR="00FE37D3" w:rsidRPr="007079C0" w:rsidRDefault="00FE37D3" w:rsidP="00DA5FF4">
      <w:pPr>
        <w:rPr>
          <w:rFonts w:asciiTheme="minorHAnsi" w:hAnsiTheme="minorHAnsi" w:cstheme="minorHAnsi"/>
        </w:rPr>
      </w:pPr>
      <w:bookmarkStart w:id="77" w:name="_Toc32229041"/>
      <w:bookmarkStart w:id="78" w:name="_Toc33098436"/>
      <w:bookmarkStart w:id="79" w:name="_Toc33098895"/>
      <w:bookmarkEnd w:id="76"/>
      <w:r>
        <w:rPr>
          <w:rFonts w:asciiTheme="minorHAnsi" w:hAnsiTheme="minorHAnsi" w:cstheme="minorHAnsi"/>
        </w:rPr>
        <w:t xml:space="preserve">One respondent felt that </w:t>
      </w:r>
      <w:r w:rsidRPr="00847BCA">
        <w:rPr>
          <w:rFonts w:asciiTheme="minorHAnsi" w:hAnsiTheme="minorHAnsi" w:cstheme="minorHAnsi"/>
        </w:rPr>
        <w:t xml:space="preserve">various psychological impacts – particularly stress – were experienced by owners, usually arising from financial pressures related to the devaluation of properties and drawn-out rectification </w:t>
      </w:r>
      <w:r w:rsidRPr="007079C0">
        <w:rPr>
          <w:rFonts w:asciiTheme="minorHAnsi" w:hAnsiTheme="minorHAnsi" w:cstheme="minorHAnsi"/>
        </w:rPr>
        <w:t>processes. It is acknowledged</w:t>
      </w:r>
      <w:r w:rsidR="00690EAC">
        <w:rPr>
          <w:rFonts w:asciiTheme="minorHAnsi" w:hAnsiTheme="minorHAnsi" w:cstheme="minorHAnsi"/>
        </w:rPr>
        <w:t xml:space="preserve"> that</w:t>
      </w:r>
      <w:r w:rsidRPr="007079C0">
        <w:rPr>
          <w:rFonts w:asciiTheme="minorHAnsi" w:hAnsiTheme="minorHAnsi" w:cstheme="minorHAnsi"/>
        </w:rPr>
        <w:t xml:space="preserve"> stress is an impact associated with building defects </w:t>
      </w:r>
      <w:r w:rsidR="00056590">
        <w:rPr>
          <w:rFonts w:asciiTheme="minorHAnsi" w:hAnsiTheme="minorHAnsi" w:cstheme="minorHAnsi"/>
        </w:rPr>
        <w:t>that</w:t>
      </w:r>
      <w:r w:rsidR="00056590" w:rsidRPr="007079C0">
        <w:rPr>
          <w:rFonts w:asciiTheme="minorHAnsi" w:hAnsiTheme="minorHAnsi" w:cstheme="minorHAnsi"/>
        </w:rPr>
        <w:t xml:space="preserve"> </w:t>
      </w:r>
      <w:r w:rsidRPr="007079C0">
        <w:rPr>
          <w:rFonts w:asciiTheme="minorHAnsi" w:hAnsiTheme="minorHAnsi" w:cstheme="minorHAnsi"/>
        </w:rPr>
        <w:t>require rectification work</w:t>
      </w:r>
      <w:r w:rsidR="00690EAC">
        <w:rPr>
          <w:rFonts w:asciiTheme="minorHAnsi" w:hAnsiTheme="minorHAnsi" w:cstheme="minorHAnsi"/>
        </w:rPr>
        <w:t>,</w:t>
      </w:r>
      <w:r w:rsidRPr="007079C0">
        <w:rPr>
          <w:rFonts w:asciiTheme="minorHAnsi" w:hAnsiTheme="minorHAnsi" w:cstheme="minorHAnsi"/>
        </w:rPr>
        <w:t xml:space="preserve"> although this impact is difficult to quantify. In this sense, stress is a qualitative cost of the status quo which may be avoided under Option 2 or Option 3. </w:t>
      </w:r>
    </w:p>
    <w:p w:rsidR="00FE37D3" w:rsidRDefault="00FE37D3" w:rsidP="00DA5FF4">
      <w:r w:rsidRPr="007079C0">
        <w:lastRenderedPageBreak/>
        <w:t xml:space="preserve">Five stakeholders commented on the issue of insurance. </w:t>
      </w:r>
      <w:r>
        <w:t xml:space="preserve">One respondent suggested Professional Indemnity (PI) insurance premiums would decrease, however, </w:t>
      </w:r>
      <w:r w:rsidR="00690EAC">
        <w:t>they</w:t>
      </w:r>
      <w:r>
        <w:t xml:space="preserve"> did not elaborate further. </w:t>
      </w:r>
      <w:r w:rsidRPr="007079C0">
        <w:t>Most stakeholders (4 out of 5) felt that insurance premiums will be unaffected by the proposed changes with</w:t>
      </w:r>
      <w:r>
        <w:t xml:space="preserve"> one citing that there are other factors </w:t>
      </w:r>
      <w:r w:rsidR="00056590">
        <w:t xml:space="preserve">that </w:t>
      </w:r>
      <w:r>
        <w:t>would overrule any administrative changes to the Performance Solution process. This conclusion is also consistent with the results of the recent ABCB survey (Figure</w:t>
      </w:r>
      <w:r w:rsidR="00690EAC">
        <w:t> </w:t>
      </w:r>
      <w:r>
        <w:t xml:space="preserve">2). </w:t>
      </w:r>
    </w:p>
    <w:p w:rsidR="00FE37D3" w:rsidRPr="00687D81" w:rsidRDefault="00FE37D3" w:rsidP="00087D8C">
      <w:pPr>
        <w:pStyle w:val="Heading2"/>
      </w:pPr>
      <w:r w:rsidRPr="00687D81">
        <w:t>Break-Even Analysis</w:t>
      </w:r>
      <w:bookmarkEnd w:id="77"/>
      <w:bookmarkEnd w:id="78"/>
      <w:bookmarkEnd w:id="79"/>
    </w:p>
    <w:p w:rsidR="00FE37D3" w:rsidRDefault="00FE37D3" w:rsidP="00687D81">
      <w:pPr>
        <w:rPr>
          <w:rFonts w:asciiTheme="minorHAnsi" w:hAnsiTheme="minorHAnsi" w:cstheme="minorHAnsi"/>
        </w:rPr>
      </w:pPr>
      <w:r>
        <w:rPr>
          <w:rFonts w:asciiTheme="minorHAnsi" w:hAnsiTheme="minorHAnsi" w:cstheme="minorHAnsi"/>
        </w:rPr>
        <w:t>There remains</w:t>
      </w:r>
      <w:r w:rsidRPr="00687D81">
        <w:rPr>
          <w:rFonts w:asciiTheme="minorHAnsi" w:hAnsiTheme="minorHAnsi" w:cstheme="minorHAnsi"/>
        </w:rPr>
        <w:t xml:space="preserve"> limited evidence to indicate the extent of the problem in </w:t>
      </w:r>
      <w:r>
        <w:rPr>
          <w:rFonts w:asciiTheme="minorHAnsi" w:hAnsiTheme="minorHAnsi" w:cstheme="minorHAnsi"/>
        </w:rPr>
        <w:t>monetary terms annually</w:t>
      </w:r>
      <w:r w:rsidRPr="00687D81">
        <w:rPr>
          <w:rFonts w:asciiTheme="minorHAnsi" w:hAnsiTheme="minorHAnsi" w:cstheme="minorHAnsi"/>
        </w:rPr>
        <w:t>.</w:t>
      </w:r>
      <w:r>
        <w:rPr>
          <w:rFonts w:asciiTheme="minorHAnsi" w:hAnsiTheme="minorHAnsi" w:cstheme="minorHAnsi"/>
        </w:rPr>
        <w:t xml:space="preserve"> In such </w:t>
      </w:r>
      <w:r w:rsidRPr="00687D81">
        <w:rPr>
          <w:rFonts w:asciiTheme="minorHAnsi" w:hAnsiTheme="minorHAnsi" w:cstheme="minorHAnsi"/>
        </w:rPr>
        <w:t xml:space="preserve">circumstances a break-even analysis can be helpful to indicate the </w:t>
      </w:r>
      <w:r>
        <w:rPr>
          <w:rFonts w:asciiTheme="minorHAnsi" w:hAnsiTheme="minorHAnsi" w:cstheme="minorHAnsi"/>
        </w:rPr>
        <w:t xml:space="preserve">frequency of benefits required relative to </w:t>
      </w:r>
      <w:r w:rsidR="00690EAC">
        <w:rPr>
          <w:rFonts w:asciiTheme="minorHAnsi" w:hAnsiTheme="minorHAnsi" w:cstheme="minorHAnsi"/>
        </w:rPr>
        <w:t>an</w:t>
      </w:r>
      <w:r>
        <w:rPr>
          <w:rFonts w:asciiTheme="minorHAnsi" w:hAnsiTheme="minorHAnsi" w:cstheme="minorHAnsi"/>
        </w:rPr>
        <w:t xml:space="preserve"> option</w:t>
      </w:r>
      <w:r w:rsidR="00690EAC">
        <w:rPr>
          <w:rFonts w:asciiTheme="minorHAnsi" w:hAnsiTheme="minorHAnsi" w:cstheme="minorHAnsi"/>
        </w:rPr>
        <w:t>’</w:t>
      </w:r>
      <w:r>
        <w:rPr>
          <w:rFonts w:asciiTheme="minorHAnsi" w:hAnsiTheme="minorHAnsi" w:cstheme="minorHAnsi"/>
        </w:rPr>
        <w:t xml:space="preserve">s costs </w:t>
      </w:r>
      <w:r w:rsidR="00690EAC">
        <w:rPr>
          <w:rFonts w:asciiTheme="minorHAnsi" w:hAnsiTheme="minorHAnsi" w:cstheme="minorHAnsi"/>
        </w:rPr>
        <w:t xml:space="preserve">to </w:t>
      </w:r>
      <w:r>
        <w:rPr>
          <w:rFonts w:asciiTheme="minorHAnsi" w:hAnsiTheme="minorHAnsi" w:cstheme="minorHAnsi"/>
        </w:rPr>
        <w:t>inform the feasibility of the option</w:t>
      </w:r>
      <w:r w:rsidRPr="00687D81">
        <w:rPr>
          <w:rFonts w:asciiTheme="minorHAnsi" w:hAnsiTheme="minorHAnsi" w:cstheme="minorHAnsi"/>
        </w:rPr>
        <w:t xml:space="preserve">. </w:t>
      </w:r>
    </w:p>
    <w:p w:rsidR="00FE37D3" w:rsidRDefault="00FE37D3" w:rsidP="00687D81">
      <w:pPr>
        <w:rPr>
          <w:rFonts w:asciiTheme="minorHAnsi" w:hAnsiTheme="minorHAnsi" w:cstheme="minorHAnsi"/>
        </w:rPr>
      </w:pPr>
      <w:r w:rsidRPr="00687D81">
        <w:rPr>
          <w:rFonts w:asciiTheme="minorHAnsi" w:hAnsiTheme="minorHAnsi" w:cstheme="minorHAnsi"/>
        </w:rPr>
        <w:t xml:space="preserve">A break-even analysis calculates the benefits needed to equal the costs using a key assumption. In this case the key assumption is the number of buildings </w:t>
      </w:r>
      <w:r>
        <w:rPr>
          <w:rFonts w:asciiTheme="minorHAnsi" w:hAnsiTheme="minorHAnsi" w:cstheme="minorHAnsi"/>
        </w:rPr>
        <w:t>that</w:t>
      </w:r>
      <w:r w:rsidRPr="00687D81">
        <w:rPr>
          <w:rFonts w:asciiTheme="minorHAnsi" w:hAnsiTheme="minorHAnsi" w:cstheme="minorHAnsi"/>
        </w:rPr>
        <w:t xml:space="preserve"> require rectification and the costs associated with</w:t>
      </w:r>
      <w:r>
        <w:rPr>
          <w:rFonts w:asciiTheme="minorHAnsi" w:hAnsiTheme="minorHAnsi" w:cstheme="minorHAnsi"/>
        </w:rPr>
        <w:t xml:space="preserve"> that</w:t>
      </w:r>
      <w:r w:rsidRPr="00687D81">
        <w:rPr>
          <w:rFonts w:asciiTheme="minorHAnsi" w:hAnsiTheme="minorHAnsi" w:cstheme="minorHAnsi"/>
        </w:rPr>
        <w:t xml:space="preserve"> rectification. </w:t>
      </w:r>
      <w:r>
        <w:rPr>
          <w:rFonts w:asciiTheme="minorHAnsi" w:hAnsiTheme="minorHAnsi" w:cstheme="minorHAnsi"/>
        </w:rPr>
        <w:t xml:space="preserve">However, with the limited information that is available, estimates that take account of the uncertainty need to be carefully selected. </w:t>
      </w:r>
      <w:r w:rsidRPr="007079C0">
        <w:rPr>
          <w:rFonts w:asciiTheme="minorHAnsi" w:hAnsiTheme="minorHAnsi" w:cstheme="minorHAnsi"/>
        </w:rPr>
        <w:t>One example</w:t>
      </w:r>
      <w:r w:rsidR="00690EAC">
        <w:rPr>
          <w:rFonts w:asciiTheme="minorHAnsi" w:hAnsiTheme="minorHAnsi" w:cstheme="minorHAnsi"/>
        </w:rPr>
        <w:t>,</w:t>
      </w:r>
      <w:r w:rsidRPr="007079C0">
        <w:rPr>
          <w:rFonts w:asciiTheme="minorHAnsi" w:hAnsiTheme="minorHAnsi" w:cstheme="minorHAnsi"/>
        </w:rPr>
        <w:t xml:space="preserve"> both likely to affect all building architypes and </w:t>
      </w:r>
      <w:r w:rsidR="00690EAC">
        <w:rPr>
          <w:rFonts w:asciiTheme="minorHAnsi" w:hAnsiTheme="minorHAnsi" w:cstheme="minorHAnsi"/>
        </w:rPr>
        <w:t>requiring</w:t>
      </w:r>
      <w:r w:rsidRPr="007079C0">
        <w:rPr>
          <w:rFonts w:asciiTheme="minorHAnsi" w:hAnsiTheme="minorHAnsi" w:cstheme="minorHAnsi"/>
        </w:rPr>
        <w:t xml:space="preserve"> a </w:t>
      </w:r>
      <w:r w:rsidR="00690EAC">
        <w:rPr>
          <w:rFonts w:asciiTheme="minorHAnsi" w:hAnsiTheme="minorHAnsi" w:cstheme="minorHAnsi"/>
        </w:rPr>
        <w:t>P</w:t>
      </w:r>
      <w:r w:rsidRPr="007079C0">
        <w:rPr>
          <w:rFonts w:asciiTheme="minorHAnsi" w:hAnsiTheme="minorHAnsi" w:cstheme="minorHAnsi"/>
        </w:rPr>
        <w:t xml:space="preserve">erformance </w:t>
      </w:r>
      <w:r w:rsidR="00690EAC">
        <w:rPr>
          <w:rFonts w:asciiTheme="minorHAnsi" w:hAnsiTheme="minorHAnsi" w:cstheme="minorHAnsi"/>
        </w:rPr>
        <w:t>S</w:t>
      </w:r>
      <w:r w:rsidRPr="007079C0">
        <w:rPr>
          <w:rFonts w:asciiTheme="minorHAnsi" w:hAnsiTheme="minorHAnsi" w:cstheme="minorHAnsi"/>
        </w:rPr>
        <w:t>olution</w:t>
      </w:r>
      <w:r w:rsidR="00690EAC">
        <w:rPr>
          <w:rFonts w:asciiTheme="minorHAnsi" w:hAnsiTheme="minorHAnsi" w:cstheme="minorHAnsi"/>
        </w:rPr>
        <w:t>,</w:t>
      </w:r>
      <w:r w:rsidRPr="007079C0">
        <w:rPr>
          <w:rFonts w:asciiTheme="minorHAnsi" w:hAnsiTheme="minorHAnsi" w:cstheme="minorHAnsi"/>
        </w:rPr>
        <w:t xml:space="preserve"> is problems associated with non-DTS cladding.</w:t>
      </w:r>
      <w:r>
        <w:rPr>
          <w:rFonts w:asciiTheme="minorHAnsi" w:hAnsiTheme="minorHAnsi" w:cstheme="minorHAnsi"/>
        </w:rPr>
        <w:t xml:space="preserve"> </w:t>
      </w:r>
    </w:p>
    <w:p w:rsidR="00FE37D3" w:rsidRPr="00687D81" w:rsidRDefault="00FE37D3" w:rsidP="00687D81">
      <w:pPr>
        <w:rPr>
          <w:rFonts w:asciiTheme="minorHAnsi" w:hAnsiTheme="minorHAnsi" w:cstheme="minorHAnsi"/>
        </w:rPr>
      </w:pPr>
      <w:r w:rsidRPr="00687D81">
        <w:rPr>
          <w:rFonts w:asciiTheme="minorHAnsi" w:hAnsiTheme="minorHAnsi" w:cstheme="minorHAnsi"/>
        </w:rPr>
        <w:t xml:space="preserve">Benefits are calculated by multiplying the key assumption </w:t>
      </w:r>
      <w:r>
        <w:rPr>
          <w:rFonts w:asciiTheme="minorHAnsi" w:hAnsiTheme="minorHAnsi" w:cstheme="minorHAnsi"/>
        </w:rPr>
        <w:t xml:space="preserve">to determine the </w:t>
      </w:r>
      <w:r w:rsidRPr="00687D81">
        <w:rPr>
          <w:rFonts w:asciiTheme="minorHAnsi" w:hAnsiTheme="minorHAnsi" w:cstheme="minorHAnsi"/>
        </w:rPr>
        <w:t xml:space="preserve">frequency </w:t>
      </w:r>
      <w:r>
        <w:rPr>
          <w:rFonts w:asciiTheme="minorHAnsi" w:hAnsiTheme="minorHAnsi" w:cstheme="minorHAnsi"/>
        </w:rPr>
        <w:t xml:space="preserve">of avoided failures </w:t>
      </w:r>
      <w:r w:rsidRPr="00687D81">
        <w:rPr>
          <w:rFonts w:asciiTheme="minorHAnsi" w:hAnsiTheme="minorHAnsi" w:cstheme="minorHAnsi"/>
        </w:rPr>
        <w:t xml:space="preserve">over a </w:t>
      </w:r>
      <w:r w:rsidRPr="007079C0">
        <w:rPr>
          <w:rFonts w:asciiTheme="minorHAnsi" w:hAnsiTheme="minorHAnsi" w:cstheme="minorHAnsi"/>
        </w:rPr>
        <w:t>forty-year period</w:t>
      </w:r>
      <w:r w:rsidRPr="00687D81">
        <w:rPr>
          <w:rFonts w:asciiTheme="minorHAnsi" w:hAnsiTheme="minorHAnsi" w:cstheme="minorHAnsi"/>
        </w:rPr>
        <w:t xml:space="preserve"> </w:t>
      </w:r>
      <w:r>
        <w:rPr>
          <w:rFonts w:asciiTheme="minorHAnsi" w:hAnsiTheme="minorHAnsi" w:cstheme="minorHAnsi"/>
        </w:rPr>
        <w:t>and derive</w:t>
      </w:r>
      <w:r w:rsidRPr="00687D81">
        <w:rPr>
          <w:rFonts w:asciiTheme="minorHAnsi" w:hAnsiTheme="minorHAnsi" w:cstheme="minorHAnsi"/>
        </w:rPr>
        <w:t xml:space="preserve"> the Present Value benefit </w:t>
      </w:r>
      <w:r>
        <w:rPr>
          <w:rFonts w:asciiTheme="minorHAnsi" w:hAnsiTheme="minorHAnsi" w:cstheme="minorHAnsi"/>
        </w:rPr>
        <w:t xml:space="preserve">that would be </w:t>
      </w:r>
      <w:r w:rsidRPr="00687D81">
        <w:rPr>
          <w:rFonts w:asciiTheme="minorHAnsi" w:hAnsiTheme="minorHAnsi" w:cstheme="minorHAnsi"/>
        </w:rPr>
        <w:t xml:space="preserve">required to offset the Present Value cost. </w:t>
      </w:r>
    </w:p>
    <w:p w:rsidR="00FE37D3" w:rsidRDefault="00FE37D3" w:rsidP="00687D81">
      <w:pPr>
        <w:rPr>
          <w:rFonts w:asciiTheme="minorHAnsi" w:hAnsiTheme="minorHAnsi" w:cstheme="minorHAnsi"/>
        </w:rPr>
      </w:pPr>
      <w:r w:rsidRPr="00687D81">
        <w:rPr>
          <w:rFonts w:asciiTheme="minorHAnsi" w:hAnsiTheme="minorHAnsi" w:cstheme="minorHAnsi"/>
        </w:rPr>
        <w:t>The number of buildings required to avoid rectification work per year for the calculated benefits to equal</w:t>
      </w:r>
      <w:r>
        <w:rPr>
          <w:rFonts w:asciiTheme="minorHAnsi" w:hAnsiTheme="minorHAnsi" w:cstheme="minorHAnsi"/>
        </w:rPr>
        <w:t xml:space="preserve"> or exceed</w:t>
      </w:r>
      <w:r w:rsidRPr="00687D81">
        <w:rPr>
          <w:rFonts w:asciiTheme="minorHAnsi" w:hAnsiTheme="minorHAnsi" w:cstheme="minorHAnsi"/>
        </w:rPr>
        <w:t xml:space="preserve"> the costs </w:t>
      </w:r>
      <w:r>
        <w:rPr>
          <w:rFonts w:asciiTheme="minorHAnsi" w:hAnsiTheme="minorHAnsi" w:cstheme="minorHAnsi"/>
        </w:rPr>
        <w:t>for both options is</w:t>
      </w:r>
      <w:r w:rsidRPr="00687D81">
        <w:rPr>
          <w:rFonts w:asciiTheme="minorHAnsi" w:hAnsiTheme="minorHAnsi" w:cstheme="minorHAnsi"/>
        </w:rPr>
        <w:t xml:space="preserve"> shown in Table </w:t>
      </w:r>
      <w:r>
        <w:rPr>
          <w:rFonts w:asciiTheme="minorHAnsi" w:hAnsiTheme="minorHAnsi" w:cstheme="minorHAnsi"/>
        </w:rPr>
        <w:t>12 for residential buildings and Table 13 for commercial buildings</w:t>
      </w:r>
      <w:r w:rsidRPr="00687D81">
        <w:rPr>
          <w:rFonts w:asciiTheme="minorHAnsi" w:hAnsiTheme="minorHAnsi" w:cstheme="minorHAnsi"/>
        </w:rPr>
        <w:t>.</w:t>
      </w:r>
    </w:p>
    <w:p w:rsidR="00FE37D3" w:rsidRDefault="00FE37D3">
      <w:pPr>
        <w:spacing w:before="0" w:after="200" w:line="276" w:lineRule="auto"/>
        <w:jc w:val="left"/>
        <w:rPr>
          <w:rFonts w:asciiTheme="minorHAnsi" w:hAnsiTheme="minorHAnsi" w:cstheme="minorHAnsi"/>
        </w:rPr>
      </w:pPr>
      <w:r>
        <w:rPr>
          <w:rFonts w:asciiTheme="minorHAnsi" w:hAnsiTheme="minorHAnsi" w:cstheme="minorHAnsi"/>
        </w:rPr>
        <w:br w:type="page"/>
      </w:r>
    </w:p>
    <w:p w:rsidR="00FE37D3" w:rsidRDefault="00FE37D3" w:rsidP="005E1DCB">
      <w:pPr>
        <w:pStyle w:val="Caption"/>
      </w:pPr>
      <w:r>
        <w:lastRenderedPageBreak/>
        <w:t xml:space="preserve">Table </w:t>
      </w:r>
      <w:r>
        <w:rPr>
          <w:noProof/>
        </w:rPr>
        <w:fldChar w:fldCharType="begin"/>
      </w:r>
      <w:r>
        <w:rPr>
          <w:noProof/>
        </w:rPr>
        <w:instrText xml:space="preserve"> SEQ Table \* ARABIC </w:instrText>
      </w:r>
      <w:r>
        <w:rPr>
          <w:noProof/>
        </w:rPr>
        <w:fldChar w:fldCharType="separate"/>
      </w:r>
      <w:r w:rsidR="002D1698">
        <w:rPr>
          <w:noProof/>
        </w:rPr>
        <w:t>9</w:t>
      </w:r>
      <w:r>
        <w:rPr>
          <w:noProof/>
        </w:rPr>
        <w:fldChar w:fldCharType="end"/>
      </w:r>
      <w:r>
        <w:t xml:space="preserve"> Break-even analysis for residential buildings</w:t>
      </w:r>
    </w:p>
    <w:tbl>
      <w:tblPr>
        <w:tblStyle w:val="TableGrid"/>
        <w:tblW w:w="0" w:type="auto"/>
        <w:tblLook w:val="04A0" w:firstRow="1" w:lastRow="0" w:firstColumn="1" w:lastColumn="0" w:noHBand="0" w:noVBand="1"/>
        <w:tblCaption w:val="Table 12 Break-even analysis for residential buildings"/>
      </w:tblPr>
      <w:tblGrid>
        <w:gridCol w:w="2052"/>
        <w:gridCol w:w="2915"/>
        <w:gridCol w:w="1742"/>
        <w:gridCol w:w="2361"/>
      </w:tblGrid>
      <w:tr w:rsidR="00FE37D3" w:rsidTr="003756FF">
        <w:trPr>
          <w:tblHeader/>
        </w:trPr>
        <w:tc>
          <w:tcPr>
            <w:tcW w:w="2052" w:type="dxa"/>
            <w:tcBorders>
              <w:top w:val="nil"/>
              <w:left w:val="nil"/>
              <w:bottom w:val="single" w:sz="4" w:space="0" w:color="184897"/>
              <w:right w:val="nil"/>
            </w:tcBorders>
            <w:shd w:val="clear" w:color="auto" w:fill="184897"/>
          </w:tcPr>
          <w:p w:rsidR="00FE37D3" w:rsidRDefault="00FE37D3" w:rsidP="005E1DCB">
            <w:pPr>
              <w:pStyle w:val="TableHeading"/>
            </w:pPr>
          </w:p>
        </w:tc>
        <w:tc>
          <w:tcPr>
            <w:tcW w:w="2915" w:type="dxa"/>
            <w:tcBorders>
              <w:top w:val="nil"/>
              <w:left w:val="nil"/>
              <w:bottom w:val="single" w:sz="4" w:space="0" w:color="184897"/>
              <w:right w:val="nil"/>
            </w:tcBorders>
            <w:shd w:val="clear" w:color="auto" w:fill="184897"/>
          </w:tcPr>
          <w:p w:rsidR="00FE37D3" w:rsidRDefault="00FE37D3" w:rsidP="005E1DCB">
            <w:pPr>
              <w:pStyle w:val="TableHeading"/>
            </w:pPr>
            <w:r>
              <w:t>Present Value Costs</w:t>
            </w:r>
          </w:p>
        </w:tc>
        <w:tc>
          <w:tcPr>
            <w:tcW w:w="1742" w:type="dxa"/>
            <w:tcBorders>
              <w:top w:val="nil"/>
              <w:left w:val="nil"/>
              <w:bottom w:val="single" w:sz="4" w:space="0" w:color="184897"/>
              <w:right w:val="nil"/>
            </w:tcBorders>
            <w:shd w:val="clear" w:color="auto" w:fill="184897"/>
          </w:tcPr>
          <w:p w:rsidR="00FE37D3" w:rsidRDefault="00FE37D3" w:rsidP="005E1DCB">
            <w:pPr>
              <w:pStyle w:val="TableHeading"/>
            </w:pPr>
            <w:r>
              <w:t xml:space="preserve">Assumed rectification cost (per dwelling) </w:t>
            </w:r>
          </w:p>
        </w:tc>
        <w:tc>
          <w:tcPr>
            <w:tcW w:w="2361" w:type="dxa"/>
            <w:tcBorders>
              <w:top w:val="nil"/>
              <w:left w:val="nil"/>
              <w:bottom w:val="single" w:sz="4" w:space="0" w:color="184897"/>
              <w:right w:val="nil"/>
            </w:tcBorders>
            <w:shd w:val="clear" w:color="auto" w:fill="184897"/>
          </w:tcPr>
          <w:p w:rsidR="00FE37D3" w:rsidRDefault="00FE37D3" w:rsidP="005E1DCB">
            <w:pPr>
              <w:pStyle w:val="TableHeading"/>
            </w:pPr>
            <w:r>
              <w:t xml:space="preserve">Annual number of </w:t>
            </w:r>
            <w:r w:rsidR="005B1EEE">
              <w:t xml:space="preserve">buildings avoiding </w:t>
            </w:r>
            <w:r>
              <w:t xml:space="preserve">rectification </w:t>
            </w:r>
            <w:r w:rsidR="005B1EEE">
              <w:t>to Breakeven</w:t>
            </w:r>
          </w:p>
        </w:tc>
      </w:tr>
      <w:tr w:rsidR="00FE37D3" w:rsidRPr="00E07E71" w:rsidTr="007079C0">
        <w:tc>
          <w:tcPr>
            <w:tcW w:w="2052" w:type="dxa"/>
            <w:tcBorders>
              <w:top w:val="single" w:sz="4" w:space="0" w:color="184897"/>
              <w:left w:val="nil"/>
              <w:bottom w:val="single" w:sz="4" w:space="0" w:color="184897"/>
              <w:right w:val="nil"/>
            </w:tcBorders>
          </w:tcPr>
          <w:p w:rsidR="00FE37D3" w:rsidRPr="00B141DF" w:rsidRDefault="00FE37D3" w:rsidP="005E1DCB">
            <w:pPr>
              <w:pStyle w:val="TableBody"/>
            </w:pPr>
            <w:r w:rsidRPr="00AE3C78">
              <w:t>Option 2</w:t>
            </w:r>
          </w:p>
        </w:tc>
        <w:tc>
          <w:tcPr>
            <w:tcW w:w="2915" w:type="dxa"/>
            <w:tcBorders>
              <w:top w:val="single" w:sz="4" w:space="0" w:color="184897"/>
              <w:left w:val="nil"/>
              <w:bottom w:val="single" w:sz="4" w:space="0" w:color="184897"/>
              <w:right w:val="nil"/>
            </w:tcBorders>
          </w:tcPr>
          <w:p w:rsidR="00FE37D3" w:rsidRPr="005E1DCB" w:rsidRDefault="00FE37D3" w:rsidP="005E1DCB">
            <w:pPr>
              <w:pStyle w:val="TableBody"/>
            </w:pPr>
            <w:r w:rsidRPr="005E1DCB">
              <w:t>$39,794,418</w:t>
            </w:r>
          </w:p>
        </w:tc>
        <w:tc>
          <w:tcPr>
            <w:tcW w:w="1742" w:type="dxa"/>
            <w:tcBorders>
              <w:top w:val="single" w:sz="4" w:space="0" w:color="184897"/>
              <w:left w:val="nil"/>
              <w:bottom w:val="single" w:sz="4" w:space="0" w:color="184897"/>
              <w:right w:val="nil"/>
            </w:tcBorders>
          </w:tcPr>
          <w:p w:rsidR="00FE37D3" w:rsidRPr="00AE3C78" w:rsidRDefault="00FE37D3" w:rsidP="005E1DCB">
            <w:pPr>
              <w:pStyle w:val="TableBody"/>
            </w:pPr>
            <w:r>
              <w:t>$98,429</w:t>
            </w:r>
          </w:p>
        </w:tc>
        <w:tc>
          <w:tcPr>
            <w:tcW w:w="2361" w:type="dxa"/>
            <w:tcBorders>
              <w:top w:val="single" w:sz="4" w:space="0" w:color="184897"/>
              <w:left w:val="nil"/>
              <w:bottom w:val="single" w:sz="4" w:space="0" w:color="184897"/>
              <w:right w:val="nil"/>
            </w:tcBorders>
          </w:tcPr>
          <w:p w:rsidR="00FE37D3" w:rsidRPr="00AE3C78" w:rsidRDefault="00FE37D3" w:rsidP="005E1DCB">
            <w:pPr>
              <w:pStyle w:val="TableBody"/>
            </w:pPr>
            <w:r w:rsidRPr="00AE3C78">
              <w:t>3.8</w:t>
            </w:r>
          </w:p>
        </w:tc>
      </w:tr>
      <w:tr w:rsidR="00FE37D3" w:rsidRPr="00E07E71" w:rsidTr="007079C0">
        <w:tc>
          <w:tcPr>
            <w:tcW w:w="2052" w:type="dxa"/>
            <w:tcBorders>
              <w:top w:val="single" w:sz="4" w:space="0" w:color="184897"/>
              <w:left w:val="nil"/>
              <w:bottom w:val="single" w:sz="4" w:space="0" w:color="184897"/>
              <w:right w:val="nil"/>
            </w:tcBorders>
          </w:tcPr>
          <w:p w:rsidR="00FE37D3" w:rsidRPr="005E1DCB" w:rsidRDefault="00FE37D3" w:rsidP="005E1DCB">
            <w:pPr>
              <w:pStyle w:val="TableBody"/>
            </w:pPr>
            <w:r w:rsidRPr="005E1DCB">
              <w:t>Option 3</w:t>
            </w:r>
          </w:p>
        </w:tc>
        <w:tc>
          <w:tcPr>
            <w:tcW w:w="2915" w:type="dxa"/>
            <w:tcBorders>
              <w:top w:val="single" w:sz="4" w:space="0" w:color="184897"/>
              <w:left w:val="nil"/>
              <w:bottom w:val="single" w:sz="4" w:space="0" w:color="184897"/>
              <w:right w:val="nil"/>
            </w:tcBorders>
          </w:tcPr>
          <w:p w:rsidR="00FE37D3" w:rsidRPr="005E1DCB" w:rsidRDefault="00FE37D3" w:rsidP="005E1DCB">
            <w:pPr>
              <w:pStyle w:val="TableBody"/>
            </w:pPr>
            <w:r w:rsidRPr="005E1DCB">
              <w:t>$</w:t>
            </w:r>
            <w:r>
              <w:t>23,876,651</w:t>
            </w:r>
          </w:p>
        </w:tc>
        <w:tc>
          <w:tcPr>
            <w:tcW w:w="1742" w:type="dxa"/>
            <w:tcBorders>
              <w:top w:val="single" w:sz="4" w:space="0" w:color="184897"/>
              <w:left w:val="nil"/>
              <w:bottom w:val="single" w:sz="4" w:space="0" w:color="184897"/>
              <w:right w:val="nil"/>
            </w:tcBorders>
          </w:tcPr>
          <w:p w:rsidR="00FE37D3" w:rsidRPr="00AE3C78" w:rsidDel="000174C7" w:rsidRDefault="00FE37D3" w:rsidP="005E1DCB">
            <w:pPr>
              <w:pStyle w:val="TableBody"/>
            </w:pPr>
            <w:r>
              <w:t>$98,429</w:t>
            </w:r>
          </w:p>
        </w:tc>
        <w:tc>
          <w:tcPr>
            <w:tcW w:w="2361" w:type="dxa"/>
            <w:tcBorders>
              <w:top w:val="single" w:sz="4" w:space="0" w:color="184897"/>
              <w:left w:val="nil"/>
              <w:bottom w:val="single" w:sz="4" w:space="0" w:color="184897"/>
              <w:right w:val="nil"/>
            </w:tcBorders>
          </w:tcPr>
          <w:p w:rsidR="00FE37D3" w:rsidRPr="00AE3C78" w:rsidRDefault="00FE37D3" w:rsidP="005E1DCB">
            <w:pPr>
              <w:pStyle w:val="TableBody"/>
            </w:pPr>
            <w:r>
              <w:t>2.3</w:t>
            </w:r>
          </w:p>
        </w:tc>
      </w:tr>
    </w:tbl>
    <w:p w:rsidR="00FE37D3" w:rsidRPr="00885368" w:rsidRDefault="00FE37D3" w:rsidP="005E1DCB">
      <w:pPr>
        <w:spacing w:before="120" w:after="120"/>
        <w:rPr>
          <w:rFonts w:asciiTheme="minorHAnsi" w:hAnsiTheme="minorHAnsi" w:cstheme="minorHAnsi"/>
          <w:sz w:val="18"/>
        </w:rPr>
      </w:pPr>
      <w:r w:rsidRPr="00885368">
        <w:rPr>
          <w:rFonts w:asciiTheme="minorHAnsi" w:hAnsiTheme="minorHAnsi" w:cstheme="minorHAnsi"/>
          <w:sz w:val="18"/>
        </w:rPr>
        <w:t>Notes:</w:t>
      </w:r>
    </w:p>
    <w:p w:rsidR="00FE37D3" w:rsidRPr="00885368" w:rsidRDefault="00FE37D3" w:rsidP="00FF3BDF">
      <w:pPr>
        <w:pStyle w:val="ListParagraph"/>
        <w:numPr>
          <w:ilvl w:val="0"/>
          <w:numId w:val="8"/>
        </w:numPr>
        <w:spacing w:before="120" w:after="120"/>
        <w:rPr>
          <w:rFonts w:asciiTheme="minorHAnsi" w:hAnsiTheme="minorHAnsi" w:cstheme="minorHAnsi"/>
          <w:sz w:val="18"/>
        </w:rPr>
      </w:pPr>
      <w:r w:rsidRPr="00885368">
        <w:rPr>
          <w:rFonts w:asciiTheme="minorHAnsi" w:hAnsiTheme="minorHAnsi" w:cstheme="minorHAnsi"/>
          <w:sz w:val="18"/>
        </w:rPr>
        <w:t xml:space="preserve">Present Value costs calculated using a 7% discount rate over a ten year period. </w:t>
      </w:r>
    </w:p>
    <w:p w:rsidR="00FE37D3" w:rsidRPr="00885368" w:rsidRDefault="00FE37D3" w:rsidP="00FF3BDF">
      <w:pPr>
        <w:pStyle w:val="ListParagraph"/>
        <w:numPr>
          <w:ilvl w:val="0"/>
          <w:numId w:val="8"/>
        </w:numPr>
        <w:spacing w:before="120" w:after="120"/>
        <w:rPr>
          <w:rFonts w:asciiTheme="minorHAnsi" w:hAnsiTheme="minorHAnsi" w:cstheme="minorHAnsi"/>
          <w:sz w:val="18"/>
        </w:rPr>
      </w:pPr>
      <w:r w:rsidRPr="00885368">
        <w:rPr>
          <w:rFonts w:asciiTheme="minorHAnsi" w:hAnsiTheme="minorHAnsi" w:cstheme="minorHAnsi"/>
          <w:sz w:val="18"/>
        </w:rPr>
        <w:t xml:space="preserve">Required Present Value benefits calculated using a 7% discount rate over a forty-year period. </w:t>
      </w:r>
    </w:p>
    <w:p w:rsidR="00FE37D3" w:rsidRPr="00885368" w:rsidRDefault="00FE37D3" w:rsidP="00FF3BDF">
      <w:pPr>
        <w:pStyle w:val="ListParagraph"/>
        <w:numPr>
          <w:ilvl w:val="0"/>
          <w:numId w:val="8"/>
        </w:numPr>
        <w:spacing w:before="120" w:after="120"/>
        <w:rPr>
          <w:rFonts w:asciiTheme="minorHAnsi" w:hAnsiTheme="minorHAnsi" w:cstheme="minorHAnsi"/>
          <w:sz w:val="18"/>
        </w:rPr>
      </w:pPr>
      <w:r w:rsidRPr="00885368">
        <w:rPr>
          <w:rFonts w:asciiTheme="minorHAnsi" w:hAnsiTheme="minorHAnsi" w:cstheme="minorHAnsi"/>
          <w:sz w:val="18"/>
        </w:rPr>
        <w:t xml:space="preserve">Costs of rectification based on full replacement cost of external façade. </w:t>
      </w:r>
    </w:p>
    <w:p w:rsidR="00FE37D3" w:rsidRPr="00885368" w:rsidRDefault="00FE37D3" w:rsidP="00FF3BDF">
      <w:pPr>
        <w:pStyle w:val="ListParagraph"/>
        <w:numPr>
          <w:ilvl w:val="0"/>
          <w:numId w:val="8"/>
        </w:numPr>
        <w:spacing w:before="120" w:after="120"/>
        <w:rPr>
          <w:rFonts w:asciiTheme="minorHAnsi" w:hAnsiTheme="minorHAnsi" w:cstheme="minorHAnsi"/>
          <w:sz w:val="18"/>
        </w:rPr>
      </w:pPr>
      <w:r w:rsidRPr="00885368">
        <w:rPr>
          <w:rFonts w:asciiTheme="minorHAnsi" w:hAnsiTheme="minorHAnsi" w:cstheme="minorHAnsi"/>
          <w:sz w:val="18"/>
        </w:rPr>
        <w:t xml:space="preserve">Option 3 calculated based on the assumption that </w:t>
      </w:r>
      <w:r w:rsidR="00690EAC">
        <w:rPr>
          <w:rFonts w:asciiTheme="minorHAnsi" w:hAnsiTheme="minorHAnsi" w:cstheme="minorHAnsi"/>
          <w:sz w:val="18"/>
        </w:rPr>
        <w:t xml:space="preserve">fire and </w:t>
      </w:r>
      <w:r w:rsidRPr="00885368">
        <w:rPr>
          <w:rFonts w:asciiTheme="minorHAnsi" w:hAnsiTheme="minorHAnsi" w:cstheme="minorHAnsi"/>
          <w:sz w:val="18"/>
        </w:rPr>
        <w:t xml:space="preserve">structure account for </w:t>
      </w:r>
      <w:r>
        <w:rPr>
          <w:rFonts w:asciiTheme="minorHAnsi" w:hAnsiTheme="minorHAnsi" w:cstheme="minorHAnsi"/>
          <w:sz w:val="18"/>
        </w:rPr>
        <w:t>6</w:t>
      </w:r>
      <w:r w:rsidRPr="00885368">
        <w:rPr>
          <w:rFonts w:asciiTheme="minorHAnsi" w:hAnsiTheme="minorHAnsi" w:cstheme="minorHAnsi"/>
          <w:sz w:val="18"/>
        </w:rPr>
        <w:t xml:space="preserve">0% of all Performance Solutions. </w:t>
      </w:r>
    </w:p>
    <w:p w:rsidR="00FE37D3" w:rsidRDefault="00FE37D3" w:rsidP="005E1DCB">
      <w:pPr>
        <w:pStyle w:val="Caption"/>
      </w:pPr>
    </w:p>
    <w:p w:rsidR="00FE37D3" w:rsidRDefault="00FE37D3" w:rsidP="005E1DCB">
      <w:pPr>
        <w:pStyle w:val="Caption"/>
      </w:pPr>
      <w:r>
        <w:t xml:space="preserve">Table </w:t>
      </w:r>
      <w:r>
        <w:rPr>
          <w:noProof/>
        </w:rPr>
        <w:fldChar w:fldCharType="begin"/>
      </w:r>
      <w:r>
        <w:rPr>
          <w:noProof/>
        </w:rPr>
        <w:instrText xml:space="preserve"> SEQ Table \* ARABIC </w:instrText>
      </w:r>
      <w:r>
        <w:rPr>
          <w:noProof/>
        </w:rPr>
        <w:fldChar w:fldCharType="separate"/>
      </w:r>
      <w:r w:rsidR="002D1698">
        <w:rPr>
          <w:noProof/>
        </w:rPr>
        <w:t>10</w:t>
      </w:r>
      <w:r>
        <w:rPr>
          <w:noProof/>
        </w:rPr>
        <w:fldChar w:fldCharType="end"/>
      </w:r>
      <w:r>
        <w:t xml:space="preserve"> Break-even analysis for commercial buildings</w:t>
      </w:r>
    </w:p>
    <w:tbl>
      <w:tblPr>
        <w:tblStyle w:val="TableGrid"/>
        <w:tblW w:w="0" w:type="auto"/>
        <w:tblLook w:val="04A0" w:firstRow="1" w:lastRow="0" w:firstColumn="1" w:lastColumn="0" w:noHBand="0" w:noVBand="1"/>
        <w:tblCaption w:val="Table 13 Break-even analysis for commercial buildings"/>
      </w:tblPr>
      <w:tblGrid>
        <w:gridCol w:w="1503"/>
        <w:gridCol w:w="4010"/>
        <w:gridCol w:w="1577"/>
        <w:gridCol w:w="1980"/>
      </w:tblGrid>
      <w:tr w:rsidR="00FE37D3" w:rsidTr="003756FF">
        <w:trPr>
          <w:tblHeader/>
        </w:trPr>
        <w:tc>
          <w:tcPr>
            <w:tcW w:w="1556" w:type="dxa"/>
            <w:tcBorders>
              <w:top w:val="nil"/>
              <w:left w:val="nil"/>
              <w:bottom w:val="single" w:sz="4" w:space="0" w:color="184897"/>
              <w:right w:val="nil"/>
            </w:tcBorders>
            <w:shd w:val="clear" w:color="auto" w:fill="184897"/>
          </w:tcPr>
          <w:p w:rsidR="00FE37D3" w:rsidRDefault="00FE37D3" w:rsidP="005E1DCB">
            <w:pPr>
              <w:pStyle w:val="TableHeading"/>
            </w:pPr>
          </w:p>
        </w:tc>
        <w:tc>
          <w:tcPr>
            <w:tcW w:w="4220" w:type="dxa"/>
            <w:tcBorders>
              <w:top w:val="nil"/>
              <w:left w:val="nil"/>
              <w:bottom w:val="single" w:sz="4" w:space="0" w:color="184897"/>
              <w:right w:val="nil"/>
            </w:tcBorders>
            <w:shd w:val="clear" w:color="auto" w:fill="184897"/>
          </w:tcPr>
          <w:p w:rsidR="00FE37D3" w:rsidRDefault="00FE37D3" w:rsidP="005E1DCB">
            <w:pPr>
              <w:pStyle w:val="TableHeading"/>
            </w:pPr>
            <w:r>
              <w:t>Present Value Costs</w:t>
            </w:r>
          </w:p>
        </w:tc>
        <w:tc>
          <w:tcPr>
            <w:tcW w:w="1278" w:type="dxa"/>
            <w:tcBorders>
              <w:top w:val="nil"/>
              <w:left w:val="nil"/>
              <w:bottom w:val="single" w:sz="4" w:space="0" w:color="184897"/>
              <w:right w:val="nil"/>
            </w:tcBorders>
            <w:shd w:val="clear" w:color="auto" w:fill="184897"/>
          </w:tcPr>
          <w:p w:rsidR="00FE37D3" w:rsidRDefault="00FE37D3" w:rsidP="005E1DCB">
            <w:pPr>
              <w:pStyle w:val="TableHeading"/>
            </w:pPr>
            <w:r>
              <w:t>Assumed rectification cost (per SOU)</w:t>
            </w:r>
          </w:p>
        </w:tc>
        <w:tc>
          <w:tcPr>
            <w:tcW w:w="2016" w:type="dxa"/>
            <w:tcBorders>
              <w:top w:val="nil"/>
              <w:left w:val="nil"/>
              <w:bottom w:val="single" w:sz="4" w:space="0" w:color="184897"/>
              <w:right w:val="nil"/>
            </w:tcBorders>
            <w:shd w:val="clear" w:color="auto" w:fill="184897"/>
          </w:tcPr>
          <w:p w:rsidR="00FE37D3" w:rsidRDefault="00FE37D3" w:rsidP="005E1DCB">
            <w:pPr>
              <w:pStyle w:val="TableHeading"/>
            </w:pPr>
            <w:r>
              <w:t xml:space="preserve">Annual number of buildings </w:t>
            </w:r>
            <w:r w:rsidR="005B1EEE">
              <w:t>avoiding rectification to Breakeven</w:t>
            </w:r>
          </w:p>
        </w:tc>
      </w:tr>
      <w:tr w:rsidR="00FE37D3" w:rsidTr="007079C0">
        <w:tc>
          <w:tcPr>
            <w:tcW w:w="1556" w:type="dxa"/>
            <w:tcBorders>
              <w:top w:val="single" w:sz="4" w:space="0" w:color="184897"/>
              <w:left w:val="nil"/>
              <w:bottom w:val="single" w:sz="4" w:space="0" w:color="184897"/>
              <w:right w:val="nil"/>
            </w:tcBorders>
          </w:tcPr>
          <w:p w:rsidR="00FE37D3" w:rsidRDefault="00FE37D3" w:rsidP="005E1DCB">
            <w:pPr>
              <w:pStyle w:val="TableBody"/>
            </w:pPr>
            <w:r>
              <w:t>Option 2</w:t>
            </w:r>
          </w:p>
        </w:tc>
        <w:tc>
          <w:tcPr>
            <w:tcW w:w="4220" w:type="dxa"/>
            <w:tcBorders>
              <w:top w:val="single" w:sz="4" w:space="0" w:color="184897"/>
              <w:left w:val="nil"/>
              <w:bottom w:val="single" w:sz="4" w:space="0" w:color="184897"/>
              <w:right w:val="nil"/>
            </w:tcBorders>
          </w:tcPr>
          <w:p w:rsidR="00FE37D3" w:rsidRDefault="00FE37D3" w:rsidP="005E1DCB">
            <w:pPr>
              <w:pStyle w:val="TableBody"/>
            </w:pPr>
            <w:r>
              <w:t>$194,275,367</w:t>
            </w:r>
          </w:p>
        </w:tc>
        <w:tc>
          <w:tcPr>
            <w:tcW w:w="1278" w:type="dxa"/>
            <w:tcBorders>
              <w:top w:val="single" w:sz="4" w:space="0" w:color="184897"/>
              <w:left w:val="nil"/>
              <w:bottom w:val="single" w:sz="4" w:space="0" w:color="184897"/>
              <w:right w:val="nil"/>
            </w:tcBorders>
          </w:tcPr>
          <w:p w:rsidR="00FE37D3" w:rsidDel="00430EC6" w:rsidRDefault="00FE37D3" w:rsidP="005E1DCB">
            <w:pPr>
              <w:pStyle w:val="TableBody"/>
            </w:pPr>
            <w:r>
              <w:t>$32,437</w:t>
            </w:r>
          </w:p>
        </w:tc>
        <w:tc>
          <w:tcPr>
            <w:tcW w:w="2016" w:type="dxa"/>
            <w:tcBorders>
              <w:top w:val="single" w:sz="4" w:space="0" w:color="184897"/>
              <w:left w:val="nil"/>
              <w:bottom w:val="single" w:sz="4" w:space="0" w:color="184897"/>
              <w:right w:val="nil"/>
            </w:tcBorders>
          </w:tcPr>
          <w:p w:rsidR="00FE37D3" w:rsidRDefault="00FE37D3" w:rsidP="005E1DCB">
            <w:pPr>
              <w:pStyle w:val="TableBody"/>
            </w:pPr>
            <w:r>
              <w:t>4.7</w:t>
            </w:r>
          </w:p>
        </w:tc>
      </w:tr>
      <w:tr w:rsidR="00FE37D3" w:rsidTr="007079C0">
        <w:tc>
          <w:tcPr>
            <w:tcW w:w="1556" w:type="dxa"/>
            <w:tcBorders>
              <w:top w:val="single" w:sz="4" w:space="0" w:color="184897"/>
              <w:left w:val="nil"/>
              <w:bottom w:val="single" w:sz="4" w:space="0" w:color="184897"/>
              <w:right w:val="nil"/>
            </w:tcBorders>
          </w:tcPr>
          <w:p w:rsidR="00FE37D3" w:rsidRDefault="00FE37D3" w:rsidP="005E1DCB">
            <w:pPr>
              <w:pStyle w:val="TableBody"/>
            </w:pPr>
            <w:r>
              <w:t>Option 3</w:t>
            </w:r>
          </w:p>
        </w:tc>
        <w:tc>
          <w:tcPr>
            <w:tcW w:w="4220" w:type="dxa"/>
            <w:tcBorders>
              <w:top w:val="single" w:sz="4" w:space="0" w:color="184897"/>
              <w:left w:val="nil"/>
              <w:bottom w:val="single" w:sz="4" w:space="0" w:color="184897"/>
              <w:right w:val="nil"/>
            </w:tcBorders>
          </w:tcPr>
          <w:p w:rsidR="00FE37D3" w:rsidRDefault="00FE37D3" w:rsidP="005E1DCB">
            <w:pPr>
              <w:pStyle w:val="TableBody"/>
            </w:pPr>
            <w:r>
              <w:t>$116,565,220</w:t>
            </w:r>
          </w:p>
        </w:tc>
        <w:tc>
          <w:tcPr>
            <w:tcW w:w="1278" w:type="dxa"/>
            <w:tcBorders>
              <w:top w:val="single" w:sz="4" w:space="0" w:color="184897"/>
              <w:left w:val="nil"/>
              <w:bottom w:val="single" w:sz="4" w:space="0" w:color="184897"/>
              <w:right w:val="nil"/>
            </w:tcBorders>
          </w:tcPr>
          <w:p w:rsidR="00FE37D3" w:rsidDel="000174C7" w:rsidRDefault="00FE37D3" w:rsidP="005E1DCB">
            <w:pPr>
              <w:pStyle w:val="TableBody"/>
            </w:pPr>
            <w:r>
              <w:t>$32,437</w:t>
            </w:r>
          </w:p>
        </w:tc>
        <w:tc>
          <w:tcPr>
            <w:tcW w:w="2016" w:type="dxa"/>
            <w:tcBorders>
              <w:top w:val="single" w:sz="4" w:space="0" w:color="184897"/>
              <w:left w:val="nil"/>
              <w:bottom w:val="single" w:sz="4" w:space="0" w:color="184897"/>
              <w:right w:val="nil"/>
            </w:tcBorders>
          </w:tcPr>
          <w:p w:rsidR="00FE37D3" w:rsidRDefault="00FE37D3" w:rsidP="005E1DCB">
            <w:pPr>
              <w:pStyle w:val="TableBody"/>
            </w:pPr>
            <w:r>
              <w:t>2.8</w:t>
            </w:r>
          </w:p>
        </w:tc>
      </w:tr>
    </w:tbl>
    <w:p w:rsidR="00FE37D3" w:rsidRPr="00885368" w:rsidRDefault="00FE37D3" w:rsidP="005E1DCB">
      <w:pPr>
        <w:spacing w:before="120" w:after="120"/>
        <w:rPr>
          <w:rFonts w:asciiTheme="minorHAnsi" w:hAnsiTheme="minorHAnsi" w:cstheme="minorHAnsi"/>
          <w:sz w:val="18"/>
        </w:rPr>
      </w:pPr>
      <w:r w:rsidRPr="00885368">
        <w:rPr>
          <w:rFonts w:asciiTheme="minorHAnsi" w:hAnsiTheme="minorHAnsi" w:cstheme="minorHAnsi"/>
          <w:sz w:val="18"/>
        </w:rPr>
        <w:t>Notes:</w:t>
      </w:r>
      <w:r w:rsidRPr="00885368">
        <w:rPr>
          <w:rFonts w:asciiTheme="minorHAnsi" w:hAnsiTheme="minorHAnsi" w:cstheme="minorHAnsi"/>
          <w:sz w:val="18"/>
        </w:rPr>
        <w:tab/>
      </w:r>
    </w:p>
    <w:p w:rsidR="00FE37D3" w:rsidRPr="00885368" w:rsidRDefault="00FE37D3" w:rsidP="00FF3BDF">
      <w:pPr>
        <w:pStyle w:val="ListParagraph"/>
        <w:numPr>
          <w:ilvl w:val="0"/>
          <w:numId w:val="9"/>
        </w:numPr>
        <w:spacing w:before="120" w:after="120"/>
        <w:rPr>
          <w:rFonts w:asciiTheme="minorHAnsi" w:hAnsiTheme="minorHAnsi" w:cstheme="minorHAnsi"/>
          <w:sz w:val="18"/>
        </w:rPr>
      </w:pPr>
      <w:r w:rsidRPr="00885368">
        <w:rPr>
          <w:rFonts w:asciiTheme="minorHAnsi" w:hAnsiTheme="minorHAnsi" w:cstheme="minorHAnsi"/>
          <w:sz w:val="18"/>
        </w:rPr>
        <w:t xml:space="preserve">Present Value costs calculated using a 7% discount rate over a ten year period. </w:t>
      </w:r>
    </w:p>
    <w:p w:rsidR="00FE37D3" w:rsidRPr="00885368" w:rsidRDefault="00FE37D3" w:rsidP="00FF3BDF">
      <w:pPr>
        <w:pStyle w:val="ListParagraph"/>
        <w:numPr>
          <w:ilvl w:val="0"/>
          <w:numId w:val="9"/>
        </w:numPr>
        <w:spacing w:before="120" w:after="120"/>
        <w:rPr>
          <w:rFonts w:asciiTheme="minorHAnsi" w:hAnsiTheme="minorHAnsi" w:cstheme="minorHAnsi"/>
          <w:sz w:val="18"/>
        </w:rPr>
      </w:pPr>
      <w:r w:rsidRPr="00885368">
        <w:rPr>
          <w:rFonts w:asciiTheme="minorHAnsi" w:hAnsiTheme="minorHAnsi" w:cstheme="minorHAnsi"/>
          <w:sz w:val="18"/>
        </w:rPr>
        <w:t>Required Present Value benefits calculated using a 7% discount rate over a forty-year period.</w:t>
      </w:r>
    </w:p>
    <w:p w:rsidR="00FE37D3" w:rsidRPr="00885368" w:rsidRDefault="00FE37D3" w:rsidP="00FF3BDF">
      <w:pPr>
        <w:pStyle w:val="ListParagraph"/>
        <w:numPr>
          <w:ilvl w:val="0"/>
          <w:numId w:val="9"/>
        </w:numPr>
        <w:spacing w:before="120" w:after="120"/>
        <w:rPr>
          <w:rFonts w:asciiTheme="minorHAnsi" w:hAnsiTheme="minorHAnsi" w:cstheme="minorHAnsi"/>
          <w:sz w:val="18"/>
        </w:rPr>
      </w:pPr>
      <w:r w:rsidRPr="00885368">
        <w:rPr>
          <w:rFonts w:asciiTheme="minorHAnsi" w:hAnsiTheme="minorHAnsi" w:cstheme="minorHAnsi"/>
          <w:sz w:val="18"/>
        </w:rPr>
        <w:t xml:space="preserve">Costs of rectification based on full replacement of </w:t>
      </w:r>
      <w:r>
        <w:rPr>
          <w:rFonts w:asciiTheme="minorHAnsi" w:hAnsiTheme="minorHAnsi" w:cstheme="minorHAnsi"/>
          <w:sz w:val="18"/>
        </w:rPr>
        <w:t xml:space="preserve">fabric of </w:t>
      </w:r>
      <w:r w:rsidRPr="00885368">
        <w:rPr>
          <w:rFonts w:asciiTheme="minorHAnsi" w:hAnsiTheme="minorHAnsi" w:cstheme="minorHAnsi"/>
          <w:sz w:val="18"/>
        </w:rPr>
        <w:t>sole-occupancy units (SOUs within Class 2 buildings)</w:t>
      </w:r>
      <w:r>
        <w:rPr>
          <w:rFonts w:asciiTheme="minorHAnsi" w:hAnsiTheme="minorHAnsi" w:cstheme="minorHAnsi"/>
          <w:sz w:val="18"/>
        </w:rPr>
        <w:t xml:space="preserve"> based on 12 SOUs per building.</w:t>
      </w:r>
    </w:p>
    <w:p w:rsidR="00FE37D3" w:rsidRPr="00885368" w:rsidRDefault="00FE37D3" w:rsidP="00FF3BDF">
      <w:pPr>
        <w:pStyle w:val="ListParagraph"/>
        <w:numPr>
          <w:ilvl w:val="0"/>
          <w:numId w:val="9"/>
        </w:numPr>
        <w:spacing w:before="120" w:after="120"/>
        <w:rPr>
          <w:rFonts w:asciiTheme="minorHAnsi" w:hAnsiTheme="minorHAnsi" w:cstheme="minorHAnsi"/>
          <w:sz w:val="18"/>
        </w:rPr>
      </w:pPr>
      <w:r w:rsidRPr="00885368">
        <w:rPr>
          <w:rFonts w:asciiTheme="minorHAnsi" w:hAnsiTheme="minorHAnsi" w:cstheme="minorHAnsi"/>
          <w:sz w:val="18"/>
        </w:rPr>
        <w:t xml:space="preserve">Option 3 calculated based on the assumption that </w:t>
      </w:r>
      <w:r w:rsidR="00690EAC">
        <w:rPr>
          <w:rFonts w:asciiTheme="minorHAnsi" w:hAnsiTheme="minorHAnsi" w:cstheme="minorHAnsi"/>
          <w:sz w:val="18"/>
        </w:rPr>
        <w:t xml:space="preserve">fire and </w:t>
      </w:r>
      <w:r w:rsidRPr="00885368">
        <w:rPr>
          <w:rFonts w:asciiTheme="minorHAnsi" w:hAnsiTheme="minorHAnsi" w:cstheme="minorHAnsi"/>
          <w:sz w:val="18"/>
        </w:rPr>
        <w:t xml:space="preserve">structure account for </w:t>
      </w:r>
      <w:r>
        <w:rPr>
          <w:rFonts w:asciiTheme="minorHAnsi" w:hAnsiTheme="minorHAnsi" w:cstheme="minorHAnsi"/>
          <w:sz w:val="18"/>
        </w:rPr>
        <w:t>6</w:t>
      </w:r>
      <w:r w:rsidRPr="00885368">
        <w:rPr>
          <w:rFonts w:asciiTheme="minorHAnsi" w:hAnsiTheme="minorHAnsi" w:cstheme="minorHAnsi"/>
          <w:sz w:val="18"/>
        </w:rPr>
        <w:t xml:space="preserve">0% of all Performance Solutions. </w:t>
      </w:r>
    </w:p>
    <w:p w:rsidR="00FE37D3" w:rsidRDefault="00FE37D3" w:rsidP="00125139">
      <w:pPr>
        <w:rPr>
          <w:rFonts w:asciiTheme="minorHAnsi" w:hAnsiTheme="minorHAnsi" w:cstheme="minorHAnsi"/>
        </w:rPr>
      </w:pPr>
      <w:r>
        <w:rPr>
          <w:rFonts w:asciiTheme="minorHAnsi" w:hAnsiTheme="minorHAnsi" w:cstheme="minorHAnsi"/>
        </w:rPr>
        <w:t xml:space="preserve">As can be seen above, a small number of buildings are required in order for the costs to equal the benefits. </w:t>
      </w:r>
    </w:p>
    <w:p w:rsidR="00FE37D3" w:rsidRPr="00125139" w:rsidRDefault="00FE37D3" w:rsidP="00125139">
      <w:pPr>
        <w:rPr>
          <w:rFonts w:asciiTheme="minorHAnsi" w:hAnsiTheme="minorHAnsi" w:cstheme="minorHAnsi"/>
        </w:rPr>
      </w:pPr>
      <w:r>
        <w:rPr>
          <w:rFonts w:asciiTheme="minorHAnsi" w:hAnsiTheme="minorHAnsi" w:cstheme="minorHAnsi"/>
        </w:rPr>
        <w:t xml:space="preserve">There is insufficient data to include other commercial building types in the break-even analysis. However, these break-even thresholds would equate to failures in </w:t>
      </w:r>
      <w:r w:rsidR="00690EAC">
        <w:rPr>
          <w:rFonts w:asciiTheme="minorHAnsi" w:hAnsiTheme="minorHAnsi" w:cstheme="minorHAnsi"/>
        </w:rPr>
        <w:t>0</w:t>
      </w:r>
      <w:r>
        <w:rPr>
          <w:rFonts w:asciiTheme="minorHAnsi" w:hAnsiTheme="minorHAnsi" w:cstheme="minorHAnsi"/>
        </w:rPr>
        <w:t>.02 per cent of new commercial buildings (offices, retail buildings</w:t>
      </w:r>
      <w:r w:rsidR="00690EAC">
        <w:rPr>
          <w:rFonts w:asciiTheme="minorHAnsi" w:hAnsiTheme="minorHAnsi" w:cstheme="minorHAnsi"/>
        </w:rPr>
        <w:t>,</w:t>
      </w:r>
      <w:r>
        <w:rPr>
          <w:rFonts w:asciiTheme="minorHAnsi" w:hAnsiTheme="minorHAnsi" w:cstheme="minorHAnsi"/>
        </w:rPr>
        <w:t xml:space="preserve"> etc.) and industrial buildings (warehouses, factories, etc</w:t>
      </w:r>
      <w:r w:rsidR="00690EAC">
        <w:rPr>
          <w:rFonts w:asciiTheme="minorHAnsi" w:hAnsiTheme="minorHAnsi" w:cstheme="minorHAnsi"/>
        </w:rPr>
        <w:t>.</w:t>
      </w:r>
      <w:r>
        <w:rPr>
          <w:rFonts w:asciiTheme="minorHAnsi" w:hAnsiTheme="minorHAnsi" w:cstheme="minorHAnsi"/>
        </w:rPr>
        <w:t xml:space="preserve">) annually. This is well within plausible limits when applying the rate of defects under contemporary studies to the assumed use of Performance.  </w:t>
      </w:r>
    </w:p>
    <w:tbl>
      <w:tblPr>
        <w:tblStyle w:val="TableGrid"/>
        <w:tblW w:w="0" w:type="auto"/>
        <w:tblLook w:val="0480" w:firstRow="0" w:lastRow="0" w:firstColumn="1" w:lastColumn="0" w:noHBand="0" w:noVBand="1"/>
        <w:tblCaption w:val="Text box"/>
      </w:tblPr>
      <w:tblGrid>
        <w:gridCol w:w="9060"/>
      </w:tblGrid>
      <w:tr w:rsidR="00FE37D3" w:rsidTr="003756FF">
        <w:trPr>
          <w:tblHeader/>
        </w:trPr>
        <w:tc>
          <w:tcPr>
            <w:tcW w:w="9060" w:type="dxa"/>
            <w:shd w:val="clear" w:color="auto" w:fill="BFBFBF" w:themeFill="background1" w:themeFillShade="BF"/>
          </w:tcPr>
          <w:p w:rsidR="00FE37D3" w:rsidRDefault="00FE37D3" w:rsidP="002A003D">
            <w:pPr>
              <w:spacing w:after="120"/>
            </w:pPr>
            <w:bookmarkStart w:id="80" w:name="_Toc32229042"/>
            <w:bookmarkStart w:id="81" w:name="_Toc33098437"/>
            <w:bookmarkStart w:id="82" w:name="_Toc33098896"/>
            <w:r w:rsidRPr="00AB283E">
              <w:lastRenderedPageBreak/>
              <w:t xml:space="preserve">The Consultation RIS asked stakeholders whether </w:t>
            </w:r>
            <w:r>
              <w:t xml:space="preserve">they believed the benefits would outweigh the costs. </w:t>
            </w:r>
          </w:p>
        </w:tc>
      </w:tr>
    </w:tbl>
    <w:p w:rsidR="00FE37D3" w:rsidRDefault="00FE37D3" w:rsidP="002A003D">
      <w:pPr>
        <w:spacing w:after="200"/>
        <w:jc w:val="left"/>
      </w:pPr>
      <w:r w:rsidRPr="007079C0">
        <w:t>Fifty-one per cent of respondents agreed benefits would outweigh costs with only 7 per cent of those believing that Option 3 may be more effective in addressing the problem than Option 2.</w:t>
      </w:r>
      <w:r>
        <w:t xml:space="preserve"> One advocacy group expressed </w:t>
      </w:r>
      <w:r w:rsidR="00690EAC">
        <w:t>the</w:t>
      </w:r>
      <w:r>
        <w:t xml:space="preserve"> opinion</w:t>
      </w:r>
      <w:r w:rsidR="00690EAC">
        <w:t xml:space="preserve"> that</w:t>
      </w:r>
      <w:r>
        <w:t xml:space="preserve"> applying the process to all NCC objectives (Option 2) was essential to ensure the suitability of future solutions.</w:t>
      </w:r>
    </w:p>
    <w:p w:rsidR="00FE37D3" w:rsidRDefault="00FE37D3" w:rsidP="000174C7">
      <w:pPr>
        <w:spacing w:before="0" w:after="200"/>
        <w:jc w:val="left"/>
      </w:pPr>
      <w:r>
        <w:t xml:space="preserve">One respondent (an engineer) felt the problem was most observable in fire safety engineering. Another respondent shared similar experiences and felt that the solution may not be as applicable where VMs are used. They suggested that an alternative option could be to apply to the process to only those Performance Solutions where a VM is not used. </w:t>
      </w:r>
    </w:p>
    <w:p w:rsidR="00FE37D3" w:rsidRDefault="00FE37D3" w:rsidP="0054381F">
      <w:r>
        <w:t>Of those that disagreed (31 per cent), one respondent felt that the problem was not resulting in injuries and fatalities and</w:t>
      </w:r>
      <w:r w:rsidR="004A6D3D">
        <w:t>,</w:t>
      </w:r>
      <w:r>
        <w:t xml:space="preserve"> therefore</w:t>
      </w:r>
      <w:r w:rsidR="004A6D3D">
        <w:t>,</w:t>
      </w:r>
      <w:r>
        <w:t xml:space="preserve"> was not a problem</w:t>
      </w:r>
      <w:r w:rsidR="004A6D3D">
        <w:t>,</w:t>
      </w:r>
      <w:r>
        <w:t xml:space="preserve"> while another felt the benefits would only be achieved when designers better underst</w:t>
      </w:r>
      <w:r w:rsidR="004A6D3D">
        <w:t>oo</w:t>
      </w:r>
      <w:r>
        <w:t xml:space="preserve">d performance-based design. </w:t>
      </w:r>
      <w:r w:rsidRPr="006C3DFE">
        <w:t>While the problem is most observable in fire safety engineering, both the ABCB survey and responses to the Consultation RIS indicate the problem in other areas of the NCC</w:t>
      </w:r>
      <w:r>
        <w:t>. In this regard, a more complete solution may be preferable. While use of VMs differ in their approach, meeting the Performance Requirements</w:t>
      </w:r>
      <w:r w:rsidRPr="0016143F">
        <w:t xml:space="preserve"> </w:t>
      </w:r>
      <w:r>
        <w:t xml:space="preserve">cannot be achieved without demonstrating a quantified benchmark or </w:t>
      </w:r>
      <w:r w:rsidR="004A6D3D">
        <w:t xml:space="preserve">that a </w:t>
      </w:r>
      <w:r>
        <w:t xml:space="preserve">predetermined acceptance criteria has been met. Stakeholder consultation, including </w:t>
      </w:r>
      <w:r w:rsidR="005B1EEE">
        <w:t>gaining</w:t>
      </w:r>
      <w:r>
        <w:t xml:space="preserve"> agreement from an approval authority to the use of the </w:t>
      </w:r>
      <w:r w:rsidR="005B1EEE">
        <w:t>VM</w:t>
      </w:r>
      <w:r>
        <w:t xml:space="preserve"> at a minimum</w:t>
      </w:r>
      <w:r w:rsidR="00C72FF1">
        <w:t>,</w:t>
      </w:r>
      <w:r>
        <w:t xml:space="preserve"> is required. Adequate project documentation</w:t>
      </w:r>
      <w:r w:rsidDel="00791DE8">
        <w:t xml:space="preserve"> </w:t>
      </w:r>
      <w:r>
        <w:t xml:space="preserve">to reflect </w:t>
      </w:r>
      <w:r w:rsidR="005B1EEE">
        <w:t xml:space="preserve">this agreement and </w:t>
      </w:r>
      <w:r>
        <w:t xml:space="preserve">the </w:t>
      </w:r>
      <w:r w:rsidR="005B1EEE">
        <w:t xml:space="preserve">results of </w:t>
      </w:r>
      <w:r>
        <w:t xml:space="preserve">the process applies equally to where VM equivalence to DTS and expert judgement is used as a means of demonstrating compliance with the Performance Solutions. </w:t>
      </w:r>
    </w:p>
    <w:p w:rsidR="00FE37D3" w:rsidRPr="006C3DFE" w:rsidRDefault="00FE37D3" w:rsidP="0054381F">
      <w:pPr>
        <w:rPr>
          <w:rFonts w:asciiTheme="majorHAnsi" w:eastAsiaTheme="majorEastAsia" w:hAnsiTheme="majorHAnsi" w:cstheme="majorBidi"/>
          <w:b/>
          <w:bCs/>
          <w:color w:val="17365F"/>
          <w:sz w:val="32"/>
        </w:rPr>
      </w:pPr>
      <w:r w:rsidRPr="00C83AC8">
        <w:t xml:space="preserve">The analysis supports the need for greater education and awareness to ensure that the proposal is effective in addressing the problem. The ABCB is </w:t>
      </w:r>
      <w:r w:rsidR="00C72FF1">
        <w:t>building on a range of materials it has developed over the past two years to promote the competent use of a performance-based code through</w:t>
      </w:r>
      <w:r w:rsidRPr="00C83AC8">
        <w:t xml:space="preserve"> developing </w:t>
      </w:r>
      <w:r w:rsidR="00C72FF1">
        <w:t>an enhanced</w:t>
      </w:r>
      <w:r w:rsidRPr="00C83AC8">
        <w:t xml:space="preserve"> education and awareness </w:t>
      </w:r>
      <w:r w:rsidR="00C72FF1">
        <w:t xml:space="preserve">initiative </w:t>
      </w:r>
      <w:r w:rsidRPr="00C83AC8">
        <w:t xml:space="preserve">as part of its response to the BCR recommendations. It is </w:t>
      </w:r>
      <w:r w:rsidRPr="00C83AC8">
        <w:lastRenderedPageBreak/>
        <w:t>envisaged that this will include</w:t>
      </w:r>
      <w:r w:rsidR="00C72FF1">
        <w:t xml:space="preserve"> training modules,</w:t>
      </w:r>
      <w:r w:rsidRPr="00C83AC8">
        <w:t xml:space="preserve"> greater information on performance-based design and scaling the assessment process.</w:t>
      </w:r>
      <w:r>
        <w:t xml:space="preserve"> </w:t>
      </w:r>
    </w:p>
    <w:p w:rsidR="00FE37D3" w:rsidRPr="005E1DCB" w:rsidRDefault="00FE37D3" w:rsidP="00AE3C78">
      <w:pPr>
        <w:pStyle w:val="Heading3"/>
      </w:pPr>
      <w:r w:rsidRPr="005E1DCB">
        <w:t>Sensitivity Analysis</w:t>
      </w:r>
      <w:bookmarkEnd w:id="80"/>
      <w:bookmarkEnd w:id="81"/>
      <w:bookmarkEnd w:id="82"/>
      <w:r w:rsidRPr="005E1DCB">
        <w:t xml:space="preserve"> </w:t>
      </w:r>
    </w:p>
    <w:p w:rsidR="00FE37D3" w:rsidRDefault="00FE37D3" w:rsidP="00C24D77">
      <w:pPr>
        <w:rPr>
          <w:rFonts w:asciiTheme="minorHAnsi" w:hAnsiTheme="minorHAnsi" w:cstheme="minorHAnsi"/>
        </w:rPr>
      </w:pPr>
      <w:r w:rsidRPr="00C24D77">
        <w:rPr>
          <w:rFonts w:asciiTheme="minorHAnsi" w:hAnsiTheme="minorHAnsi" w:cstheme="minorHAnsi"/>
        </w:rPr>
        <w:t>This</w:t>
      </w:r>
      <w:r>
        <w:rPr>
          <w:rFonts w:asciiTheme="minorHAnsi" w:hAnsiTheme="minorHAnsi" w:cstheme="minorHAnsi"/>
        </w:rPr>
        <w:t xml:space="preserve"> section examines the sensitivity of the quantitative analysis to variations in key assumptions underpinning the aggregate (gross) impact analysis. The sensitivity </w:t>
      </w:r>
      <w:r w:rsidRPr="006A108A">
        <w:rPr>
          <w:rFonts w:asciiTheme="minorHAnsi" w:hAnsiTheme="minorHAnsi" w:cstheme="minorHAnsi"/>
        </w:rPr>
        <w:t xml:space="preserve">analysis has been conducted on </w:t>
      </w:r>
      <w:r w:rsidRPr="008D1E76">
        <w:rPr>
          <w:rFonts w:asciiTheme="minorHAnsi" w:hAnsiTheme="minorHAnsi" w:cstheme="minorHAnsi"/>
        </w:rPr>
        <w:t>three areas noting:</w:t>
      </w:r>
    </w:p>
    <w:p w:rsidR="00FE37D3" w:rsidRDefault="00FE37D3" w:rsidP="005E1DCB">
      <w:pPr>
        <w:pStyle w:val="ListBullet"/>
      </w:pPr>
      <w:r>
        <w:t xml:space="preserve">A real discount rate of 7 per cent has been used in the quantitative analysis and sensitivity will be tested from a lower bound of 3 per cent to an upper bound of 11 per cent. </w:t>
      </w:r>
    </w:p>
    <w:p w:rsidR="00FE37D3" w:rsidRDefault="00FE37D3" w:rsidP="005E1DCB">
      <w:pPr>
        <w:pStyle w:val="ListBullet"/>
      </w:pPr>
      <w:r>
        <w:t xml:space="preserve">The cost of rectification could vary depending on size and use of the building. Since the Consultation RIS, the sensitivity analysis has been updated to reflect the opinion that rectification costs could be higher for commercial buildings. The sensitivity analysis will test a high scenario of +30 per cent and a very high scenario of +50 per cent. The sensitivity analysis for rectification costs for residential buildings remains unchanged from the Consultation RIS. </w:t>
      </w:r>
    </w:p>
    <w:p w:rsidR="00FE37D3" w:rsidRDefault="00FE37D3" w:rsidP="005E1DCB">
      <w:pPr>
        <w:pStyle w:val="ListBullet"/>
      </w:pPr>
      <w:r>
        <w:t>Stakeholder feedback to the Consultation RIS also indicated that</w:t>
      </w:r>
      <w:r w:rsidR="004A6D3D">
        <w:t>,</w:t>
      </w:r>
      <w:r>
        <w:t xml:space="preserve"> where Performance Solutions are used in commercial buildings, the number of solutions used may be higher. </w:t>
      </w:r>
      <w:r w:rsidR="002B5F8A">
        <w:t>Alt</w:t>
      </w:r>
      <w:r>
        <w:t xml:space="preserve">hough no new evidence was received, the central analysis has been updated since the Consultation RIS to reflect stakeholder opinion. As the total may vary due to the number of solutions per building, the sensitivity analysis will maintain 1 solution as the low test and very high 3 solution scenario.  </w:t>
      </w:r>
    </w:p>
    <w:p w:rsidR="00FE37D3" w:rsidRDefault="00FE37D3" w:rsidP="005E1DCB">
      <w:pPr>
        <w:pStyle w:val="ListBullet"/>
      </w:pPr>
      <w:r>
        <w:t xml:space="preserve">One industry association felt that the use of Performance Solutions in residential buildings (Class 1 and 10 buildings) could be much higher (in the range of 20 per cent). The sensitivity analysis has been revised to test this scenario. </w:t>
      </w:r>
    </w:p>
    <w:p w:rsidR="00FE37D3" w:rsidRPr="00D6079C" w:rsidRDefault="00FE37D3" w:rsidP="005E1DCB">
      <w:pPr>
        <w:pStyle w:val="Caption"/>
      </w:pPr>
      <w:r>
        <w:t xml:space="preserve">Table </w:t>
      </w:r>
      <w:r>
        <w:rPr>
          <w:noProof/>
        </w:rPr>
        <w:fldChar w:fldCharType="begin"/>
      </w:r>
      <w:r>
        <w:rPr>
          <w:noProof/>
        </w:rPr>
        <w:instrText xml:space="preserve"> SEQ Table \* ARABIC </w:instrText>
      </w:r>
      <w:r>
        <w:rPr>
          <w:noProof/>
        </w:rPr>
        <w:fldChar w:fldCharType="separate"/>
      </w:r>
      <w:r w:rsidR="002D1698">
        <w:rPr>
          <w:noProof/>
        </w:rPr>
        <w:t>11</w:t>
      </w:r>
      <w:r>
        <w:rPr>
          <w:noProof/>
        </w:rPr>
        <w:fldChar w:fldCharType="end"/>
      </w:r>
      <w:r>
        <w:t xml:space="preserve"> Sensitivity analysis – Residential </w:t>
      </w:r>
    </w:p>
    <w:tbl>
      <w:tblPr>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 Sensitivity Analysis "/>
        <w:tblDescription w:val="Table tests the output of key assumptions which includes a 3% and 11% discount rate, a positive and negaitive variance of 20% in construction costs and a positive and negative variance of 20% in the number of balconies impacted by the options. "/>
      </w:tblPr>
      <w:tblGrid>
        <w:gridCol w:w="2975"/>
        <w:gridCol w:w="1763"/>
        <w:gridCol w:w="1525"/>
        <w:gridCol w:w="1760"/>
        <w:gridCol w:w="1519"/>
      </w:tblGrid>
      <w:tr w:rsidR="00FE37D3" w:rsidRPr="00420E92" w:rsidTr="005E1DCB">
        <w:trPr>
          <w:trHeight w:val="300"/>
          <w:tblHeader/>
        </w:trPr>
        <w:tc>
          <w:tcPr>
            <w:tcW w:w="1559" w:type="pct"/>
            <w:tcBorders>
              <w:top w:val="nil"/>
              <w:left w:val="nil"/>
              <w:bottom w:val="nil"/>
              <w:right w:val="nil"/>
            </w:tcBorders>
            <w:shd w:val="clear" w:color="auto" w:fill="184897"/>
            <w:noWrap/>
            <w:hideMark/>
          </w:tcPr>
          <w:p w:rsidR="00FE37D3" w:rsidRPr="00420E92" w:rsidRDefault="00FE37D3" w:rsidP="005E1DCB">
            <w:pPr>
              <w:pStyle w:val="TableHeading"/>
            </w:pPr>
            <w:r w:rsidRPr="00420E92">
              <w:t>Sensitivity</w:t>
            </w:r>
          </w:p>
        </w:tc>
        <w:tc>
          <w:tcPr>
            <w:tcW w:w="924" w:type="pct"/>
            <w:tcBorders>
              <w:top w:val="nil"/>
              <w:left w:val="nil"/>
              <w:bottom w:val="nil"/>
              <w:right w:val="nil"/>
            </w:tcBorders>
            <w:shd w:val="clear" w:color="auto" w:fill="184897"/>
            <w:noWrap/>
            <w:hideMark/>
          </w:tcPr>
          <w:p w:rsidR="00FE37D3" w:rsidRPr="00420E92" w:rsidRDefault="00FE37D3" w:rsidP="005E1DCB">
            <w:pPr>
              <w:pStyle w:val="TableHeading"/>
              <w:rPr>
                <w:bCs/>
              </w:rPr>
            </w:pPr>
            <w:r w:rsidRPr="00420E92">
              <w:rPr>
                <w:bCs/>
              </w:rPr>
              <w:t xml:space="preserve">Option </w:t>
            </w:r>
            <w:r>
              <w:rPr>
                <w:bCs/>
              </w:rPr>
              <w:t>2 - Cost</w:t>
            </w:r>
          </w:p>
        </w:tc>
        <w:tc>
          <w:tcPr>
            <w:tcW w:w="799" w:type="pct"/>
            <w:tcBorders>
              <w:top w:val="nil"/>
              <w:left w:val="nil"/>
              <w:bottom w:val="nil"/>
              <w:right w:val="nil"/>
            </w:tcBorders>
            <w:shd w:val="clear" w:color="auto" w:fill="184897"/>
          </w:tcPr>
          <w:p w:rsidR="00FE37D3" w:rsidRPr="00420E92" w:rsidRDefault="00FE37D3" w:rsidP="005E1DCB">
            <w:pPr>
              <w:pStyle w:val="TableHeading"/>
              <w:rPr>
                <w:bCs/>
              </w:rPr>
            </w:pPr>
            <w:r>
              <w:rPr>
                <w:bCs/>
              </w:rPr>
              <w:t>Option 2 – Break-even</w:t>
            </w:r>
          </w:p>
        </w:tc>
        <w:tc>
          <w:tcPr>
            <w:tcW w:w="922" w:type="pct"/>
            <w:tcBorders>
              <w:top w:val="nil"/>
              <w:left w:val="nil"/>
              <w:bottom w:val="nil"/>
              <w:right w:val="nil"/>
            </w:tcBorders>
            <w:shd w:val="clear" w:color="auto" w:fill="184897"/>
            <w:noWrap/>
            <w:hideMark/>
          </w:tcPr>
          <w:p w:rsidR="00FE37D3" w:rsidRPr="00420E92" w:rsidRDefault="00FE37D3" w:rsidP="005E1DCB">
            <w:pPr>
              <w:pStyle w:val="TableHeading"/>
              <w:rPr>
                <w:bCs/>
              </w:rPr>
            </w:pPr>
            <w:r w:rsidRPr="00420E92">
              <w:rPr>
                <w:bCs/>
              </w:rPr>
              <w:t xml:space="preserve">Option </w:t>
            </w:r>
            <w:r>
              <w:rPr>
                <w:bCs/>
              </w:rPr>
              <w:t>3- Cost</w:t>
            </w:r>
          </w:p>
        </w:tc>
        <w:tc>
          <w:tcPr>
            <w:tcW w:w="796" w:type="pct"/>
            <w:tcBorders>
              <w:top w:val="nil"/>
              <w:left w:val="nil"/>
              <w:bottom w:val="nil"/>
              <w:right w:val="nil"/>
            </w:tcBorders>
            <w:shd w:val="clear" w:color="auto" w:fill="184897"/>
          </w:tcPr>
          <w:p w:rsidR="00FE37D3" w:rsidRPr="00420E92" w:rsidRDefault="00FE37D3" w:rsidP="005E1DCB">
            <w:pPr>
              <w:pStyle w:val="TableHeading"/>
              <w:rPr>
                <w:bCs/>
              </w:rPr>
            </w:pPr>
            <w:r>
              <w:rPr>
                <w:bCs/>
              </w:rPr>
              <w:t>Option 3 – Break-even</w:t>
            </w:r>
          </w:p>
        </w:tc>
      </w:tr>
      <w:tr w:rsidR="00FE37D3" w:rsidRPr="00420E92" w:rsidTr="005E1DCB">
        <w:trPr>
          <w:trHeight w:val="419"/>
        </w:trPr>
        <w:tc>
          <w:tcPr>
            <w:tcW w:w="1559" w:type="pct"/>
            <w:tcBorders>
              <w:top w:val="nil"/>
              <w:left w:val="nil"/>
              <w:bottom w:val="single" w:sz="4" w:space="0" w:color="184897"/>
              <w:right w:val="nil"/>
            </w:tcBorders>
            <w:shd w:val="clear" w:color="auto" w:fill="auto"/>
            <w:hideMark/>
          </w:tcPr>
          <w:p w:rsidR="00FE37D3" w:rsidRPr="00420E92" w:rsidRDefault="00FE37D3" w:rsidP="005E1DCB">
            <w:pPr>
              <w:pStyle w:val="TableBody"/>
            </w:pPr>
            <w:r w:rsidRPr="00420E92">
              <w:t>Lower bound discount rate (3%)</w:t>
            </w:r>
          </w:p>
        </w:tc>
        <w:tc>
          <w:tcPr>
            <w:tcW w:w="924" w:type="pct"/>
            <w:tcBorders>
              <w:top w:val="nil"/>
              <w:left w:val="nil"/>
              <w:bottom w:val="single" w:sz="4" w:space="0" w:color="184897"/>
              <w:right w:val="nil"/>
            </w:tcBorders>
            <w:shd w:val="clear" w:color="auto" w:fill="auto"/>
            <w:noWrap/>
            <w:hideMark/>
          </w:tcPr>
          <w:p w:rsidR="00FE37D3" w:rsidRPr="007576F4" w:rsidRDefault="00FE37D3" w:rsidP="002A003D">
            <w:pPr>
              <w:pStyle w:val="TableBody"/>
              <w:jc w:val="right"/>
            </w:pPr>
            <w:r>
              <w:rPr>
                <w:rFonts w:cs="Calibri"/>
              </w:rPr>
              <w:t>$46,523,923</w:t>
            </w:r>
          </w:p>
        </w:tc>
        <w:tc>
          <w:tcPr>
            <w:tcW w:w="799" w:type="pct"/>
            <w:tcBorders>
              <w:top w:val="nil"/>
              <w:left w:val="nil"/>
              <w:bottom w:val="single" w:sz="4" w:space="0" w:color="184897"/>
              <w:right w:val="nil"/>
            </w:tcBorders>
          </w:tcPr>
          <w:p w:rsidR="00FE37D3" w:rsidRPr="00800737" w:rsidRDefault="00FE37D3" w:rsidP="005E1DCB">
            <w:pPr>
              <w:pStyle w:val="TableBody"/>
              <w:jc w:val="center"/>
            </w:pPr>
            <w:r>
              <w:t>2.3</w:t>
            </w:r>
          </w:p>
        </w:tc>
        <w:tc>
          <w:tcPr>
            <w:tcW w:w="922" w:type="pct"/>
            <w:tcBorders>
              <w:top w:val="nil"/>
              <w:left w:val="nil"/>
              <w:bottom w:val="single" w:sz="4" w:space="0" w:color="184897"/>
              <w:right w:val="nil"/>
            </w:tcBorders>
            <w:shd w:val="clear" w:color="auto" w:fill="auto"/>
            <w:noWrap/>
            <w:hideMark/>
          </w:tcPr>
          <w:p w:rsidR="00FE37D3" w:rsidRPr="00800737" w:rsidRDefault="00FE37D3" w:rsidP="002A003D">
            <w:pPr>
              <w:pStyle w:val="TableBody"/>
              <w:jc w:val="right"/>
            </w:pPr>
            <w:r>
              <w:t>$27,914,354</w:t>
            </w:r>
          </w:p>
        </w:tc>
        <w:tc>
          <w:tcPr>
            <w:tcW w:w="796" w:type="pct"/>
            <w:tcBorders>
              <w:top w:val="nil"/>
              <w:left w:val="nil"/>
              <w:bottom w:val="single" w:sz="4" w:space="0" w:color="184897"/>
              <w:right w:val="nil"/>
            </w:tcBorders>
          </w:tcPr>
          <w:p w:rsidR="00FE37D3" w:rsidRPr="00800737" w:rsidRDefault="00FE37D3" w:rsidP="005E1DCB">
            <w:pPr>
              <w:pStyle w:val="TableBody"/>
              <w:jc w:val="center"/>
            </w:pPr>
            <w:r>
              <w:t>1.4</w:t>
            </w:r>
          </w:p>
        </w:tc>
      </w:tr>
      <w:tr w:rsidR="00FE37D3" w:rsidRPr="00420E92" w:rsidTr="005E1DCB">
        <w:trPr>
          <w:trHeight w:val="491"/>
        </w:trPr>
        <w:tc>
          <w:tcPr>
            <w:tcW w:w="1559" w:type="pct"/>
            <w:tcBorders>
              <w:top w:val="single" w:sz="4" w:space="0" w:color="184897"/>
              <w:left w:val="nil"/>
              <w:bottom w:val="single" w:sz="4" w:space="0" w:color="184897"/>
              <w:right w:val="nil"/>
            </w:tcBorders>
            <w:shd w:val="clear" w:color="auto" w:fill="auto"/>
            <w:hideMark/>
          </w:tcPr>
          <w:p w:rsidR="00FE37D3" w:rsidRPr="00A039E2" w:rsidRDefault="00FE37D3" w:rsidP="005E1DCB">
            <w:pPr>
              <w:pStyle w:val="TableBody"/>
            </w:pPr>
            <w:r w:rsidRPr="00420E92">
              <w:t>Upper bound discount rate (11%)</w:t>
            </w:r>
          </w:p>
        </w:tc>
        <w:tc>
          <w:tcPr>
            <w:tcW w:w="924" w:type="pct"/>
            <w:tcBorders>
              <w:top w:val="single" w:sz="4" w:space="0" w:color="184897"/>
              <w:left w:val="nil"/>
              <w:bottom w:val="single" w:sz="4" w:space="0" w:color="184897"/>
              <w:right w:val="nil"/>
            </w:tcBorders>
            <w:shd w:val="clear" w:color="auto" w:fill="auto"/>
            <w:noWrap/>
            <w:hideMark/>
          </w:tcPr>
          <w:p w:rsidR="00FE37D3" w:rsidRPr="007576F4" w:rsidRDefault="00FE37D3" w:rsidP="002A003D">
            <w:pPr>
              <w:pStyle w:val="TableBody"/>
              <w:jc w:val="right"/>
            </w:pPr>
            <w:r>
              <w:rPr>
                <w:rFonts w:cs="Calibri"/>
              </w:rPr>
              <w:t>$34,614,765</w:t>
            </w:r>
          </w:p>
        </w:tc>
        <w:tc>
          <w:tcPr>
            <w:tcW w:w="799" w:type="pct"/>
            <w:tcBorders>
              <w:top w:val="single" w:sz="4" w:space="0" w:color="184897"/>
              <w:left w:val="nil"/>
              <w:bottom w:val="single" w:sz="4" w:space="0" w:color="184897"/>
              <w:right w:val="nil"/>
            </w:tcBorders>
          </w:tcPr>
          <w:p w:rsidR="00FE37D3" w:rsidRPr="00800737" w:rsidRDefault="00FE37D3" w:rsidP="005E1DCB">
            <w:pPr>
              <w:pStyle w:val="TableBody"/>
              <w:jc w:val="center"/>
            </w:pPr>
            <w:r>
              <w:t>5.5</w:t>
            </w:r>
          </w:p>
        </w:tc>
        <w:tc>
          <w:tcPr>
            <w:tcW w:w="922" w:type="pct"/>
            <w:tcBorders>
              <w:top w:val="single" w:sz="4" w:space="0" w:color="184897"/>
              <w:left w:val="nil"/>
              <w:bottom w:val="single" w:sz="4" w:space="0" w:color="184897"/>
              <w:right w:val="nil"/>
            </w:tcBorders>
            <w:shd w:val="clear" w:color="auto" w:fill="auto"/>
            <w:noWrap/>
            <w:hideMark/>
          </w:tcPr>
          <w:p w:rsidR="00FE37D3" w:rsidRPr="00800737" w:rsidRDefault="00FE37D3" w:rsidP="002A003D">
            <w:pPr>
              <w:pStyle w:val="TableBody"/>
              <w:jc w:val="right"/>
            </w:pPr>
            <w:r>
              <w:t>$20,768,859</w:t>
            </w:r>
          </w:p>
        </w:tc>
        <w:tc>
          <w:tcPr>
            <w:tcW w:w="796" w:type="pct"/>
            <w:tcBorders>
              <w:top w:val="single" w:sz="4" w:space="0" w:color="184897"/>
              <w:left w:val="nil"/>
              <w:bottom w:val="single" w:sz="4" w:space="0" w:color="184897"/>
              <w:right w:val="nil"/>
            </w:tcBorders>
          </w:tcPr>
          <w:p w:rsidR="00FE37D3" w:rsidRPr="00800737" w:rsidRDefault="00FE37D3" w:rsidP="005E1DCB">
            <w:pPr>
              <w:pStyle w:val="TableBody"/>
              <w:jc w:val="center"/>
            </w:pPr>
            <w:r>
              <w:t>3.3</w:t>
            </w:r>
          </w:p>
        </w:tc>
      </w:tr>
      <w:tr w:rsidR="00FE37D3" w:rsidRPr="00420E92" w:rsidTr="005E1DCB">
        <w:trPr>
          <w:trHeight w:val="600"/>
        </w:trPr>
        <w:tc>
          <w:tcPr>
            <w:tcW w:w="1559" w:type="pct"/>
            <w:tcBorders>
              <w:top w:val="single" w:sz="4" w:space="0" w:color="184897"/>
              <w:left w:val="nil"/>
              <w:bottom w:val="single" w:sz="4" w:space="0" w:color="184897"/>
              <w:right w:val="nil"/>
            </w:tcBorders>
            <w:shd w:val="clear" w:color="auto" w:fill="auto"/>
            <w:hideMark/>
          </w:tcPr>
          <w:p w:rsidR="00FE37D3" w:rsidRPr="00420E92" w:rsidRDefault="00FE37D3" w:rsidP="005E1DCB">
            <w:pPr>
              <w:pStyle w:val="TableBody"/>
            </w:pPr>
            <w:r>
              <w:lastRenderedPageBreak/>
              <w:t>Lower bound rectification costs (-3</w:t>
            </w:r>
            <w:r w:rsidRPr="00420E92">
              <w:t>0%)</w:t>
            </w:r>
          </w:p>
        </w:tc>
        <w:tc>
          <w:tcPr>
            <w:tcW w:w="924" w:type="pct"/>
            <w:tcBorders>
              <w:top w:val="single" w:sz="4" w:space="0" w:color="184897"/>
              <w:left w:val="nil"/>
              <w:bottom w:val="single" w:sz="4" w:space="0" w:color="184897"/>
              <w:right w:val="nil"/>
            </w:tcBorders>
            <w:shd w:val="clear" w:color="auto" w:fill="auto"/>
            <w:noWrap/>
            <w:hideMark/>
          </w:tcPr>
          <w:p w:rsidR="00FE37D3" w:rsidRPr="002C22CF" w:rsidRDefault="00FE37D3" w:rsidP="002A003D">
            <w:pPr>
              <w:pStyle w:val="TableBody"/>
              <w:jc w:val="right"/>
              <w:rPr>
                <w:rFonts w:cs="Calibri"/>
              </w:rPr>
            </w:pPr>
            <w:r>
              <w:rPr>
                <w:rFonts w:cs="Calibri"/>
              </w:rPr>
              <w:t>$39,794,418</w:t>
            </w:r>
          </w:p>
        </w:tc>
        <w:tc>
          <w:tcPr>
            <w:tcW w:w="799" w:type="pct"/>
            <w:tcBorders>
              <w:top w:val="single" w:sz="4" w:space="0" w:color="184897"/>
              <w:left w:val="nil"/>
              <w:bottom w:val="single" w:sz="4" w:space="0" w:color="184897"/>
              <w:right w:val="nil"/>
            </w:tcBorders>
          </w:tcPr>
          <w:p w:rsidR="00FE37D3" w:rsidRPr="00D51767" w:rsidRDefault="00FE37D3" w:rsidP="005E1DCB">
            <w:pPr>
              <w:pStyle w:val="TableBody"/>
              <w:jc w:val="center"/>
            </w:pPr>
            <w:r w:rsidRPr="00DC6560">
              <w:rPr>
                <w:rFonts w:asciiTheme="minorHAnsi" w:hAnsiTheme="minorHAnsi" w:cstheme="minorHAnsi"/>
              </w:rPr>
              <w:t>5.4</w:t>
            </w:r>
          </w:p>
        </w:tc>
        <w:tc>
          <w:tcPr>
            <w:tcW w:w="922" w:type="pct"/>
            <w:tcBorders>
              <w:top w:val="single" w:sz="4" w:space="0" w:color="184897"/>
              <w:left w:val="nil"/>
              <w:bottom w:val="single" w:sz="4" w:space="0" w:color="184897"/>
              <w:right w:val="nil"/>
            </w:tcBorders>
            <w:shd w:val="clear" w:color="auto" w:fill="auto"/>
            <w:noWrap/>
            <w:hideMark/>
          </w:tcPr>
          <w:p w:rsidR="00FE37D3" w:rsidRPr="00DC6560" w:rsidRDefault="00FE37D3" w:rsidP="002A003D">
            <w:pPr>
              <w:pStyle w:val="TableBody"/>
              <w:jc w:val="right"/>
              <w:rPr>
                <w:rFonts w:cs="Calibri"/>
              </w:rPr>
            </w:pPr>
            <w:r w:rsidRPr="00DC6560">
              <w:rPr>
                <w:rFonts w:cs="Calibri"/>
              </w:rPr>
              <w:t>$</w:t>
            </w:r>
            <w:r>
              <w:rPr>
                <w:rFonts w:cs="Calibri"/>
              </w:rPr>
              <w:t>23,876,650</w:t>
            </w:r>
          </w:p>
        </w:tc>
        <w:tc>
          <w:tcPr>
            <w:tcW w:w="796" w:type="pct"/>
            <w:tcBorders>
              <w:top w:val="single" w:sz="4" w:space="0" w:color="184897"/>
              <w:left w:val="nil"/>
              <w:bottom w:val="single" w:sz="4" w:space="0" w:color="184897"/>
              <w:right w:val="nil"/>
            </w:tcBorders>
          </w:tcPr>
          <w:p w:rsidR="00FE37D3" w:rsidRPr="00DC6560" w:rsidRDefault="00FE37D3" w:rsidP="005E1DCB">
            <w:pPr>
              <w:pStyle w:val="TableBody"/>
              <w:jc w:val="center"/>
              <w:rPr>
                <w:rFonts w:cs="Calibri"/>
              </w:rPr>
            </w:pPr>
            <w:r>
              <w:rPr>
                <w:rFonts w:cs="Calibri"/>
              </w:rPr>
              <w:t>3.2</w:t>
            </w:r>
          </w:p>
        </w:tc>
      </w:tr>
      <w:tr w:rsidR="00FE37D3" w:rsidRPr="00420E92" w:rsidTr="005E1DCB">
        <w:trPr>
          <w:trHeight w:val="600"/>
        </w:trPr>
        <w:tc>
          <w:tcPr>
            <w:tcW w:w="1559" w:type="pct"/>
            <w:tcBorders>
              <w:top w:val="single" w:sz="4" w:space="0" w:color="184897"/>
              <w:left w:val="nil"/>
              <w:bottom w:val="single" w:sz="4" w:space="0" w:color="184897"/>
              <w:right w:val="nil"/>
            </w:tcBorders>
            <w:shd w:val="clear" w:color="auto" w:fill="auto"/>
            <w:hideMark/>
          </w:tcPr>
          <w:p w:rsidR="00FE37D3" w:rsidRPr="00420E92" w:rsidRDefault="00FE37D3" w:rsidP="005E1DCB">
            <w:pPr>
              <w:pStyle w:val="TableBody"/>
            </w:pPr>
            <w:r w:rsidRPr="00420E92">
              <w:t xml:space="preserve">Upper bound </w:t>
            </w:r>
            <w:r>
              <w:t>rectification</w:t>
            </w:r>
            <w:r w:rsidRPr="00420E92">
              <w:t xml:space="preserve"> costs (</w:t>
            </w:r>
            <w:r>
              <w:t>+3</w:t>
            </w:r>
            <w:r w:rsidRPr="00420E92">
              <w:t>0%)</w:t>
            </w:r>
          </w:p>
        </w:tc>
        <w:tc>
          <w:tcPr>
            <w:tcW w:w="924" w:type="pct"/>
            <w:tcBorders>
              <w:top w:val="single" w:sz="4" w:space="0" w:color="184897"/>
              <w:left w:val="nil"/>
              <w:bottom w:val="single" w:sz="4" w:space="0" w:color="184897"/>
              <w:right w:val="nil"/>
            </w:tcBorders>
            <w:shd w:val="clear" w:color="auto" w:fill="auto"/>
            <w:noWrap/>
            <w:hideMark/>
          </w:tcPr>
          <w:p w:rsidR="00FE37D3" w:rsidRPr="002C22CF" w:rsidRDefault="00FE37D3" w:rsidP="002A003D">
            <w:pPr>
              <w:pStyle w:val="TableBody"/>
              <w:jc w:val="right"/>
              <w:rPr>
                <w:rFonts w:cs="Calibri"/>
              </w:rPr>
            </w:pPr>
            <w:r>
              <w:rPr>
                <w:rFonts w:cs="Calibri"/>
              </w:rPr>
              <w:t>$39,794,418</w:t>
            </w:r>
          </w:p>
        </w:tc>
        <w:tc>
          <w:tcPr>
            <w:tcW w:w="799" w:type="pct"/>
            <w:tcBorders>
              <w:top w:val="single" w:sz="4" w:space="0" w:color="184897"/>
              <w:left w:val="nil"/>
              <w:bottom w:val="single" w:sz="4" w:space="0" w:color="184897"/>
              <w:right w:val="nil"/>
            </w:tcBorders>
          </w:tcPr>
          <w:p w:rsidR="00FE37D3" w:rsidRDefault="00FE37D3" w:rsidP="005E1DCB">
            <w:pPr>
              <w:pStyle w:val="TableBody"/>
              <w:jc w:val="center"/>
            </w:pPr>
            <w:r w:rsidRPr="00DC6560">
              <w:rPr>
                <w:rFonts w:asciiTheme="minorHAnsi" w:hAnsiTheme="minorHAnsi" w:cstheme="minorHAnsi"/>
              </w:rPr>
              <w:t>3.0</w:t>
            </w:r>
          </w:p>
        </w:tc>
        <w:tc>
          <w:tcPr>
            <w:tcW w:w="922" w:type="pct"/>
            <w:tcBorders>
              <w:top w:val="single" w:sz="4" w:space="0" w:color="184897"/>
              <w:left w:val="nil"/>
              <w:bottom w:val="single" w:sz="4" w:space="0" w:color="184897"/>
              <w:right w:val="nil"/>
            </w:tcBorders>
            <w:shd w:val="clear" w:color="auto" w:fill="auto"/>
            <w:noWrap/>
            <w:hideMark/>
          </w:tcPr>
          <w:p w:rsidR="00FE37D3" w:rsidRPr="00DC6560" w:rsidRDefault="00FE37D3" w:rsidP="002A003D">
            <w:pPr>
              <w:pStyle w:val="TableBody"/>
              <w:jc w:val="right"/>
              <w:rPr>
                <w:rFonts w:cs="Calibri"/>
              </w:rPr>
            </w:pPr>
            <w:r w:rsidRPr="00DC6560">
              <w:rPr>
                <w:rFonts w:cs="Calibri"/>
              </w:rPr>
              <w:t>$</w:t>
            </w:r>
            <w:r>
              <w:rPr>
                <w:rFonts w:cs="Calibri"/>
              </w:rPr>
              <w:t>23,876,651</w:t>
            </w:r>
          </w:p>
        </w:tc>
        <w:tc>
          <w:tcPr>
            <w:tcW w:w="796" w:type="pct"/>
            <w:tcBorders>
              <w:top w:val="single" w:sz="4" w:space="0" w:color="184897"/>
              <w:left w:val="nil"/>
              <w:bottom w:val="single" w:sz="4" w:space="0" w:color="184897"/>
              <w:right w:val="nil"/>
            </w:tcBorders>
          </w:tcPr>
          <w:p w:rsidR="00FE37D3" w:rsidRPr="00DC6560" w:rsidRDefault="00FE37D3" w:rsidP="005E1DCB">
            <w:pPr>
              <w:pStyle w:val="TableBody"/>
              <w:jc w:val="center"/>
              <w:rPr>
                <w:rFonts w:cs="Calibri"/>
              </w:rPr>
            </w:pPr>
            <w:r>
              <w:rPr>
                <w:rFonts w:cs="Calibri"/>
              </w:rPr>
              <w:t>1.8</w:t>
            </w:r>
          </w:p>
        </w:tc>
      </w:tr>
      <w:tr w:rsidR="00FE37D3" w:rsidRPr="00420E92" w:rsidTr="005E1DCB">
        <w:trPr>
          <w:trHeight w:val="696"/>
        </w:trPr>
        <w:tc>
          <w:tcPr>
            <w:tcW w:w="1559" w:type="pct"/>
            <w:tcBorders>
              <w:top w:val="single" w:sz="4" w:space="0" w:color="184897"/>
              <w:left w:val="nil"/>
              <w:bottom w:val="single" w:sz="4" w:space="0" w:color="184897"/>
              <w:right w:val="nil"/>
            </w:tcBorders>
            <w:shd w:val="clear" w:color="auto" w:fill="auto"/>
            <w:hideMark/>
          </w:tcPr>
          <w:p w:rsidR="00FE37D3" w:rsidRPr="00420E92" w:rsidRDefault="00FE37D3" w:rsidP="005B7AFE">
            <w:pPr>
              <w:pStyle w:val="TableBody"/>
            </w:pPr>
            <w:r w:rsidRPr="00420E92">
              <w:t xml:space="preserve">Low number of </w:t>
            </w:r>
            <w:r>
              <w:t>residential Performance Solutions (1%</w:t>
            </w:r>
            <w:r w:rsidRPr="00420E92">
              <w:t>)</w:t>
            </w:r>
          </w:p>
        </w:tc>
        <w:tc>
          <w:tcPr>
            <w:tcW w:w="924" w:type="pct"/>
            <w:tcBorders>
              <w:top w:val="single" w:sz="4" w:space="0" w:color="184897"/>
              <w:left w:val="nil"/>
              <w:bottom w:val="single" w:sz="4" w:space="0" w:color="184897"/>
              <w:right w:val="nil"/>
            </w:tcBorders>
            <w:shd w:val="clear" w:color="auto" w:fill="auto"/>
            <w:noWrap/>
            <w:hideMark/>
          </w:tcPr>
          <w:p w:rsidR="00FE37D3" w:rsidRPr="000F7EF5" w:rsidRDefault="00FE37D3" w:rsidP="002A003D">
            <w:pPr>
              <w:pStyle w:val="TableBody"/>
              <w:jc w:val="right"/>
            </w:pPr>
            <w:r>
              <w:t>$13,264,806</w:t>
            </w:r>
          </w:p>
        </w:tc>
        <w:tc>
          <w:tcPr>
            <w:tcW w:w="799" w:type="pct"/>
            <w:tcBorders>
              <w:top w:val="single" w:sz="4" w:space="0" w:color="184897"/>
              <w:left w:val="nil"/>
              <w:bottom w:val="single" w:sz="4" w:space="0" w:color="184897"/>
              <w:right w:val="nil"/>
            </w:tcBorders>
          </w:tcPr>
          <w:p w:rsidR="00FE37D3" w:rsidRPr="00C82A3A" w:rsidRDefault="00FE37D3" w:rsidP="005E1DCB">
            <w:pPr>
              <w:pStyle w:val="TableBody"/>
              <w:jc w:val="center"/>
            </w:pPr>
            <w:r>
              <w:t>1.3</w:t>
            </w:r>
          </w:p>
        </w:tc>
        <w:tc>
          <w:tcPr>
            <w:tcW w:w="922" w:type="pct"/>
            <w:tcBorders>
              <w:top w:val="single" w:sz="4" w:space="0" w:color="184897"/>
              <w:left w:val="nil"/>
              <w:bottom w:val="single" w:sz="4" w:space="0" w:color="184897"/>
              <w:right w:val="nil"/>
            </w:tcBorders>
            <w:shd w:val="clear" w:color="auto" w:fill="auto"/>
            <w:noWrap/>
            <w:hideMark/>
          </w:tcPr>
          <w:p w:rsidR="00FE37D3" w:rsidRPr="00C82A3A" w:rsidRDefault="00FE37D3" w:rsidP="002A003D">
            <w:pPr>
              <w:pStyle w:val="TableBody"/>
              <w:jc w:val="right"/>
            </w:pPr>
            <w:r>
              <w:t>$7,958,884</w:t>
            </w:r>
          </w:p>
        </w:tc>
        <w:tc>
          <w:tcPr>
            <w:tcW w:w="796" w:type="pct"/>
            <w:tcBorders>
              <w:top w:val="single" w:sz="4" w:space="0" w:color="184897"/>
              <w:left w:val="nil"/>
              <w:bottom w:val="single" w:sz="4" w:space="0" w:color="184897"/>
              <w:right w:val="nil"/>
            </w:tcBorders>
          </w:tcPr>
          <w:p w:rsidR="00FE37D3" w:rsidRPr="00C82A3A" w:rsidRDefault="00FE37D3" w:rsidP="005E1DCB">
            <w:pPr>
              <w:pStyle w:val="TableBody"/>
              <w:jc w:val="center"/>
            </w:pPr>
            <w:r>
              <w:t>0.8</w:t>
            </w:r>
          </w:p>
        </w:tc>
      </w:tr>
      <w:tr w:rsidR="00FE37D3" w:rsidRPr="00420E92" w:rsidTr="005E1DCB">
        <w:trPr>
          <w:trHeight w:val="699"/>
        </w:trPr>
        <w:tc>
          <w:tcPr>
            <w:tcW w:w="1559" w:type="pct"/>
            <w:tcBorders>
              <w:top w:val="single" w:sz="4" w:space="0" w:color="184897"/>
              <w:left w:val="nil"/>
              <w:bottom w:val="single" w:sz="4" w:space="0" w:color="184897"/>
              <w:right w:val="nil"/>
            </w:tcBorders>
            <w:shd w:val="clear" w:color="auto" w:fill="auto"/>
            <w:hideMark/>
          </w:tcPr>
          <w:p w:rsidR="00FE37D3" w:rsidRPr="00420E92" w:rsidRDefault="00FE37D3" w:rsidP="005B7AFE">
            <w:pPr>
              <w:pStyle w:val="TableBody"/>
            </w:pPr>
            <w:r>
              <w:t>Very high</w:t>
            </w:r>
            <w:r w:rsidRPr="00420E92">
              <w:t xml:space="preserve"> number of </w:t>
            </w:r>
            <w:r>
              <w:t>residential Performance Solutions</w:t>
            </w:r>
            <w:r w:rsidRPr="00420E92">
              <w:t xml:space="preserve"> (</w:t>
            </w:r>
            <w:r>
              <w:t xml:space="preserve">20%) </w:t>
            </w:r>
          </w:p>
        </w:tc>
        <w:tc>
          <w:tcPr>
            <w:tcW w:w="924" w:type="pct"/>
            <w:tcBorders>
              <w:top w:val="single" w:sz="4" w:space="0" w:color="184897"/>
              <w:left w:val="nil"/>
              <w:bottom w:val="single" w:sz="4" w:space="0" w:color="184897"/>
              <w:right w:val="nil"/>
            </w:tcBorders>
            <w:shd w:val="clear" w:color="auto" w:fill="auto"/>
            <w:noWrap/>
            <w:hideMark/>
          </w:tcPr>
          <w:p w:rsidR="00FE37D3" w:rsidRPr="00EA2795" w:rsidRDefault="00FE37D3" w:rsidP="002A003D">
            <w:pPr>
              <w:pStyle w:val="TableBody"/>
              <w:jc w:val="right"/>
            </w:pPr>
            <w:r>
              <w:t>$265,296,115</w:t>
            </w:r>
          </w:p>
        </w:tc>
        <w:tc>
          <w:tcPr>
            <w:tcW w:w="799" w:type="pct"/>
            <w:tcBorders>
              <w:top w:val="single" w:sz="4" w:space="0" w:color="184897"/>
              <w:left w:val="nil"/>
              <w:bottom w:val="single" w:sz="4" w:space="0" w:color="184897"/>
              <w:right w:val="nil"/>
            </w:tcBorders>
          </w:tcPr>
          <w:p w:rsidR="00FE37D3" w:rsidRPr="00EA2795" w:rsidRDefault="00FE37D3" w:rsidP="005E1DCB">
            <w:pPr>
              <w:pStyle w:val="TableBody"/>
              <w:jc w:val="center"/>
            </w:pPr>
            <w:r>
              <w:t>25.2</w:t>
            </w:r>
          </w:p>
        </w:tc>
        <w:tc>
          <w:tcPr>
            <w:tcW w:w="922" w:type="pct"/>
            <w:tcBorders>
              <w:top w:val="single" w:sz="4" w:space="0" w:color="184897"/>
              <w:left w:val="nil"/>
              <w:bottom w:val="single" w:sz="4" w:space="0" w:color="184897"/>
              <w:right w:val="nil"/>
            </w:tcBorders>
            <w:shd w:val="clear" w:color="auto" w:fill="auto"/>
            <w:noWrap/>
            <w:hideMark/>
          </w:tcPr>
          <w:p w:rsidR="00FE37D3" w:rsidRPr="00EA2795" w:rsidRDefault="00FE37D3" w:rsidP="002A003D">
            <w:pPr>
              <w:pStyle w:val="TableBody"/>
              <w:jc w:val="right"/>
            </w:pPr>
            <w:r>
              <w:t>$159,177,669</w:t>
            </w:r>
          </w:p>
        </w:tc>
        <w:tc>
          <w:tcPr>
            <w:tcW w:w="796" w:type="pct"/>
            <w:tcBorders>
              <w:top w:val="single" w:sz="4" w:space="0" w:color="184897"/>
              <w:left w:val="nil"/>
              <w:bottom w:val="single" w:sz="4" w:space="0" w:color="184897"/>
              <w:right w:val="nil"/>
            </w:tcBorders>
          </w:tcPr>
          <w:p w:rsidR="00FE37D3" w:rsidRPr="00EA2795" w:rsidRDefault="00FE37D3" w:rsidP="005E1DCB">
            <w:pPr>
              <w:pStyle w:val="TableBody"/>
              <w:jc w:val="center"/>
            </w:pPr>
            <w:r>
              <w:t>15.1</w:t>
            </w:r>
          </w:p>
        </w:tc>
      </w:tr>
    </w:tbl>
    <w:p w:rsidR="00FE37D3" w:rsidRDefault="00FE37D3" w:rsidP="00AE3C78">
      <w:r w:rsidRPr="00C83AC8">
        <w:t>The sensitivity analysis for residential buildings shows that equivalent to between 1 and 25.2 dwellings would need to avoid rectification work (full replacement of cladding and substantial replacement of timber framing) per year for the benefits to equal the costs.</w:t>
      </w:r>
      <w:r>
        <w:t xml:space="preserve"> This range is largest when varying the number of solutions. </w:t>
      </w:r>
      <w:r>
        <w:rPr>
          <w:lang w:val="en-US"/>
        </w:rPr>
        <w:t>Based on the weight of opinion through feedback to ABCB consultations</w:t>
      </w:r>
      <w:r w:rsidR="004A6D3D">
        <w:rPr>
          <w:lang w:val="en-US"/>
        </w:rPr>
        <w:t>,</w:t>
      </w:r>
      <w:r>
        <w:t xml:space="preserve"> this is considered unlikely. However, it has been included </w:t>
      </w:r>
      <w:r>
        <w:rPr>
          <w:lang w:val="en-US"/>
        </w:rPr>
        <w:t xml:space="preserve">to give recognition to </w:t>
      </w:r>
      <w:r w:rsidR="000D0FFC">
        <w:rPr>
          <w:lang w:val="en-US"/>
        </w:rPr>
        <w:t xml:space="preserve">other </w:t>
      </w:r>
      <w:r>
        <w:rPr>
          <w:lang w:val="en-US"/>
        </w:rPr>
        <w:t>opinion</w:t>
      </w:r>
      <w:r w:rsidR="000D0FFC">
        <w:rPr>
          <w:lang w:val="en-US"/>
        </w:rPr>
        <w:t>s</w:t>
      </w:r>
      <w:r>
        <w:rPr>
          <w:lang w:val="en-US"/>
        </w:rPr>
        <w:t xml:space="preserve"> </w:t>
      </w:r>
      <w:r w:rsidR="000D0FFC">
        <w:rPr>
          <w:lang w:val="en-US"/>
        </w:rPr>
        <w:t xml:space="preserve">that </w:t>
      </w:r>
      <w:r>
        <w:rPr>
          <w:lang w:val="en-US"/>
        </w:rPr>
        <w:t>cit</w:t>
      </w:r>
      <w:r w:rsidR="000D0FFC">
        <w:rPr>
          <w:lang w:val="en-US"/>
        </w:rPr>
        <w:t>ed</w:t>
      </w:r>
      <w:r>
        <w:rPr>
          <w:lang w:val="en-US"/>
        </w:rPr>
        <w:t xml:space="preserve"> </w:t>
      </w:r>
      <w:r w:rsidR="000D0FFC">
        <w:rPr>
          <w:lang w:val="en-US"/>
        </w:rPr>
        <w:t>clusters</w:t>
      </w:r>
      <w:r>
        <w:rPr>
          <w:lang w:val="en-US"/>
        </w:rPr>
        <w:t xml:space="preserve">, or </w:t>
      </w:r>
      <w:r w:rsidR="002765B2">
        <w:rPr>
          <w:lang w:val="en-US"/>
        </w:rPr>
        <w:t xml:space="preserve">a </w:t>
      </w:r>
      <w:r>
        <w:rPr>
          <w:lang w:val="en-US"/>
        </w:rPr>
        <w:t>larger number of solutions</w:t>
      </w:r>
      <w:r w:rsidR="007903D5">
        <w:rPr>
          <w:lang w:val="en-US"/>
        </w:rPr>
        <w:t>,</w:t>
      </w:r>
      <w:r>
        <w:rPr>
          <w:lang w:val="en-US"/>
        </w:rPr>
        <w:t xml:space="preserve"> </w:t>
      </w:r>
      <w:r w:rsidR="007903D5">
        <w:rPr>
          <w:lang w:val="en-US"/>
        </w:rPr>
        <w:t xml:space="preserve">many </w:t>
      </w:r>
      <w:r w:rsidR="002765B2">
        <w:rPr>
          <w:lang w:val="en-US"/>
        </w:rPr>
        <w:t xml:space="preserve">of </w:t>
      </w:r>
      <w:r w:rsidR="000D0FFC">
        <w:rPr>
          <w:lang w:val="en-US"/>
        </w:rPr>
        <w:t>which would</w:t>
      </w:r>
      <w:r>
        <w:rPr>
          <w:lang w:val="en-US"/>
        </w:rPr>
        <w:t xml:space="preserve"> follow a simple process</w:t>
      </w:r>
      <w:r w:rsidR="000D0FFC">
        <w:rPr>
          <w:lang w:val="en-US"/>
        </w:rPr>
        <w:t>. It should be noted th</w:t>
      </w:r>
      <w:r w:rsidR="002765B2">
        <w:rPr>
          <w:lang w:val="en-US"/>
        </w:rPr>
        <w:t>at</w:t>
      </w:r>
      <w:r w:rsidR="000D0FFC">
        <w:rPr>
          <w:lang w:val="en-US"/>
        </w:rPr>
        <w:t xml:space="preserve"> </w:t>
      </w:r>
      <w:r w:rsidR="000D0FFC">
        <w:t xml:space="preserve">this </w:t>
      </w:r>
      <w:r w:rsidR="007903D5">
        <w:t>unlikely</w:t>
      </w:r>
      <w:r w:rsidR="000D0FFC">
        <w:t xml:space="preserve"> high use scenario</w:t>
      </w:r>
      <w:r w:rsidR="000D0FFC">
        <w:rPr>
          <w:lang w:val="en-US"/>
        </w:rPr>
        <w:t xml:space="preserve"> would imply </w:t>
      </w:r>
      <w:r w:rsidR="000D0FFC">
        <w:t>a lower</w:t>
      </w:r>
      <w:r>
        <w:t xml:space="preserve"> average cost per solution </w:t>
      </w:r>
      <w:r>
        <w:rPr>
          <w:lang w:val="en-US"/>
        </w:rPr>
        <w:t xml:space="preserve">and require lower </w:t>
      </w:r>
      <w:r w:rsidR="000D0FFC">
        <w:rPr>
          <w:lang w:val="en-US"/>
        </w:rPr>
        <w:t>breakeven tha</w:t>
      </w:r>
      <w:r w:rsidR="002765B2">
        <w:rPr>
          <w:lang w:val="en-US"/>
        </w:rPr>
        <w:t>n</w:t>
      </w:r>
      <w:r w:rsidR="000D0FFC">
        <w:rPr>
          <w:lang w:val="en-US"/>
        </w:rPr>
        <w:t xml:space="preserve"> </w:t>
      </w:r>
      <w:r w:rsidR="007903D5">
        <w:rPr>
          <w:lang w:val="en-US"/>
        </w:rPr>
        <w:t>are</w:t>
      </w:r>
      <w:r w:rsidR="000D0FFC">
        <w:rPr>
          <w:lang w:val="en-US"/>
        </w:rPr>
        <w:t xml:space="preserve"> reflected</w:t>
      </w:r>
      <w:r>
        <w:rPr>
          <w:lang w:val="en-US"/>
        </w:rPr>
        <w:t xml:space="preserve">. </w:t>
      </w:r>
    </w:p>
    <w:p w:rsidR="00FE37D3" w:rsidRDefault="00FE37D3" w:rsidP="005E1DCB">
      <w:pPr>
        <w:pStyle w:val="Caption"/>
      </w:pPr>
      <w:r>
        <w:t xml:space="preserve">Table </w:t>
      </w:r>
      <w:r>
        <w:rPr>
          <w:noProof/>
        </w:rPr>
        <w:fldChar w:fldCharType="begin"/>
      </w:r>
      <w:r>
        <w:rPr>
          <w:noProof/>
        </w:rPr>
        <w:instrText xml:space="preserve"> SEQ Table \* ARABIC </w:instrText>
      </w:r>
      <w:r>
        <w:rPr>
          <w:noProof/>
        </w:rPr>
        <w:fldChar w:fldCharType="separate"/>
      </w:r>
      <w:r w:rsidR="002D1698">
        <w:rPr>
          <w:noProof/>
        </w:rPr>
        <w:t>12</w:t>
      </w:r>
      <w:r>
        <w:rPr>
          <w:noProof/>
        </w:rPr>
        <w:fldChar w:fldCharType="end"/>
      </w:r>
      <w:r w:rsidRPr="00487D74">
        <w:t xml:space="preserve"> Sensitivity analysis – Commercial </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 Sensitivity Analysis "/>
        <w:tblDescription w:val="Table tests the output of key assumptions which includes a 3% and 11% discount rate, a positive and negaitive variance of 20% in construction costs and a positive and negative variance of 20% in the number of balconies impacted by the options. "/>
      </w:tblPr>
      <w:tblGrid>
        <w:gridCol w:w="2826"/>
        <w:gridCol w:w="1710"/>
        <w:gridCol w:w="1562"/>
        <w:gridCol w:w="1699"/>
        <w:gridCol w:w="1424"/>
      </w:tblGrid>
      <w:tr w:rsidR="00FE37D3" w:rsidRPr="00420E92" w:rsidTr="00C83AC8">
        <w:trPr>
          <w:trHeight w:val="300"/>
          <w:tblHeader/>
        </w:trPr>
        <w:tc>
          <w:tcPr>
            <w:tcW w:w="1533" w:type="pct"/>
            <w:tcBorders>
              <w:top w:val="nil"/>
              <w:left w:val="nil"/>
              <w:bottom w:val="single" w:sz="4" w:space="0" w:color="184897"/>
              <w:right w:val="nil"/>
            </w:tcBorders>
            <w:shd w:val="clear" w:color="auto" w:fill="184897"/>
            <w:noWrap/>
            <w:hideMark/>
          </w:tcPr>
          <w:p w:rsidR="00FE37D3" w:rsidRPr="00420E92" w:rsidRDefault="00FE37D3" w:rsidP="005E1DCB">
            <w:pPr>
              <w:pStyle w:val="TableHeading"/>
            </w:pPr>
            <w:r w:rsidRPr="00420E92">
              <w:t>Sensitivity</w:t>
            </w:r>
          </w:p>
        </w:tc>
        <w:tc>
          <w:tcPr>
            <w:tcW w:w="927" w:type="pct"/>
            <w:tcBorders>
              <w:top w:val="nil"/>
              <w:left w:val="nil"/>
              <w:bottom w:val="single" w:sz="4" w:space="0" w:color="184897"/>
              <w:right w:val="nil"/>
            </w:tcBorders>
            <w:shd w:val="clear" w:color="auto" w:fill="184897"/>
            <w:noWrap/>
            <w:hideMark/>
          </w:tcPr>
          <w:p w:rsidR="00FE37D3" w:rsidRPr="00420E92" w:rsidRDefault="00FE37D3" w:rsidP="005E1DCB">
            <w:pPr>
              <w:pStyle w:val="TableHeading"/>
              <w:rPr>
                <w:bCs/>
              </w:rPr>
            </w:pPr>
            <w:r w:rsidRPr="00420E92">
              <w:rPr>
                <w:bCs/>
              </w:rPr>
              <w:t xml:space="preserve">Option </w:t>
            </w:r>
            <w:r>
              <w:rPr>
                <w:bCs/>
              </w:rPr>
              <w:t>2 - Cost</w:t>
            </w:r>
          </w:p>
        </w:tc>
        <w:tc>
          <w:tcPr>
            <w:tcW w:w="847" w:type="pct"/>
            <w:tcBorders>
              <w:top w:val="nil"/>
              <w:left w:val="nil"/>
              <w:bottom w:val="single" w:sz="4" w:space="0" w:color="184897"/>
              <w:right w:val="nil"/>
            </w:tcBorders>
            <w:shd w:val="clear" w:color="auto" w:fill="184897"/>
          </w:tcPr>
          <w:p w:rsidR="00FE37D3" w:rsidRPr="00420E92" w:rsidRDefault="00FE37D3" w:rsidP="005E1DCB">
            <w:pPr>
              <w:pStyle w:val="TableHeading"/>
              <w:rPr>
                <w:bCs/>
              </w:rPr>
            </w:pPr>
            <w:r>
              <w:rPr>
                <w:bCs/>
              </w:rPr>
              <w:t>Option 2 – Break-even</w:t>
            </w:r>
          </w:p>
        </w:tc>
        <w:tc>
          <w:tcPr>
            <w:tcW w:w="921" w:type="pct"/>
            <w:tcBorders>
              <w:top w:val="nil"/>
              <w:left w:val="nil"/>
              <w:bottom w:val="single" w:sz="4" w:space="0" w:color="184897"/>
              <w:right w:val="nil"/>
            </w:tcBorders>
            <w:shd w:val="clear" w:color="auto" w:fill="184897"/>
            <w:noWrap/>
            <w:hideMark/>
          </w:tcPr>
          <w:p w:rsidR="00FE37D3" w:rsidRPr="00420E92" w:rsidRDefault="00FE37D3" w:rsidP="005E1DCB">
            <w:pPr>
              <w:pStyle w:val="TableHeading"/>
              <w:rPr>
                <w:bCs/>
              </w:rPr>
            </w:pPr>
            <w:r w:rsidRPr="00420E92">
              <w:rPr>
                <w:bCs/>
              </w:rPr>
              <w:t xml:space="preserve">Option </w:t>
            </w:r>
            <w:r>
              <w:rPr>
                <w:bCs/>
              </w:rPr>
              <w:t>3- Cost</w:t>
            </w:r>
          </w:p>
        </w:tc>
        <w:tc>
          <w:tcPr>
            <w:tcW w:w="772" w:type="pct"/>
            <w:tcBorders>
              <w:top w:val="nil"/>
              <w:left w:val="nil"/>
              <w:bottom w:val="single" w:sz="4" w:space="0" w:color="184897"/>
              <w:right w:val="nil"/>
            </w:tcBorders>
            <w:shd w:val="clear" w:color="auto" w:fill="184897"/>
          </w:tcPr>
          <w:p w:rsidR="00FE37D3" w:rsidRPr="00420E92" w:rsidRDefault="00FE37D3" w:rsidP="005E1DCB">
            <w:pPr>
              <w:pStyle w:val="TableHeading"/>
              <w:rPr>
                <w:bCs/>
              </w:rPr>
            </w:pPr>
            <w:r>
              <w:rPr>
                <w:bCs/>
              </w:rPr>
              <w:t>Option 3 – Break-even</w:t>
            </w:r>
          </w:p>
        </w:tc>
      </w:tr>
      <w:tr w:rsidR="00FE37D3" w:rsidRPr="00420E92" w:rsidTr="00C83AC8">
        <w:trPr>
          <w:trHeight w:val="419"/>
        </w:trPr>
        <w:tc>
          <w:tcPr>
            <w:tcW w:w="1533" w:type="pct"/>
            <w:tcBorders>
              <w:top w:val="single" w:sz="4" w:space="0" w:color="184897"/>
              <w:left w:val="nil"/>
              <w:bottom w:val="single" w:sz="4" w:space="0" w:color="184897"/>
              <w:right w:val="nil"/>
            </w:tcBorders>
            <w:shd w:val="clear" w:color="auto" w:fill="auto"/>
            <w:hideMark/>
          </w:tcPr>
          <w:p w:rsidR="00FE37D3" w:rsidRPr="00420E92" w:rsidRDefault="00FE37D3" w:rsidP="005E1DCB">
            <w:pPr>
              <w:pStyle w:val="TableBody"/>
            </w:pPr>
            <w:r w:rsidRPr="00420E92">
              <w:t>Lower bound discount rate (3%)</w:t>
            </w:r>
          </w:p>
        </w:tc>
        <w:tc>
          <w:tcPr>
            <w:tcW w:w="927" w:type="pct"/>
            <w:tcBorders>
              <w:top w:val="single" w:sz="4" w:space="0" w:color="184897"/>
              <w:left w:val="nil"/>
              <w:bottom w:val="single" w:sz="4" w:space="0" w:color="184897"/>
              <w:right w:val="nil"/>
            </w:tcBorders>
            <w:shd w:val="clear" w:color="auto" w:fill="auto"/>
            <w:noWrap/>
            <w:hideMark/>
          </w:tcPr>
          <w:p w:rsidR="00FE37D3" w:rsidRPr="007576F4" w:rsidRDefault="00FE37D3" w:rsidP="005E1DCB">
            <w:pPr>
              <w:pStyle w:val="TableBody"/>
            </w:pPr>
            <w:r>
              <w:t>$227,128,647</w:t>
            </w:r>
          </w:p>
        </w:tc>
        <w:tc>
          <w:tcPr>
            <w:tcW w:w="847" w:type="pct"/>
            <w:tcBorders>
              <w:top w:val="single" w:sz="4" w:space="0" w:color="184897"/>
              <w:left w:val="nil"/>
              <w:bottom w:val="single" w:sz="4" w:space="0" w:color="184897"/>
              <w:right w:val="nil"/>
            </w:tcBorders>
          </w:tcPr>
          <w:p w:rsidR="00FE37D3" w:rsidRPr="00800737" w:rsidRDefault="00FE37D3" w:rsidP="005E1DCB">
            <w:pPr>
              <w:pStyle w:val="TableBody"/>
              <w:jc w:val="center"/>
            </w:pPr>
            <w:r>
              <w:t>2.8</w:t>
            </w:r>
          </w:p>
        </w:tc>
        <w:tc>
          <w:tcPr>
            <w:tcW w:w="921" w:type="pct"/>
            <w:tcBorders>
              <w:top w:val="single" w:sz="4" w:space="0" w:color="184897"/>
              <w:left w:val="nil"/>
              <w:bottom w:val="single" w:sz="4" w:space="0" w:color="184897"/>
              <w:right w:val="nil"/>
            </w:tcBorders>
            <w:shd w:val="clear" w:color="auto" w:fill="auto"/>
            <w:noWrap/>
            <w:hideMark/>
          </w:tcPr>
          <w:p w:rsidR="00FE37D3" w:rsidRPr="00800737" w:rsidRDefault="00FE37D3" w:rsidP="005E1DCB">
            <w:pPr>
              <w:pStyle w:val="TableBody"/>
            </w:pPr>
            <w:r>
              <w:t>$136,277,188</w:t>
            </w:r>
          </w:p>
        </w:tc>
        <w:tc>
          <w:tcPr>
            <w:tcW w:w="772" w:type="pct"/>
            <w:tcBorders>
              <w:top w:val="single" w:sz="4" w:space="0" w:color="184897"/>
              <w:left w:val="nil"/>
              <w:bottom w:val="single" w:sz="4" w:space="0" w:color="184897"/>
              <w:right w:val="nil"/>
            </w:tcBorders>
          </w:tcPr>
          <w:p w:rsidR="00FE37D3" w:rsidRPr="00800737" w:rsidRDefault="00FE37D3" w:rsidP="005E1DCB">
            <w:pPr>
              <w:pStyle w:val="TableBody"/>
              <w:jc w:val="center"/>
            </w:pPr>
            <w:r>
              <w:t>1.7</w:t>
            </w:r>
          </w:p>
        </w:tc>
      </w:tr>
      <w:tr w:rsidR="00FE37D3" w:rsidRPr="00420E92" w:rsidTr="00C83AC8">
        <w:trPr>
          <w:trHeight w:val="491"/>
        </w:trPr>
        <w:tc>
          <w:tcPr>
            <w:tcW w:w="1533" w:type="pct"/>
            <w:tcBorders>
              <w:top w:val="single" w:sz="4" w:space="0" w:color="184897"/>
              <w:left w:val="nil"/>
              <w:bottom w:val="single" w:sz="4" w:space="0" w:color="184897"/>
              <w:right w:val="nil"/>
            </w:tcBorders>
            <w:shd w:val="clear" w:color="auto" w:fill="auto"/>
            <w:hideMark/>
          </w:tcPr>
          <w:p w:rsidR="00FE37D3" w:rsidRPr="00A039E2" w:rsidRDefault="00FE37D3" w:rsidP="005E1DCB">
            <w:pPr>
              <w:pStyle w:val="TableBody"/>
            </w:pPr>
            <w:r w:rsidRPr="00420E92">
              <w:t>Upper bound discount rate (11%)</w:t>
            </w:r>
          </w:p>
        </w:tc>
        <w:tc>
          <w:tcPr>
            <w:tcW w:w="927" w:type="pct"/>
            <w:tcBorders>
              <w:top w:val="single" w:sz="4" w:space="0" w:color="184897"/>
              <w:left w:val="nil"/>
              <w:bottom w:val="single" w:sz="4" w:space="0" w:color="184897"/>
              <w:right w:val="nil"/>
            </w:tcBorders>
            <w:shd w:val="clear" w:color="auto" w:fill="auto"/>
            <w:noWrap/>
            <w:hideMark/>
          </w:tcPr>
          <w:p w:rsidR="00FE37D3" w:rsidRPr="007576F4" w:rsidRDefault="00FE37D3" w:rsidP="005E1DCB">
            <w:pPr>
              <w:pStyle w:val="TableBody"/>
            </w:pPr>
            <w:r>
              <w:t>$168,988,431</w:t>
            </w:r>
          </w:p>
        </w:tc>
        <w:tc>
          <w:tcPr>
            <w:tcW w:w="847" w:type="pct"/>
            <w:tcBorders>
              <w:top w:val="single" w:sz="4" w:space="0" w:color="184897"/>
              <w:left w:val="nil"/>
              <w:bottom w:val="single" w:sz="4" w:space="0" w:color="184897"/>
              <w:right w:val="nil"/>
            </w:tcBorders>
          </w:tcPr>
          <w:p w:rsidR="00FE37D3" w:rsidRPr="00800737" w:rsidRDefault="00FE37D3" w:rsidP="005E1DCB">
            <w:pPr>
              <w:pStyle w:val="TableBody"/>
              <w:jc w:val="center"/>
            </w:pPr>
            <w:r>
              <w:t>4.1</w:t>
            </w:r>
          </w:p>
        </w:tc>
        <w:tc>
          <w:tcPr>
            <w:tcW w:w="921" w:type="pct"/>
            <w:tcBorders>
              <w:top w:val="single" w:sz="4" w:space="0" w:color="184897"/>
              <w:left w:val="nil"/>
              <w:bottom w:val="single" w:sz="4" w:space="0" w:color="184897"/>
              <w:right w:val="nil"/>
            </w:tcBorders>
            <w:shd w:val="clear" w:color="auto" w:fill="auto"/>
            <w:noWrap/>
            <w:hideMark/>
          </w:tcPr>
          <w:p w:rsidR="00FE37D3" w:rsidRPr="00800737" w:rsidRDefault="00FE37D3" w:rsidP="005E1DCB">
            <w:pPr>
              <w:pStyle w:val="TableBody"/>
            </w:pPr>
            <w:r>
              <w:t>$101,393,059</w:t>
            </w:r>
          </w:p>
        </w:tc>
        <w:tc>
          <w:tcPr>
            <w:tcW w:w="772" w:type="pct"/>
            <w:tcBorders>
              <w:top w:val="single" w:sz="4" w:space="0" w:color="184897"/>
              <w:left w:val="nil"/>
              <w:bottom w:val="single" w:sz="4" w:space="0" w:color="184897"/>
              <w:right w:val="nil"/>
            </w:tcBorders>
          </w:tcPr>
          <w:p w:rsidR="00FE37D3" w:rsidRPr="00800737" w:rsidRDefault="00FE37D3" w:rsidP="005E1DCB">
            <w:pPr>
              <w:pStyle w:val="TableBody"/>
              <w:jc w:val="center"/>
            </w:pPr>
            <w:r>
              <w:t>2.5</w:t>
            </w:r>
          </w:p>
        </w:tc>
      </w:tr>
      <w:tr w:rsidR="00FE37D3" w:rsidRPr="00420E92" w:rsidTr="00C83AC8">
        <w:trPr>
          <w:trHeight w:val="600"/>
        </w:trPr>
        <w:tc>
          <w:tcPr>
            <w:tcW w:w="1533" w:type="pct"/>
            <w:tcBorders>
              <w:top w:val="single" w:sz="4" w:space="0" w:color="184897"/>
              <w:left w:val="nil"/>
              <w:bottom w:val="single" w:sz="4" w:space="0" w:color="184897"/>
              <w:right w:val="nil"/>
            </w:tcBorders>
            <w:shd w:val="clear" w:color="auto" w:fill="auto"/>
            <w:hideMark/>
          </w:tcPr>
          <w:p w:rsidR="00FE37D3" w:rsidRPr="00420E92" w:rsidRDefault="00FE37D3" w:rsidP="005E1DCB">
            <w:pPr>
              <w:pStyle w:val="TableBody"/>
            </w:pPr>
            <w:r>
              <w:t>High rectification costs (+3</w:t>
            </w:r>
            <w:r w:rsidRPr="00420E92">
              <w:t>0%)</w:t>
            </w:r>
          </w:p>
        </w:tc>
        <w:tc>
          <w:tcPr>
            <w:tcW w:w="927" w:type="pct"/>
            <w:tcBorders>
              <w:top w:val="single" w:sz="4" w:space="0" w:color="184897"/>
              <w:left w:val="nil"/>
              <w:bottom w:val="single" w:sz="4" w:space="0" w:color="184897"/>
              <w:right w:val="nil"/>
            </w:tcBorders>
            <w:shd w:val="clear" w:color="auto" w:fill="auto"/>
            <w:noWrap/>
            <w:hideMark/>
          </w:tcPr>
          <w:p w:rsidR="00FE37D3" w:rsidRPr="002C22CF" w:rsidRDefault="00FE37D3" w:rsidP="005E1DCB">
            <w:pPr>
              <w:pStyle w:val="TableBody"/>
              <w:rPr>
                <w:rFonts w:cs="Calibri"/>
              </w:rPr>
            </w:pPr>
            <w:r>
              <w:rPr>
                <w:rFonts w:cs="Calibri"/>
              </w:rPr>
              <w:t>$194,275,367</w:t>
            </w:r>
          </w:p>
        </w:tc>
        <w:tc>
          <w:tcPr>
            <w:tcW w:w="847" w:type="pct"/>
            <w:tcBorders>
              <w:top w:val="single" w:sz="4" w:space="0" w:color="184897"/>
              <w:left w:val="nil"/>
              <w:bottom w:val="single" w:sz="4" w:space="0" w:color="184897"/>
              <w:right w:val="nil"/>
            </w:tcBorders>
          </w:tcPr>
          <w:p w:rsidR="00FE37D3" w:rsidRPr="002C22CF" w:rsidRDefault="00FE37D3" w:rsidP="005E1DCB">
            <w:pPr>
              <w:pStyle w:val="TableBody"/>
              <w:jc w:val="center"/>
              <w:rPr>
                <w:rFonts w:asciiTheme="minorHAnsi" w:hAnsiTheme="minorHAnsi" w:cstheme="minorHAnsi"/>
              </w:rPr>
            </w:pPr>
            <w:r>
              <w:rPr>
                <w:rFonts w:asciiTheme="minorHAnsi" w:hAnsiTheme="minorHAnsi" w:cstheme="minorHAnsi"/>
              </w:rPr>
              <w:t>3.6</w:t>
            </w:r>
          </w:p>
        </w:tc>
        <w:tc>
          <w:tcPr>
            <w:tcW w:w="921" w:type="pct"/>
            <w:tcBorders>
              <w:top w:val="single" w:sz="4" w:space="0" w:color="184897"/>
              <w:left w:val="nil"/>
              <w:bottom w:val="single" w:sz="4" w:space="0" w:color="184897"/>
              <w:right w:val="nil"/>
            </w:tcBorders>
            <w:shd w:val="clear" w:color="auto" w:fill="auto"/>
            <w:noWrap/>
            <w:hideMark/>
          </w:tcPr>
          <w:p w:rsidR="00FE37D3" w:rsidRPr="00D51767" w:rsidRDefault="00FE37D3" w:rsidP="005E1DCB">
            <w:pPr>
              <w:pStyle w:val="TableBody"/>
            </w:pPr>
            <w:r w:rsidRPr="00DC6560">
              <w:rPr>
                <w:rFonts w:cs="Calibri"/>
              </w:rPr>
              <w:t>$</w:t>
            </w:r>
            <w:r>
              <w:rPr>
                <w:rFonts w:cs="Calibri"/>
              </w:rPr>
              <w:t>116,565,220</w:t>
            </w:r>
          </w:p>
        </w:tc>
        <w:tc>
          <w:tcPr>
            <w:tcW w:w="772" w:type="pct"/>
            <w:tcBorders>
              <w:top w:val="single" w:sz="4" w:space="0" w:color="184897"/>
              <w:left w:val="nil"/>
              <w:bottom w:val="single" w:sz="4" w:space="0" w:color="184897"/>
              <w:right w:val="nil"/>
            </w:tcBorders>
          </w:tcPr>
          <w:p w:rsidR="00FE37D3" w:rsidRPr="00DC6560" w:rsidRDefault="00FE37D3" w:rsidP="005E1DCB">
            <w:pPr>
              <w:pStyle w:val="TableBody"/>
              <w:jc w:val="center"/>
              <w:rPr>
                <w:rFonts w:asciiTheme="minorHAnsi" w:hAnsiTheme="minorHAnsi" w:cstheme="minorHAnsi"/>
              </w:rPr>
            </w:pPr>
            <w:r>
              <w:rPr>
                <w:rFonts w:asciiTheme="minorHAnsi" w:hAnsiTheme="minorHAnsi" w:cstheme="minorHAnsi"/>
              </w:rPr>
              <w:t>2.1</w:t>
            </w:r>
          </w:p>
        </w:tc>
      </w:tr>
      <w:tr w:rsidR="00FE37D3" w:rsidRPr="00420E92" w:rsidTr="00C83AC8">
        <w:trPr>
          <w:trHeight w:val="600"/>
        </w:trPr>
        <w:tc>
          <w:tcPr>
            <w:tcW w:w="1533" w:type="pct"/>
            <w:tcBorders>
              <w:top w:val="single" w:sz="4" w:space="0" w:color="184897"/>
              <w:left w:val="nil"/>
              <w:bottom w:val="single" w:sz="4" w:space="0" w:color="184897"/>
              <w:right w:val="nil"/>
            </w:tcBorders>
            <w:shd w:val="clear" w:color="auto" w:fill="auto"/>
            <w:hideMark/>
          </w:tcPr>
          <w:p w:rsidR="00FE37D3" w:rsidRPr="00420E92" w:rsidRDefault="00FE37D3" w:rsidP="005E1DCB">
            <w:pPr>
              <w:pStyle w:val="TableBody"/>
            </w:pPr>
            <w:r>
              <w:t>Very high</w:t>
            </w:r>
            <w:r w:rsidRPr="00420E92">
              <w:t xml:space="preserve"> </w:t>
            </w:r>
            <w:r>
              <w:t>rectification</w:t>
            </w:r>
            <w:r w:rsidRPr="00420E92">
              <w:t xml:space="preserve"> costs (</w:t>
            </w:r>
            <w:r>
              <w:t>+5</w:t>
            </w:r>
            <w:r w:rsidRPr="00420E92">
              <w:t>0%)</w:t>
            </w:r>
          </w:p>
        </w:tc>
        <w:tc>
          <w:tcPr>
            <w:tcW w:w="927" w:type="pct"/>
            <w:tcBorders>
              <w:top w:val="single" w:sz="4" w:space="0" w:color="184897"/>
              <w:left w:val="nil"/>
              <w:bottom w:val="single" w:sz="4" w:space="0" w:color="184897"/>
              <w:right w:val="nil"/>
            </w:tcBorders>
            <w:shd w:val="clear" w:color="auto" w:fill="auto"/>
            <w:noWrap/>
            <w:hideMark/>
          </w:tcPr>
          <w:p w:rsidR="00FE37D3" w:rsidRPr="002C22CF" w:rsidRDefault="00FE37D3" w:rsidP="005E1DCB">
            <w:pPr>
              <w:pStyle w:val="TableBody"/>
              <w:rPr>
                <w:rFonts w:cs="Calibri"/>
              </w:rPr>
            </w:pPr>
            <w:r>
              <w:rPr>
                <w:rFonts w:cs="Calibri"/>
              </w:rPr>
              <w:t>$194,275,367</w:t>
            </w:r>
          </w:p>
        </w:tc>
        <w:tc>
          <w:tcPr>
            <w:tcW w:w="847" w:type="pct"/>
            <w:tcBorders>
              <w:top w:val="single" w:sz="4" w:space="0" w:color="184897"/>
              <w:left w:val="nil"/>
              <w:bottom w:val="single" w:sz="4" w:space="0" w:color="184897"/>
              <w:right w:val="nil"/>
            </w:tcBorders>
          </w:tcPr>
          <w:p w:rsidR="00FE37D3" w:rsidRPr="00672E1A" w:rsidRDefault="00FE37D3" w:rsidP="005E1DCB">
            <w:pPr>
              <w:pStyle w:val="TableBody"/>
              <w:jc w:val="center"/>
              <w:rPr>
                <w:rFonts w:cs="Calibri"/>
              </w:rPr>
            </w:pPr>
            <w:r>
              <w:rPr>
                <w:rFonts w:cs="Calibri"/>
              </w:rPr>
              <w:t>3.2</w:t>
            </w:r>
          </w:p>
        </w:tc>
        <w:tc>
          <w:tcPr>
            <w:tcW w:w="921" w:type="pct"/>
            <w:tcBorders>
              <w:top w:val="single" w:sz="4" w:space="0" w:color="184897"/>
              <w:left w:val="nil"/>
              <w:bottom w:val="single" w:sz="4" w:space="0" w:color="184897"/>
              <w:right w:val="nil"/>
            </w:tcBorders>
            <w:shd w:val="clear" w:color="auto" w:fill="auto"/>
            <w:noWrap/>
            <w:hideMark/>
          </w:tcPr>
          <w:p w:rsidR="00FE37D3" w:rsidRPr="00672E1A" w:rsidRDefault="00FE37D3" w:rsidP="005E1DCB">
            <w:pPr>
              <w:pStyle w:val="TableBody"/>
              <w:rPr>
                <w:rFonts w:cs="Calibri"/>
              </w:rPr>
            </w:pPr>
            <w:r w:rsidRPr="00DC6560">
              <w:rPr>
                <w:rFonts w:cs="Calibri"/>
              </w:rPr>
              <w:t>$</w:t>
            </w:r>
            <w:r>
              <w:rPr>
                <w:rFonts w:cs="Calibri"/>
              </w:rPr>
              <w:t>116,565,220</w:t>
            </w:r>
          </w:p>
        </w:tc>
        <w:tc>
          <w:tcPr>
            <w:tcW w:w="772" w:type="pct"/>
            <w:tcBorders>
              <w:top w:val="single" w:sz="4" w:space="0" w:color="184897"/>
              <w:left w:val="nil"/>
              <w:bottom w:val="single" w:sz="4" w:space="0" w:color="184897"/>
              <w:right w:val="nil"/>
            </w:tcBorders>
          </w:tcPr>
          <w:p w:rsidR="00FE37D3" w:rsidRPr="00672E1A" w:rsidRDefault="00FE37D3" w:rsidP="005E1DCB">
            <w:pPr>
              <w:pStyle w:val="TableBody"/>
              <w:jc w:val="center"/>
              <w:rPr>
                <w:rFonts w:cs="Calibri"/>
              </w:rPr>
            </w:pPr>
            <w:r>
              <w:rPr>
                <w:rFonts w:cs="Calibri"/>
              </w:rPr>
              <w:t>1.9</w:t>
            </w:r>
          </w:p>
        </w:tc>
      </w:tr>
      <w:tr w:rsidR="00FE37D3" w:rsidRPr="00420E92" w:rsidTr="00C83AC8">
        <w:trPr>
          <w:trHeight w:val="699"/>
        </w:trPr>
        <w:tc>
          <w:tcPr>
            <w:tcW w:w="1533" w:type="pct"/>
            <w:tcBorders>
              <w:top w:val="single" w:sz="4" w:space="0" w:color="184897"/>
              <w:left w:val="nil"/>
              <w:bottom w:val="single" w:sz="4" w:space="0" w:color="184897"/>
              <w:right w:val="nil"/>
            </w:tcBorders>
            <w:shd w:val="clear" w:color="auto" w:fill="auto"/>
          </w:tcPr>
          <w:p w:rsidR="00FE37D3" w:rsidRPr="00420E92" w:rsidRDefault="00FE37D3" w:rsidP="005E1DCB">
            <w:pPr>
              <w:pStyle w:val="TableBody"/>
            </w:pPr>
            <w:r>
              <w:t>Lower bound use of Performance Solutions (1 Solution</w:t>
            </w:r>
            <w:r w:rsidRPr="00420E92">
              <w:t>)</w:t>
            </w:r>
          </w:p>
        </w:tc>
        <w:tc>
          <w:tcPr>
            <w:tcW w:w="927" w:type="pct"/>
            <w:tcBorders>
              <w:top w:val="single" w:sz="4" w:space="0" w:color="184897"/>
              <w:left w:val="nil"/>
              <w:bottom w:val="single" w:sz="4" w:space="0" w:color="184897"/>
              <w:right w:val="nil"/>
            </w:tcBorders>
            <w:shd w:val="clear" w:color="auto" w:fill="auto"/>
            <w:noWrap/>
          </w:tcPr>
          <w:p w:rsidR="00FE37D3" w:rsidRPr="00672E1A" w:rsidRDefault="00FE37D3" w:rsidP="005E1DCB">
            <w:pPr>
              <w:pStyle w:val="TableBody"/>
              <w:rPr>
                <w:rFonts w:cs="Calibri"/>
              </w:rPr>
            </w:pPr>
            <w:r w:rsidRPr="00672E1A">
              <w:rPr>
                <w:rFonts w:cs="Calibri"/>
              </w:rPr>
              <w:t>$</w:t>
            </w:r>
            <w:r>
              <w:rPr>
                <w:rFonts w:cs="Calibri"/>
              </w:rPr>
              <w:t>137,862,787</w:t>
            </w:r>
          </w:p>
        </w:tc>
        <w:tc>
          <w:tcPr>
            <w:tcW w:w="847" w:type="pct"/>
            <w:tcBorders>
              <w:top w:val="single" w:sz="4" w:space="0" w:color="184897"/>
              <w:left w:val="nil"/>
              <w:bottom w:val="single" w:sz="4" w:space="0" w:color="184897"/>
              <w:right w:val="nil"/>
            </w:tcBorders>
          </w:tcPr>
          <w:p w:rsidR="00FE37D3" w:rsidRPr="00672E1A" w:rsidRDefault="00FE37D3" w:rsidP="005E1DCB">
            <w:pPr>
              <w:pStyle w:val="TableBody"/>
              <w:jc w:val="center"/>
              <w:rPr>
                <w:rFonts w:cs="Calibri"/>
              </w:rPr>
            </w:pPr>
            <w:r>
              <w:rPr>
                <w:rFonts w:cs="Calibri"/>
              </w:rPr>
              <w:t>1.2</w:t>
            </w:r>
          </w:p>
        </w:tc>
        <w:tc>
          <w:tcPr>
            <w:tcW w:w="921" w:type="pct"/>
            <w:tcBorders>
              <w:top w:val="single" w:sz="4" w:space="0" w:color="184897"/>
              <w:left w:val="nil"/>
              <w:bottom w:val="single" w:sz="4" w:space="0" w:color="184897"/>
              <w:right w:val="nil"/>
            </w:tcBorders>
            <w:shd w:val="clear" w:color="auto" w:fill="auto"/>
            <w:noWrap/>
          </w:tcPr>
          <w:p w:rsidR="00FE37D3" w:rsidRPr="00672E1A" w:rsidRDefault="00FE37D3" w:rsidP="005D0F78">
            <w:pPr>
              <w:pStyle w:val="TableBody"/>
              <w:rPr>
                <w:rFonts w:cs="Calibri"/>
              </w:rPr>
            </w:pPr>
            <w:r>
              <w:rPr>
                <w:rFonts w:cs="Calibri"/>
              </w:rPr>
              <w:t>See footnote</w:t>
            </w:r>
          </w:p>
        </w:tc>
        <w:tc>
          <w:tcPr>
            <w:tcW w:w="772" w:type="pct"/>
            <w:tcBorders>
              <w:top w:val="single" w:sz="4" w:space="0" w:color="184897"/>
              <w:left w:val="nil"/>
              <w:bottom w:val="single" w:sz="4" w:space="0" w:color="184897"/>
              <w:right w:val="nil"/>
            </w:tcBorders>
          </w:tcPr>
          <w:p w:rsidR="00FE37D3" w:rsidRPr="00672E1A" w:rsidRDefault="00FE37D3" w:rsidP="00310FB2">
            <w:pPr>
              <w:pStyle w:val="TableBody"/>
              <w:jc w:val="center"/>
              <w:rPr>
                <w:rFonts w:cs="Calibri"/>
              </w:rPr>
            </w:pPr>
            <w:r>
              <w:rPr>
                <w:rFonts w:cs="Calibri"/>
              </w:rPr>
              <w:t>-</w:t>
            </w:r>
          </w:p>
        </w:tc>
      </w:tr>
      <w:tr w:rsidR="00FE37D3" w:rsidRPr="00420E92" w:rsidTr="00C83AC8">
        <w:trPr>
          <w:trHeight w:val="699"/>
        </w:trPr>
        <w:tc>
          <w:tcPr>
            <w:tcW w:w="1533" w:type="pct"/>
            <w:tcBorders>
              <w:top w:val="single" w:sz="4" w:space="0" w:color="184897"/>
              <w:left w:val="nil"/>
              <w:bottom w:val="single" w:sz="4" w:space="0" w:color="184897"/>
              <w:right w:val="nil"/>
            </w:tcBorders>
            <w:shd w:val="clear" w:color="auto" w:fill="auto"/>
          </w:tcPr>
          <w:p w:rsidR="00FE37D3" w:rsidRPr="00420E92" w:rsidRDefault="00FE37D3" w:rsidP="000303C1">
            <w:pPr>
              <w:pStyle w:val="TableBody"/>
            </w:pPr>
            <w:r>
              <w:lastRenderedPageBreak/>
              <w:t xml:space="preserve">Upper bound use of Performance Solutions </w:t>
            </w:r>
            <w:r w:rsidRPr="00420E92">
              <w:t>(</w:t>
            </w:r>
            <w:r>
              <w:t>3 Solutions)</w:t>
            </w:r>
          </w:p>
        </w:tc>
        <w:tc>
          <w:tcPr>
            <w:tcW w:w="927" w:type="pct"/>
            <w:tcBorders>
              <w:top w:val="single" w:sz="4" w:space="0" w:color="184897"/>
              <w:left w:val="nil"/>
              <w:bottom w:val="single" w:sz="4" w:space="0" w:color="184897"/>
              <w:right w:val="nil"/>
            </w:tcBorders>
            <w:shd w:val="clear" w:color="auto" w:fill="auto"/>
            <w:noWrap/>
          </w:tcPr>
          <w:p w:rsidR="00FE37D3" w:rsidRPr="00672E1A" w:rsidRDefault="00FE37D3" w:rsidP="005E1DCB">
            <w:pPr>
              <w:pStyle w:val="TableBody"/>
              <w:rPr>
                <w:rFonts w:cs="Calibri"/>
              </w:rPr>
            </w:pPr>
            <w:r>
              <w:rPr>
                <w:rFonts w:cs="Calibri"/>
              </w:rPr>
              <w:t>$290,482,364</w:t>
            </w:r>
          </w:p>
        </w:tc>
        <w:tc>
          <w:tcPr>
            <w:tcW w:w="847" w:type="pct"/>
            <w:tcBorders>
              <w:top w:val="single" w:sz="4" w:space="0" w:color="184897"/>
              <w:left w:val="nil"/>
              <w:bottom w:val="single" w:sz="4" w:space="0" w:color="184897"/>
              <w:right w:val="nil"/>
            </w:tcBorders>
          </w:tcPr>
          <w:p w:rsidR="00FE37D3" w:rsidRPr="00672E1A" w:rsidRDefault="00FE37D3" w:rsidP="005E1DCB">
            <w:pPr>
              <w:pStyle w:val="TableBody"/>
              <w:jc w:val="center"/>
              <w:rPr>
                <w:rFonts w:cs="Calibri"/>
              </w:rPr>
            </w:pPr>
            <w:r>
              <w:rPr>
                <w:rFonts w:cs="Calibri"/>
              </w:rPr>
              <w:t>7</w:t>
            </w:r>
          </w:p>
        </w:tc>
        <w:tc>
          <w:tcPr>
            <w:tcW w:w="921" w:type="pct"/>
            <w:tcBorders>
              <w:top w:val="single" w:sz="4" w:space="0" w:color="184897"/>
              <w:left w:val="nil"/>
              <w:bottom w:val="single" w:sz="4" w:space="0" w:color="184897"/>
              <w:right w:val="nil"/>
            </w:tcBorders>
            <w:shd w:val="clear" w:color="auto" w:fill="auto"/>
            <w:noWrap/>
          </w:tcPr>
          <w:p w:rsidR="00FE37D3" w:rsidRPr="00672E1A" w:rsidRDefault="00FE37D3" w:rsidP="005D0F78">
            <w:pPr>
              <w:pStyle w:val="TableBody"/>
              <w:rPr>
                <w:rFonts w:cs="Calibri"/>
              </w:rPr>
            </w:pPr>
            <w:r>
              <w:rPr>
                <w:rFonts w:cs="Calibri"/>
              </w:rPr>
              <w:t>See footnote</w:t>
            </w:r>
          </w:p>
        </w:tc>
        <w:tc>
          <w:tcPr>
            <w:tcW w:w="772" w:type="pct"/>
            <w:tcBorders>
              <w:top w:val="single" w:sz="4" w:space="0" w:color="184897"/>
              <w:left w:val="nil"/>
              <w:bottom w:val="single" w:sz="4" w:space="0" w:color="184897"/>
              <w:right w:val="nil"/>
            </w:tcBorders>
          </w:tcPr>
          <w:p w:rsidR="00FE37D3" w:rsidRPr="00672E1A" w:rsidRDefault="00FE37D3" w:rsidP="00310FB2">
            <w:pPr>
              <w:pStyle w:val="TableBody"/>
              <w:jc w:val="center"/>
              <w:rPr>
                <w:rFonts w:cs="Calibri"/>
              </w:rPr>
            </w:pPr>
            <w:r>
              <w:rPr>
                <w:rFonts w:cs="Calibri"/>
              </w:rPr>
              <w:t>-</w:t>
            </w:r>
          </w:p>
        </w:tc>
      </w:tr>
    </w:tbl>
    <w:p w:rsidR="00FE37D3" w:rsidRDefault="00FE37D3" w:rsidP="000860BE">
      <w:pPr>
        <w:rPr>
          <w:rFonts w:asciiTheme="minorHAnsi" w:hAnsiTheme="minorHAnsi" w:cstheme="minorHAnsi"/>
        </w:rPr>
      </w:pPr>
      <w:r w:rsidRPr="00C83AC8">
        <w:rPr>
          <w:rFonts w:asciiTheme="minorHAnsi" w:hAnsiTheme="minorHAnsi" w:cstheme="minorHAnsi"/>
        </w:rPr>
        <w:t>The sensitivity analysis for commercial buildings shows that between 1.2 and 7 apartment buildings (containing 12 SOUs or more) are required to avoid rectification work per year for the benefits to equal the costs.</w:t>
      </w:r>
      <w:r w:rsidRPr="00C83AC8">
        <w:rPr>
          <w:rStyle w:val="FootnoteReference"/>
        </w:rPr>
        <w:footnoteReference w:id="57"/>
      </w:r>
    </w:p>
    <w:p w:rsidR="00FE37D3" w:rsidRDefault="00FE37D3" w:rsidP="000860BE">
      <w:r>
        <w:rPr>
          <w:rFonts w:asciiTheme="minorHAnsi" w:hAnsiTheme="minorHAnsi" w:cstheme="minorHAnsi"/>
        </w:rPr>
        <w:t>Given the assumed increase in use of Performance Solutions under the high and (unlikely) very high scenarios tested</w:t>
      </w:r>
      <w:r w:rsidR="007161BA">
        <w:rPr>
          <w:rFonts w:asciiTheme="minorHAnsi" w:hAnsiTheme="minorHAnsi" w:cstheme="minorHAnsi"/>
        </w:rPr>
        <w:t>,</w:t>
      </w:r>
      <w:r>
        <w:rPr>
          <w:rFonts w:asciiTheme="minorHAnsi" w:hAnsiTheme="minorHAnsi" w:cstheme="minorHAnsi"/>
        </w:rPr>
        <w:t xml:space="preserve"> and the extent of buildings impacted by rectification under contemporary studies, </w:t>
      </w:r>
      <w:bookmarkStart w:id="83" w:name="_Toc32229043"/>
      <w:bookmarkStart w:id="84" w:name="_Toc33098438"/>
      <w:bookmarkStart w:id="85" w:name="_Toc33098897"/>
      <w:r>
        <w:rPr>
          <w:rFonts w:asciiTheme="minorHAnsi" w:hAnsiTheme="minorHAnsi" w:cstheme="minorHAnsi"/>
        </w:rPr>
        <w:t>the above rates of avoided failure are all considered small and plausible under the status quo.</w:t>
      </w:r>
    </w:p>
    <w:p w:rsidR="00FE37D3" w:rsidRDefault="00FE37D3">
      <w:pPr>
        <w:spacing w:before="0" w:after="200" w:line="276" w:lineRule="auto"/>
        <w:jc w:val="left"/>
      </w:pPr>
      <w:r>
        <w:br w:type="page"/>
      </w:r>
    </w:p>
    <w:p w:rsidR="00FE37D3" w:rsidRPr="005E1DCB" w:rsidRDefault="00FE37D3" w:rsidP="00AE3C78">
      <w:pPr>
        <w:pStyle w:val="Heading3"/>
      </w:pPr>
      <w:r w:rsidRPr="005E1DCB">
        <w:lastRenderedPageBreak/>
        <w:t>Effectiveness of all Options</w:t>
      </w:r>
      <w:bookmarkEnd w:id="83"/>
      <w:bookmarkEnd w:id="84"/>
      <w:bookmarkEnd w:id="85"/>
    </w:p>
    <w:p w:rsidR="00FE37D3" w:rsidRPr="00EE379B" w:rsidRDefault="00FE37D3" w:rsidP="00FB0E0C">
      <w:pPr>
        <w:rPr>
          <w:rFonts w:asciiTheme="minorHAnsi" w:hAnsiTheme="minorHAnsi" w:cstheme="minorHAnsi"/>
        </w:rPr>
      </w:pPr>
      <w:r w:rsidRPr="00EE379B">
        <w:rPr>
          <w:rFonts w:asciiTheme="minorHAnsi" w:hAnsiTheme="minorHAnsi" w:cstheme="minorHAnsi"/>
          <w:noProof/>
          <w:lang w:eastAsia="en-AU"/>
        </w:rPr>
        <w:t xml:space="preserve">The </w:t>
      </w:r>
      <w:r>
        <w:rPr>
          <w:rFonts w:asciiTheme="minorHAnsi" w:hAnsiTheme="minorHAnsi" w:cstheme="minorHAnsi"/>
          <w:noProof/>
          <w:lang w:eastAsia="en-AU"/>
        </w:rPr>
        <w:t>impacts of</w:t>
      </w:r>
      <w:r w:rsidRPr="00EE379B">
        <w:rPr>
          <w:rFonts w:asciiTheme="minorHAnsi" w:hAnsiTheme="minorHAnsi" w:cstheme="minorHAnsi"/>
          <w:noProof/>
          <w:lang w:eastAsia="en-AU"/>
        </w:rPr>
        <w:t xml:space="preserve"> alternative options have </w:t>
      </w:r>
      <w:r>
        <w:rPr>
          <w:rFonts w:asciiTheme="minorHAnsi" w:hAnsiTheme="minorHAnsi" w:cstheme="minorHAnsi"/>
          <w:noProof/>
          <w:lang w:eastAsia="en-AU"/>
        </w:rPr>
        <w:t>been considered</w:t>
      </w:r>
      <w:r w:rsidRPr="00EE379B">
        <w:rPr>
          <w:rFonts w:asciiTheme="minorHAnsi" w:hAnsiTheme="minorHAnsi" w:cstheme="minorHAnsi"/>
          <w:noProof/>
          <w:lang w:eastAsia="en-AU"/>
        </w:rPr>
        <w:t xml:space="preserve"> on the basis of full compliance. However, overall effectivess will be influenced by the extent of behavioural change and other </w:t>
      </w:r>
      <w:r>
        <w:rPr>
          <w:rFonts w:asciiTheme="minorHAnsi" w:hAnsiTheme="minorHAnsi" w:cstheme="minorHAnsi"/>
          <w:noProof/>
          <w:lang w:eastAsia="en-AU"/>
        </w:rPr>
        <w:t>administrative</w:t>
      </w:r>
      <w:r w:rsidRPr="00EE379B">
        <w:rPr>
          <w:rFonts w:asciiTheme="minorHAnsi" w:hAnsiTheme="minorHAnsi" w:cstheme="minorHAnsi"/>
          <w:noProof/>
          <w:lang w:eastAsia="en-AU"/>
        </w:rPr>
        <w:t xml:space="preserve"> processes </w:t>
      </w:r>
      <w:r>
        <w:rPr>
          <w:rFonts w:asciiTheme="minorHAnsi" w:hAnsiTheme="minorHAnsi" w:cstheme="minorHAnsi"/>
          <w:noProof/>
          <w:lang w:eastAsia="en-AU"/>
        </w:rPr>
        <w:t>(</w:t>
      </w:r>
      <w:r w:rsidRPr="00EE379B">
        <w:rPr>
          <w:rFonts w:asciiTheme="minorHAnsi" w:hAnsiTheme="minorHAnsi" w:cstheme="minorHAnsi"/>
          <w:noProof/>
          <w:lang w:eastAsia="en-AU"/>
        </w:rPr>
        <w:t xml:space="preserve">e.g. education, </w:t>
      </w:r>
      <w:r w:rsidRPr="00EE379B">
        <w:rPr>
          <w:rFonts w:asciiTheme="minorHAnsi" w:hAnsiTheme="minorHAnsi" w:cstheme="minorHAnsi"/>
        </w:rPr>
        <w:t>auditing and enforcement</w:t>
      </w:r>
      <w:r>
        <w:rPr>
          <w:rFonts w:asciiTheme="minorHAnsi" w:hAnsiTheme="minorHAnsi" w:cstheme="minorHAnsi"/>
        </w:rPr>
        <w:t>).</w:t>
      </w:r>
      <w:r w:rsidRPr="00EE379B">
        <w:rPr>
          <w:rStyle w:val="FootnoteReference"/>
          <w:rFonts w:asciiTheme="minorHAnsi" w:hAnsiTheme="minorHAnsi" w:cstheme="minorHAnsi"/>
        </w:rPr>
        <w:footnoteReference w:id="58"/>
      </w:r>
      <w:r w:rsidRPr="00EE379B">
        <w:rPr>
          <w:rFonts w:asciiTheme="minorHAnsi" w:hAnsiTheme="minorHAnsi" w:cstheme="minorHAnsi"/>
        </w:rPr>
        <w:t xml:space="preserve"> </w:t>
      </w:r>
    </w:p>
    <w:p w:rsidR="00FE37D3" w:rsidRPr="005E1DCB" w:rsidRDefault="00FE37D3" w:rsidP="00AE3C78">
      <w:pPr>
        <w:pStyle w:val="Heading3"/>
      </w:pPr>
      <w:bookmarkStart w:id="86" w:name="_Toc32229044"/>
      <w:bookmarkStart w:id="87" w:name="_Toc33098439"/>
      <w:bookmarkStart w:id="88" w:name="_Toc33098898"/>
      <w:r w:rsidRPr="005E1DCB">
        <w:t>Enforcement</w:t>
      </w:r>
      <w:bookmarkEnd w:id="86"/>
      <w:bookmarkEnd w:id="87"/>
      <w:bookmarkEnd w:id="88"/>
    </w:p>
    <w:p w:rsidR="00FE37D3" w:rsidRDefault="00FE37D3" w:rsidP="00FB0E0C">
      <w:pPr>
        <w:keepNext/>
        <w:rPr>
          <w:rFonts w:asciiTheme="minorHAnsi" w:hAnsiTheme="minorHAnsi" w:cstheme="minorHAnsi"/>
        </w:rPr>
      </w:pPr>
      <w:r w:rsidRPr="00C83AC8">
        <w:rPr>
          <w:rFonts w:asciiTheme="minorHAnsi" w:hAnsiTheme="minorHAnsi" w:cstheme="minorHAnsi"/>
        </w:rPr>
        <w:t>A broadly applied process (Option 2) is expected to provide consistency and clarity</w:t>
      </w:r>
      <w:r w:rsidR="007161BA">
        <w:rPr>
          <w:rFonts w:asciiTheme="minorHAnsi" w:hAnsiTheme="minorHAnsi" w:cstheme="minorHAnsi"/>
        </w:rPr>
        <w:t>,</w:t>
      </w:r>
      <w:r w:rsidRPr="00C83AC8">
        <w:rPr>
          <w:rFonts w:asciiTheme="minorHAnsi" w:hAnsiTheme="minorHAnsi" w:cstheme="minorHAnsi"/>
        </w:rPr>
        <w:t xml:space="preserve"> and </w:t>
      </w:r>
      <w:r w:rsidR="007161BA">
        <w:rPr>
          <w:rFonts w:asciiTheme="minorHAnsi" w:hAnsiTheme="minorHAnsi" w:cstheme="minorHAnsi"/>
        </w:rPr>
        <w:t xml:space="preserve">be </w:t>
      </w:r>
      <w:r w:rsidRPr="00C83AC8">
        <w:rPr>
          <w:rFonts w:asciiTheme="minorHAnsi" w:hAnsiTheme="minorHAnsi" w:cstheme="minorHAnsi"/>
        </w:rPr>
        <w:t>simpler to communicate, educate and enforce. It is also supported by existing guidance and supporting materials.</w:t>
      </w:r>
      <w:r w:rsidRPr="00EE379B">
        <w:rPr>
          <w:rFonts w:asciiTheme="minorHAnsi" w:hAnsiTheme="minorHAnsi" w:cstheme="minorHAnsi"/>
        </w:rPr>
        <w:t xml:space="preserve"> </w:t>
      </w:r>
    </w:p>
    <w:p w:rsidR="00FE37D3" w:rsidRPr="00EE379B" w:rsidRDefault="00FE37D3" w:rsidP="00FB0E0C">
      <w:pPr>
        <w:keepNext/>
        <w:rPr>
          <w:rFonts w:asciiTheme="minorHAnsi" w:hAnsiTheme="minorHAnsi" w:cstheme="minorHAnsi"/>
          <w:lang w:eastAsia="en-AU"/>
        </w:rPr>
      </w:pPr>
      <w:r w:rsidRPr="00EE379B">
        <w:rPr>
          <w:rFonts w:asciiTheme="minorHAnsi" w:hAnsiTheme="minorHAnsi" w:cstheme="minorHAnsi"/>
        </w:rPr>
        <w:t xml:space="preserve">Option 3 would </w:t>
      </w:r>
      <w:r>
        <w:rPr>
          <w:rFonts w:asciiTheme="minorHAnsi" w:hAnsiTheme="minorHAnsi" w:cstheme="minorHAnsi"/>
        </w:rPr>
        <w:t>only reinforce</w:t>
      </w:r>
      <w:r w:rsidRPr="00EE379B">
        <w:rPr>
          <w:rFonts w:asciiTheme="minorHAnsi" w:hAnsiTheme="minorHAnsi" w:cstheme="minorHAnsi"/>
        </w:rPr>
        <w:t xml:space="preserve"> </w:t>
      </w:r>
      <w:r w:rsidR="000D0FFC">
        <w:rPr>
          <w:rFonts w:asciiTheme="minorHAnsi" w:hAnsiTheme="minorHAnsi" w:cstheme="minorHAnsi"/>
        </w:rPr>
        <w:t>the current situation</w:t>
      </w:r>
      <w:r w:rsidR="000D0FFC" w:rsidRPr="000D0FFC">
        <w:rPr>
          <w:rFonts w:asciiTheme="minorHAnsi" w:hAnsiTheme="minorHAnsi" w:cstheme="minorHAnsi"/>
        </w:rPr>
        <w:t xml:space="preserve"> </w:t>
      </w:r>
      <w:r w:rsidR="000D0FFC" w:rsidRPr="00EE379B">
        <w:rPr>
          <w:rFonts w:asciiTheme="minorHAnsi" w:hAnsiTheme="minorHAnsi" w:cstheme="minorHAnsi"/>
        </w:rPr>
        <w:t xml:space="preserve">for </w:t>
      </w:r>
      <w:r w:rsidR="007903D5">
        <w:rPr>
          <w:rFonts w:asciiTheme="minorHAnsi" w:hAnsiTheme="minorHAnsi" w:cstheme="minorHAnsi"/>
        </w:rPr>
        <w:t xml:space="preserve">Performance Solutions for </w:t>
      </w:r>
      <w:r w:rsidR="000D0FFC" w:rsidRPr="00EE379B">
        <w:rPr>
          <w:rFonts w:asciiTheme="minorHAnsi" w:hAnsiTheme="minorHAnsi" w:cstheme="minorHAnsi"/>
        </w:rPr>
        <w:t>fire</w:t>
      </w:r>
      <w:r w:rsidR="000D0FFC">
        <w:rPr>
          <w:rFonts w:asciiTheme="minorHAnsi" w:hAnsiTheme="minorHAnsi" w:cstheme="minorHAnsi"/>
        </w:rPr>
        <w:t xml:space="preserve"> with the additional process </w:t>
      </w:r>
      <w:r w:rsidRPr="00EE379B">
        <w:rPr>
          <w:rFonts w:asciiTheme="minorHAnsi" w:hAnsiTheme="minorHAnsi" w:cstheme="minorHAnsi"/>
        </w:rPr>
        <w:t xml:space="preserve">and the level of documentation </w:t>
      </w:r>
      <w:r w:rsidR="000D0FFC">
        <w:rPr>
          <w:rFonts w:asciiTheme="minorHAnsi" w:hAnsiTheme="minorHAnsi" w:cstheme="minorHAnsi"/>
        </w:rPr>
        <w:t xml:space="preserve">required of </w:t>
      </w:r>
      <w:r w:rsidRPr="00EE379B">
        <w:rPr>
          <w:rFonts w:asciiTheme="minorHAnsi" w:hAnsiTheme="minorHAnsi" w:cstheme="minorHAnsi"/>
        </w:rPr>
        <w:t>practitioners</w:t>
      </w:r>
      <w:r w:rsidR="000D0FFC">
        <w:rPr>
          <w:rFonts w:asciiTheme="minorHAnsi" w:hAnsiTheme="minorHAnsi" w:cstheme="minorHAnsi"/>
        </w:rPr>
        <w:t xml:space="preserve"> extending to </w:t>
      </w:r>
      <w:r w:rsidRPr="00EE379B">
        <w:rPr>
          <w:rFonts w:asciiTheme="minorHAnsi" w:hAnsiTheme="minorHAnsi" w:cstheme="minorHAnsi"/>
        </w:rPr>
        <w:t>structu</w:t>
      </w:r>
      <w:r>
        <w:rPr>
          <w:rFonts w:asciiTheme="minorHAnsi" w:hAnsiTheme="minorHAnsi" w:cstheme="minorHAnsi"/>
        </w:rPr>
        <w:t>re. As amendments are principle-</w:t>
      </w:r>
      <w:r w:rsidRPr="00EE379B">
        <w:rPr>
          <w:rFonts w:asciiTheme="minorHAnsi" w:hAnsiTheme="minorHAnsi" w:cstheme="minorHAnsi"/>
        </w:rPr>
        <w:t xml:space="preserve">based, industry </w:t>
      </w:r>
      <w:r>
        <w:rPr>
          <w:rFonts w:asciiTheme="minorHAnsi" w:hAnsiTheme="minorHAnsi" w:cstheme="minorHAnsi"/>
        </w:rPr>
        <w:t>is</w:t>
      </w:r>
      <w:r w:rsidRPr="00EE379B">
        <w:rPr>
          <w:rFonts w:asciiTheme="minorHAnsi" w:hAnsiTheme="minorHAnsi" w:cstheme="minorHAnsi"/>
        </w:rPr>
        <w:t xml:space="preserve"> likely to require </w:t>
      </w:r>
      <w:r>
        <w:rPr>
          <w:rFonts w:asciiTheme="minorHAnsi" w:hAnsiTheme="minorHAnsi" w:cstheme="minorHAnsi"/>
        </w:rPr>
        <w:t xml:space="preserve">new </w:t>
      </w:r>
      <w:r w:rsidRPr="00EE379B">
        <w:rPr>
          <w:rFonts w:asciiTheme="minorHAnsi" w:hAnsiTheme="minorHAnsi" w:cstheme="minorHAnsi"/>
        </w:rPr>
        <w:t xml:space="preserve">guidance information, templates and examples to aid interpretation. Yet providing exemptions for other areas </w:t>
      </w:r>
      <w:r>
        <w:rPr>
          <w:rFonts w:asciiTheme="minorHAnsi" w:hAnsiTheme="minorHAnsi" w:cstheme="minorHAnsi"/>
        </w:rPr>
        <w:t>under Option</w:t>
      </w:r>
      <w:r w:rsidR="007161BA">
        <w:rPr>
          <w:rFonts w:asciiTheme="minorHAnsi" w:hAnsiTheme="minorHAnsi" w:cstheme="minorHAnsi"/>
        </w:rPr>
        <w:t> </w:t>
      </w:r>
      <w:r>
        <w:rPr>
          <w:rFonts w:asciiTheme="minorHAnsi" w:hAnsiTheme="minorHAnsi" w:cstheme="minorHAnsi"/>
        </w:rPr>
        <w:t xml:space="preserve">3 </w:t>
      </w:r>
      <w:r w:rsidRPr="00EE379B">
        <w:rPr>
          <w:rFonts w:asciiTheme="minorHAnsi" w:hAnsiTheme="minorHAnsi" w:cstheme="minorHAnsi"/>
        </w:rPr>
        <w:t xml:space="preserve">could </w:t>
      </w:r>
      <w:r>
        <w:rPr>
          <w:rFonts w:asciiTheme="minorHAnsi" w:hAnsiTheme="minorHAnsi" w:cstheme="minorHAnsi"/>
        </w:rPr>
        <w:t>infer</w:t>
      </w:r>
      <w:r w:rsidRPr="00EE379B">
        <w:rPr>
          <w:rFonts w:asciiTheme="minorHAnsi" w:hAnsiTheme="minorHAnsi" w:cstheme="minorHAnsi"/>
        </w:rPr>
        <w:t xml:space="preserve"> no process is required</w:t>
      </w:r>
      <w:r w:rsidR="007161BA">
        <w:rPr>
          <w:rFonts w:asciiTheme="minorHAnsi" w:hAnsiTheme="minorHAnsi" w:cstheme="minorHAnsi"/>
        </w:rPr>
        <w:t>,</w:t>
      </w:r>
      <w:r>
        <w:rPr>
          <w:rFonts w:asciiTheme="minorHAnsi" w:hAnsiTheme="minorHAnsi" w:cstheme="minorHAnsi"/>
        </w:rPr>
        <w:t xml:space="preserve"> and</w:t>
      </w:r>
      <w:r w:rsidRPr="00EE379B">
        <w:rPr>
          <w:rFonts w:asciiTheme="minorHAnsi" w:hAnsiTheme="minorHAnsi" w:cstheme="minorHAnsi"/>
        </w:rPr>
        <w:t xml:space="preserve"> </w:t>
      </w:r>
      <w:r>
        <w:rPr>
          <w:rFonts w:asciiTheme="minorHAnsi" w:hAnsiTheme="minorHAnsi" w:cstheme="minorHAnsi"/>
        </w:rPr>
        <w:t>t</w:t>
      </w:r>
      <w:r w:rsidRPr="00EE379B">
        <w:rPr>
          <w:rFonts w:asciiTheme="minorHAnsi" w:hAnsiTheme="minorHAnsi" w:cstheme="minorHAnsi"/>
        </w:rPr>
        <w:t>his would be an unintended consequence.</w:t>
      </w:r>
    </w:p>
    <w:p w:rsidR="00FE37D3" w:rsidRPr="005E1DCB" w:rsidRDefault="00FE37D3" w:rsidP="00AE3C78">
      <w:pPr>
        <w:pStyle w:val="Heading3"/>
      </w:pPr>
      <w:bookmarkStart w:id="89" w:name="_Toc32229045"/>
      <w:bookmarkStart w:id="90" w:name="_Toc33098440"/>
      <w:bookmarkStart w:id="91" w:name="_Toc33098899"/>
      <w:r w:rsidRPr="005E1DCB">
        <w:t>Changing behaviour</w:t>
      </w:r>
      <w:bookmarkEnd w:id="89"/>
      <w:bookmarkEnd w:id="90"/>
      <w:bookmarkEnd w:id="91"/>
      <w:r w:rsidRPr="005E1DCB">
        <w:t xml:space="preserve"> </w:t>
      </w:r>
    </w:p>
    <w:p w:rsidR="00FE37D3" w:rsidRPr="00EE379B" w:rsidRDefault="00FE37D3" w:rsidP="00FB0E0C">
      <w:pPr>
        <w:rPr>
          <w:rFonts w:asciiTheme="minorHAnsi" w:hAnsiTheme="minorHAnsi" w:cstheme="minorHAnsi"/>
          <w:color w:val="1F497D"/>
        </w:rPr>
      </w:pPr>
      <w:r w:rsidRPr="00EE379B">
        <w:rPr>
          <w:rFonts w:asciiTheme="minorHAnsi" w:hAnsiTheme="minorHAnsi" w:cstheme="minorHAnsi"/>
          <w:noProof/>
          <w:lang w:eastAsia="en-AU"/>
        </w:rPr>
        <w:t xml:space="preserve">Under all options it is </w:t>
      </w:r>
      <w:r>
        <w:rPr>
          <w:rFonts w:asciiTheme="minorHAnsi" w:hAnsiTheme="minorHAnsi" w:cstheme="minorHAnsi"/>
          <w:noProof/>
          <w:lang w:eastAsia="en-AU"/>
        </w:rPr>
        <w:t xml:space="preserve">acknowledged that there are </w:t>
      </w:r>
      <w:r w:rsidRPr="00EE379B">
        <w:rPr>
          <w:rFonts w:asciiTheme="minorHAnsi" w:hAnsiTheme="minorHAnsi" w:cstheme="minorHAnsi"/>
          <w:noProof/>
          <w:lang w:eastAsia="en-AU"/>
        </w:rPr>
        <w:t>deg</w:t>
      </w:r>
      <w:r>
        <w:rPr>
          <w:rFonts w:asciiTheme="minorHAnsi" w:hAnsiTheme="minorHAnsi" w:cstheme="minorHAnsi"/>
          <w:noProof/>
          <w:lang w:eastAsia="en-AU"/>
        </w:rPr>
        <w:t>rees of flexibility that reduce</w:t>
      </w:r>
      <w:r w:rsidRPr="00EE379B">
        <w:rPr>
          <w:rFonts w:asciiTheme="minorHAnsi" w:hAnsiTheme="minorHAnsi" w:cstheme="minorHAnsi"/>
          <w:noProof/>
          <w:lang w:eastAsia="en-AU"/>
        </w:rPr>
        <w:t xml:space="preserve"> the effectiveness of the process. The extent that guidance has been effective under the status quo is reflected in the problem. </w:t>
      </w:r>
      <w:r>
        <w:rPr>
          <w:rFonts w:asciiTheme="minorHAnsi" w:hAnsiTheme="minorHAnsi" w:cstheme="minorHAnsi"/>
        </w:rPr>
        <w:t>Feedback from previous surveys, industry associations, individuals and state administrations suggests</w:t>
      </w:r>
      <w:r w:rsidR="007161BA">
        <w:rPr>
          <w:rFonts w:asciiTheme="minorHAnsi" w:hAnsiTheme="minorHAnsi" w:cstheme="minorHAnsi"/>
        </w:rPr>
        <w:t>,</w:t>
      </w:r>
      <w:r>
        <w:rPr>
          <w:rFonts w:asciiTheme="minorHAnsi" w:hAnsiTheme="minorHAnsi" w:cstheme="minorHAnsi"/>
        </w:rPr>
        <w:t xml:space="preserve"> in the absence of regulation, use and expectations of a consistent process will continue to be low under the status quo. </w:t>
      </w:r>
      <w:r w:rsidRPr="00EE379B">
        <w:rPr>
          <w:rFonts w:asciiTheme="minorHAnsi" w:hAnsiTheme="minorHAnsi" w:cstheme="minorHAnsi"/>
          <w:noProof/>
          <w:lang w:eastAsia="en-AU"/>
        </w:rPr>
        <w:t xml:space="preserve">Both regulatory options could be expected to increase the effectiveness of guidance. Under Option 2, the scaling of the process against a solution is intended to be managed through </w:t>
      </w:r>
      <w:r>
        <w:rPr>
          <w:rFonts w:asciiTheme="minorHAnsi" w:hAnsiTheme="minorHAnsi" w:cstheme="minorHAnsi"/>
          <w:noProof/>
          <w:lang w:eastAsia="en-AU"/>
        </w:rPr>
        <w:t xml:space="preserve">stakeholder </w:t>
      </w:r>
      <w:r w:rsidRPr="00EE379B">
        <w:rPr>
          <w:rFonts w:asciiTheme="minorHAnsi" w:hAnsiTheme="minorHAnsi" w:cstheme="minorHAnsi"/>
          <w:noProof/>
          <w:lang w:eastAsia="en-AU"/>
        </w:rPr>
        <w:t xml:space="preserve">consultation. </w:t>
      </w:r>
      <w:r>
        <w:rPr>
          <w:rFonts w:asciiTheme="minorHAnsi" w:hAnsiTheme="minorHAnsi" w:cstheme="minorHAnsi"/>
          <w:noProof/>
          <w:lang w:eastAsia="en-AU"/>
        </w:rPr>
        <w:t>This is where the</w:t>
      </w:r>
      <w:r w:rsidRPr="00EE379B">
        <w:rPr>
          <w:rFonts w:asciiTheme="minorHAnsi" w:hAnsiTheme="minorHAnsi" w:cstheme="minorHAnsi"/>
          <w:noProof/>
          <w:lang w:eastAsia="en-AU"/>
        </w:rPr>
        <w:t xml:space="preserve"> majority of survey respondents </w:t>
      </w:r>
      <w:r>
        <w:rPr>
          <w:rFonts w:asciiTheme="minorHAnsi" w:hAnsiTheme="minorHAnsi" w:cstheme="minorHAnsi"/>
          <w:noProof/>
          <w:lang w:eastAsia="en-AU"/>
        </w:rPr>
        <w:t xml:space="preserve">felt building outcomes would positively change, as shown in Figure 3. </w:t>
      </w:r>
    </w:p>
    <w:p w:rsidR="00FE37D3" w:rsidRPr="00EE379B" w:rsidRDefault="00FE37D3" w:rsidP="005E1DCB">
      <w:pPr>
        <w:spacing w:before="0" w:after="120"/>
      </w:pPr>
    </w:p>
    <w:p w:rsidR="00FE37D3" w:rsidRDefault="00FE37D3" w:rsidP="00FB0E0C">
      <w:pPr>
        <w:rPr>
          <w:rFonts w:asciiTheme="minorHAnsi" w:hAnsiTheme="minorHAnsi" w:cstheme="minorHAnsi"/>
          <w:noProof/>
          <w:lang w:eastAsia="en-AU"/>
        </w:rPr>
      </w:pPr>
      <w:r w:rsidRPr="00FB5510">
        <w:rPr>
          <w:rFonts w:asciiTheme="minorHAnsi" w:hAnsiTheme="minorHAnsi" w:cstheme="minorHAnsi"/>
          <w:noProof/>
          <w:lang w:eastAsia="en-AU"/>
        </w:rPr>
        <w:t>There was no</w:t>
      </w:r>
      <w:r>
        <w:rPr>
          <w:rFonts w:asciiTheme="minorHAnsi" w:hAnsiTheme="minorHAnsi" w:cstheme="minorHAnsi"/>
          <w:noProof/>
          <w:lang w:eastAsia="en-AU"/>
        </w:rPr>
        <w:t xml:space="preserve"> clear</w:t>
      </w:r>
      <w:r w:rsidRPr="00FB5510">
        <w:rPr>
          <w:rFonts w:asciiTheme="minorHAnsi" w:hAnsiTheme="minorHAnsi" w:cstheme="minorHAnsi"/>
          <w:noProof/>
          <w:lang w:eastAsia="en-AU"/>
        </w:rPr>
        <w:t xml:space="preserve"> agreement between responses </w:t>
      </w:r>
      <w:r>
        <w:rPr>
          <w:rFonts w:asciiTheme="minorHAnsi" w:hAnsiTheme="minorHAnsi" w:cstheme="minorHAnsi"/>
          <w:noProof/>
          <w:lang w:eastAsia="en-AU"/>
        </w:rPr>
        <w:t>when respondents were</w:t>
      </w:r>
      <w:r w:rsidRPr="00EE379B">
        <w:rPr>
          <w:rFonts w:asciiTheme="minorHAnsi" w:hAnsiTheme="minorHAnsi" w:cstheme="minorHAnsi"/>
          <w:noProof/>
          <w:lang w:eastAsia="en-AU"/>
        </w:rPr>
        <w:t xml:space="preserve"> asked if using the ABCB Guideline for the development of a Performance Solution would have changed the </w:t>
      </w:r>
      <w:r>
        <w:rPr>
          <w:rFonts w:asciiTheme="minorHAnsi" w:hAnsiTheme="minorHAnsi" w:cstheme="minorHAnsi"/>
          <w:noProof/>
          <w:lang w:eastAsia="en-AU"/>
        </w:rPr>
        <w:t xml:space="preserve">actual </w:t>
      </w:r>
      <w:r w:rsidRPr="00EE379B">
        <w:rPr>
          <w:rFonts w:asciiTheme="minorHAnsi" w:hAnsiTheme="minorHAnsi" w:cstheme="minorHAnsi"/>
          <w:noProof/>
          <w:lang w:eastAsia="en-AU"/>
        </w:rPr>
        <w:t>build</w:t>
      </w:r>
      <w:r>
        <w:rPr>
          <w:rFonts w:asciiTheme="minorHAnsi" w:hAnsiTheme="minorHAnsi" w:cstheme="minorHAnsi"/>
          <w:noProof/>
          <w:lang w:eastAsia="en-AU"/>
        </w:rPr>
        <w:t>ing solution ultimately adopted.  This is shown in Figure 3 below. T</w:t>
      </w:r>
      <w:r w:rsidRPr="00EE379B">
        <w:rPr>
          <w:rFonts w:asciiTheme="minorHAnsi" w:hAnsiTheme="minorHAnsi" w:cstheme="minorHAnsi"/>
          <w:noProof/>
          <w:lang w:eastAsia="en-AU"/>
        </w:rPr>
        <w:t xml:space="preserve">he only sector where the majority responded that this would be the case was ‘Government’.  </w:t>
      </w:r>
    </w:p>
    <w:p w:rsidR="00FE37D3" w:rsidRPr="00EE379B" w:rsidRDefault="00FE37D3" w:rsidP="005E1DCB">
      <w:pPr>
        <w:pStyle w:val="Caption"/>
        <w:rPr>
          <w:noProof/>
          <w:lang w:eastAsia="en-AU"/>
        </w:rPr>
      </w:pPr>
      <w:r>
        <w:t>Figure 3</w:t>
      </w:r>
      <w:r>
        <w:rPr>
          <w:noProof/>
          <w:lang w:eastAsia="en-AU"/>
        </w:rPr>
        <w:t xml:space="preserve"> The impact of the ABCB Guideline</w:t>
      </w:r>
    </w:p>
    <w:p w:rsidR="00FE37D3" w:rsidRPr="00EE379B" w:rsidRDefault="00FE37D3" w:rsidP="005E1DCB">
      <w:pPr>
        <w:spacing w:before="0" w:after="0"/>
        <w:jc w:val="center"/>
        <w:rPr>
          <w:rFonts w:asciiTheme="minorHAnsi" w:hAnsiTheme="minorHAnsi" w:cstheme="minorHAnsi"/>
          <w:noProof/>
          <w:sz w:val="20"/>
          <w:lang w:eastAsia="en-AU"/>
        </w:rPr>
      </w:pPr>
      <w:r w:rsidRPr="00EE379B">
        <w:rPr>
          <w:rFonts w:asciiTheme="minorHAnsi" w:hAnsiTheme="minorHAnsi" w:cstheme="minorHAnsi"/>
          <w:noProof/>
          <w:lang w:eastAsia="en-AU"/>
        </w:rPr>
        <w:drawing>
          <wp:inline distT="0" distB="0" distL="0" distR="0" wp14:anchorId="4F2AA990" wp14:editId="4EB03192">
            <wp:extent cx="6026727" cy="2498090"/>
            <wp:effectExtent l="0" t="0" r="12700" b="16510"/>
            <wp:docPr id="4" name="Chart 4" title="Figure 3 The impact of the ABCB Guidel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E37D3" w:rsidRPr="00074E89" w:rsidRDefault="00FE37D3" w:rsidP="005E1DCB">
      <w:pPr>
        <w:spacing w:before="120" w:after="120"/>
        <w:rPr>
          <w:rFonts w:asciiTheme="minorHAnsi" w:hAnsiTheme="minorHAnsi" w:cstheme="minorHAnsi"/>
          <w:noProof/>
          <w:sz w:val="18"/>
          <w:lang w:eastAsia="en-AU"/>
        </w:rPr>
      </w:pPr>
      <w:r w:rsidRPr="00074E89">
        <w:rPr>
          <w:rFonts w:asciiTheme="minorHAnsi" w:hAnsiTheme="minorHAnsi" w:cstheme="minorHAnsi"/>
          <w:noProof/>
          <w:sz w:val="18"/>
          <w:lang w:eastAsia="en-AU"/>
        </w:rPr>
        <w:t>Source: ABCB Survey, 2019.</w:t>
      </w:r>
    </w:p>
    <w:p w:rsidR="00FE37D3" w:rsidRDefault="00FE37D3" w:rsidP="00F02E1E">
      <w:pPr>
        <w:rPr>
          <w:noProof/>
          <w:lang w:eastAsia="en-AU"/>
        </w:rPr>
      </w:pPr>
      <w:r>
        <w:rPr>
          <w:rFonts w:asciiTheme="minorHAnsi" w:hAnsiTheme="minorHAnsi" w:cstheme="minorHAnsi"/>
          <w:noProof/>
          <w:lang w:eastAsia="en-AU"/>
        </w:rPr>
        <w:t>This implies that</w:t>
      </w:r>
      <w:r w:rsidR="007161BA">
        <w:rPr>
          <w:rFonts w:asciiTheme="minorHAnsi" w:hAnsiTheme="minorHAnsi" w:cstheme="minorHAnsi"/>
          <w:noProof/>
          <w:lang w:eastAsia="en-AU"/>
        </w:rPr>
        <w:t>,</w:t>
      </w:r>
      <w:r>
        <w:rPr>
          <w:rFonts w:asciiTheme="minorHAnsi" w:hAnsiTheme="minorHAnsi" w:cstheme="minorHAnsi"/>
          <w:noProof/>
          <w:lang w:eastAsia="en-AU"/>
        </w:rPr>
        <w:t xml:space="preserve"> while rigour would improve, construction costs are less likely to change. </w:t>
      </w:r>
      <w:r w:rsidRPr="00EE379B">
        <w:rPr>
          <w:rFonts w:asciiTheme="minorHAnsi" w:hAnsiTheme="minorHAnsi" w:cstheme="minorHAnsi"/>
          <w:noProof/>
          <w:lang w:eastAsia="en-AU"/>
        </w:rPr>
        <w:t xml:space="preserve">Where limited to </w:t>
      </w:r>
      <w:r>
        <w:rPr>
          <w:rFonts w:asciiTheme="minorHAnsi" w:hAnsiTheme="minorHAnsi" w:cstheme="minorHAnsi"/>
          <w:noProof/>
          <w:lang w:eastAsia="en-AU"/>
        </w:rPr>
        <w:t>‘</w:t>
      </w:r>
      <w:r w:rsidRPr="00EE379B">
        <w:rPr>
          <w:rFonts w:asciiTheme="minorHAnsi" w:hAnsiTheme="minorHAnsi" w:cstheme="minorHAnsi"/>
          <w:noProof/>
          <w:lang w:eastAsia="en-AU"/>
        </w:rPr>
        <w:t>life safety matters</w:t>
      </w:r>
      <w:r>
        <w:rPr>
          <w:rFonts w:asciiTheme="minorHAnsi" w:hAnsiTheme="minorHAnsi" w:cstheme="minorHAnsi"/>
          <w:noProof/>
          <w:lang w:eastAsia="en-AU"/>
        </w:rPr>
        <w:t>’ under Option 3</w:t>
      </w:r>
      <w:r w:rsidRPr="00EE379B">
        <w:rPr>
          <w:rFonts w:asciiTheme="minorHAnsi" w:hAnsiTheme="minorHAnsi" w:cstheme="minorHAnsi"/>
          <w:noProof/>
          <w:lang w:eastAsia="en-AU"/>
        </w:rPr>
        <w:t xml:space="preserve"> (to the extent </w:t>
      </w:r>
      <w:r>
        <w:rPr>
          <w:rFonts w:asciiTheme="minorHAnsi" w:hAnsiTheme="minorHAnsi" w:cstheme="minorHAnsi"/>
          <w:noProof/>
          <w:lang w:eastAsia="en-AU"/>
        </w:rPr>
        <w:t>Performance S</w:t>
      </w:r>
      <w:r w:rsidRPr="00EE379B">
        <w:rPr>
          <w:rFonts w:asciiTheme="minorHAnsi" w:hAnsiTheme="minorHAnsi" w:cstheme="minorHAnsi"/>
          <w:noProof/>
          <w:lang w:eastAsia="en-AU"/>
        </w:rPr>
        <w:t xml:space="preserve">olutions are able to be classified as </w:t>
      </w:r>
      <w:r>
        <w:rPr>
          <w:rFonts w:asciiTheme="minorHAnsi" w:hAnsiTheme="minorHAnsi" w:cstheme="minorHAnsi"/>
          <w:noProof/>
          <w:lang w:eastAsia="en-AU"/>
        </w:rPr>
        <w:t xml:space="preserve">solely </w:t>
      </w:r>
      <w:r w:rsidRPr="00EE379B">
        <w:rPr>
          <w:rFonts w:asciiTheme="minorHAnsi" w:hAnsiTheme="minorHAnsi" w:cstheme="minorHAnsi"/>
          <w:noProof/>
          <w:lang w:eastAsia="en-AU"/>
        </w:rPr>
        <w:t xml:space="preserve">fire and structural solutions) </w:t>
      </w:r>
      <w:r w:rsidR="0018310E">
        <w:rPr>
          <w:rFonts w:asciiTheme="minorHAnsi" w:hAnsiTheme="minorHAnsi" w:cstheme="minorHAnsi"/>
          <w:noProof/>
          <w:lang w:eastAsia="en-AU"/>
        </w:rPr>
        <w:t>compared to the status quo,</w:t>
      </w:r>
      <w:r w:rsidRPr="00EE379B">
        <w:rPr>
          <w:rFonts w:asciiTheme="minorHAnsi" w:hAnsiTheme="minorHAnsi" w:cstheme="minorHAnsi"/>
          <w:noProof/>
          <w:lang w:eastAsia="en-AU"/>
        </w:rPr>
        <w:t xml:space="preserve"> effectiveness </w:t>
      </w:r>
      <w:r w:rsidR="0018310E">
        <w:rPr>
          <w:rFonts w:asciiTheme="minorHAnsi" w:hAnsiTheme="minorHAnsi" w:cstheme="minorHAnsi"/>
          <w:noProof/>
          <w:lang w:eastAsia="en-AU"/>
        </w:rPr>
        <w:t xml:space="preserve">of achieving the NCC objectives </w:t>
      </w:r>
      <w:r w:rsidRPr="00EE379B">
        <w:rPr>
          <w:rFonts w:asciiTheme="minorHAnsi" w:hAnsiTheme="minorHAnsi" w:cstheme="minorHAnsi"/>
          <w:noProof/>
          <w:lang w:eastAsia="en-AU"/>
        </w:rPr>
        <w:t>may increase</w:t>
      </w:r>
      <w:r>
        <w:rPr>
          <w:rFonts w:asciiTheme="minorHAnsi" w:hAnsiTheme="minorHAnsi" w:cstheme="minorHAnsi"/>
          <w:noProof/>
          <w:lang w:eastAsia="en-AU"/>
        </w:rPr>
        <w:t xml:space="preserve"> </w:t>
      </w:r>
      <w:r w:rsidRPr="00EE379B">
        <w:rPr>
          <w:rFonts w:asciiTheme="minorHAnsi" w:hAnsiTheme="minorHAnsi" w:cstheme="minorHAnsi"/>
          <w:noProof/>
          <w:lang w:eastAsia="en-AU"/>
        </w:rPr>
        <w:t xml:space="preserve">under Option 3. </w:t>
      </w:r>
    </w:p>
    <w:p w:rsidR="00FE37D3" w:rsidRPr="00F722BC" w:rsidRDefault="00FE37D3" w:rsidP="005E1DCB">
      <w:pPr>
        <w:pStyle w:val="Heading3"/>
        <w:rPr>
          <w:noProof/>
          <w:lang w:eastAsia="en-AU"/>
        </w:rPr>
      </w:pPr>
      <w:bookmarkStart w:id="92" w:name="_Toc33098441"/>
      <w:bookmarkStart w:id="93" w:name="_Toc33098900"/>
      <w:r w:rsidRPr="00F722BC">
        <w:rPr>
          <w:noProof/>
          <w:lang w:eastAsia="en-AU"/>
        </w:rPr>
        <w:t>Unintended Consequences</w:t>
      </w:r>
      <w:bookmarkEnd w:id="58"/>
      <w:bookmarkEnd w:id="59"/>
      <w:bookmarkEnd w:id="92"/>
      <w:bookmarkEnd w:id="93"/>
    </w:p>
    <w:p w:rsidR="00FE37D3" w:rsidRPr="00FB0E0C" w:rsidRDefault="00FE37D3" w:rsidP="00D66192">
      <w:pPr>
        <w:rPr>
          <w:rFonts w:asciiTheme="minorHAnsi" w:hAnsiTheme="minorHAnsi" w:cstheme="minorHAnsi"/>
        </w:rPr>
      </w:pPr>
      <w:r>
        <w:rPr>
          <w:rFonts w:asciiTheme="minorHAnsi" w:hAnsiTheme="minorHAnsi" w:cstheme="minorHAnsi"/>
        </w:rPr>
        <w:t>The goal of this proposal is to ensure that</w:t>
      </w:r>
      <w:r w:rsidRPr="00FB0E0C">
        <w:rPr>
          <w:rFonts w:asciiTheme="minorHAnsi" w:hAnsiTheme="minorHAnsi" w:cstheme="minorHAnsi"/>
        </w:rPr>
        <w:t xml:space="preserve"> </w:t>
      </w:r>
      <w:r>
        <w:rPr>
          <w:rFonts w:asciiTheme="minorHAnsi" w:hAnsiTheme="minorHAnsi" w:cstheme="minorHAnsi"/>
        </w:rPr>
        <w:t xml:space="preserve">the right </w:t>
      </w:r>
      <w:r w:rsidRPr="00FB0E0C">
        <w:rPr>
          <w:rFonts w:asciiTheme="minorHAnsi" w:hAnsiTheme="minorHAnsi" w:cstheme="minorHAnsi"/>
        </w:rPr>
        <w:t>balance</w:t>
      </w:r>
      <w:r>
        <w:rPr>
          <w:rFonts w:asciiTheme="minorHAnsi" w:hAnsiTheme="minorHAnsi" w:cstheme="minorHAnsi"/>
        </w:rPr>
        <w:t xml:space="preserve"> between process and flexibility is achieved. This goal is aimed at enhancing the use of Performance Solutions while safeguarding the public against the inherent risks of insufficient process and documentation when they are developed.</w:t>
      </w:r>
    </w:p>
    <w:p w:rsidR="00FE37D3" w:rsidRDefault="00FE37D3" w:rsidP="001D6908">
      <w:pPr>
        <w:rPr>
          <w:rFonts w:asciiTheme="minorHAnsi" w:hAnsiTheme="minorHAnsi" w:cstheme="minorHAnsi"/>
        </w:rPr>
      </w:pPr>
      <w:r w:rsidRPr="00FB0E0C">
        <w:rPr>
          <w:rFonts w:asciiTheme="minorHAnsi" w:hAnsiTheme="minorHAnsi" w:cstheme="minorHAnsi"/>
        </w:rPr>
        <w:lastRenderedPageBreak/>
        <w:t>In some states</w:t>
      </w:r>
      <w:r>
        <w:rPr>
          <w:rFonts w:asciiTheme="minorHAnsi" w:hAnsiTheme="minorHAnsi" w:cstheme="minorHAnsi"/>
        </w:rPr>
        <w:t xml:space="preserve"> and territories</w:t>
      </w:r>
      <w:r w:rsidRPr="00FB0E0C">
        <w:rPr>
          <w:rFonts w:asciiTheme="minorHAnsi" w:hAnsiTheme="minorHAnsi" w:cstheme="minorHAnsi"/>
        </w:rPr>
        <w:t xml:space="preserve"> the accreditation of </w:t>
      </w:r>
      <w:r w:rsidR="00431705">
        <w:rPr>
          <w:rFonts w:asciiTheme="minorHAnsi" w:hAnsiTheme="minorHAnsi" w:cstheme="minorHAnsi"/>
        </w:rPr>
        <w:t>building surveyors</w:t>
      </w:r>
      <w:r w:rsidR="00431705" w:rsidRPr="00FB0E0C">
        <w:rPr>
          <w:rFonts w:asciiTheme="minorHAnsi" w:hAnsiTheme="minorHAnsi" w:cstheme="minorHAnsi"/>
        </w:rPr>
        <w:t xml:space="preserve"> </w:t>
      </w:r>
      <w:r w:rsidRPr="00FB0E0C">
        <w:rPr>
          <w:rFonts w:asciiTheme="minorHAnsi" w:hAnsiTheme="minorHAnsi" w:cstheme="minorHAnsi"/>
        </w:rPr>
        <w:t>to approve Performance Solutions is limited</w:t>
      </w:r>
      <w:r>
        <w:rPr>
          <w:rFonts w:asciiTheme="minorHAnsi" w:hAnsiTheme="minorHAnsi" w:cstheme="minorHAnsi"/>
        </w:rPr>
        <w:t>,</w:t>
      </w:r>
      <w:r w:rsidRPr="00FB0E0C">
        <w:rPr>
          <w:rFonts w:asciiTheme="minorHAnsi" w:hAnsiTheme="minorHAnsi" w:cstheme="minorHAnsi"/>
        </w:rPr>
        <w:t xml:space="preserve"> which may </w:t>
      </w:r>
      <w:r>
        <w:rPr>
          <w:rFonts w:asciiTheme="minorHAnsi" w:hAnsiTheme="minorHAnsi" w:cstheme="minorHAnsi"/>
        </w:rPr>
        <w:t>constrain</w:t>
      </w:r>
      <w:r w:rsidRPr="00FB0E0C">
        <w:rPr>
          <w:rFonts w:asciiTheme="minorHAnsi" w:hAnsiTheme="minorHAnsi" w:cstheme="minorHAnsi"/>
        </w:rPr>
        <w:t xml:space="preserve"> their wider use. In all cases</w:t>
      </w:r>
      <w:r>
        <w:rPr>
          <w:rFonts w:asciiTheme="minorHAnsi" w:hAnsiTheme="minorHAnsi" w:cstheme="minorHAnsi"/>
        </w:rPr>
        <w:t>,</w:t>
      </w:r>
      <w:r w:rsidRPr="00FB0E0C">
        <w:rPr>
          <w:rFonts w:asciiTheme="minorHAnsi" w:hAnsiTheme="minorHAnsi" w:cstheme="minorHAnsi"/>
        </w:rPr>
        <w:t xml:space="preserve"> the analysis assumes </w:t>
      </w:r>
      <w:r w:rsidR="00431705">
        <w:rPr>
          <w:rFonts w:asciiTheme="minorHAnsi" w:hAnsiTheme="minorHAnsi" w:cstheme="minorHAnsi"/>
        </w:rPr>
        <w:t>building survey</w:t>
      </w:r>
      <w:r w:rsidR="007903D5">
        <w:rPr>
          <w:rFonts w:asciiTheme="minorHAnsi" w:hAnsiTheme="minorHAnsi" w:cstheme="minorHAnsi"/>
        </w:rPr>
        <w:t>o</w:t>
      </w:r>
      <w:r w:rsidR="00431705">
        <w:rPr>
          <w:rFonts w:asciiTheme="minorHAnsi" w:hAnsiTheme="minorHAnsi" w:cstheme="minorHAnsi"/>
        </w:rPr>
        <w:t>rs</w:t>
      </w:r>
      <w:r w:rsidR="00431705" w:rsidRPr="00FB0E0C">
        <w:rPr>
          <w:rFonts w:asciiTheme="minorHAnsi" w:hAnsiTheme="minorHAnsi" w:cstheme="minorHAnsi"/>
        </w:rPr>
        <w:t xml:space="preserve"> </w:t>
      </w:r>
      <w:r w:rsidRPr="00FB0E0C">
        <w:rPr>
          <w:rFonts w:asciiTheme="minorHAnsi" w:hAnsiTheme="minorHAnsi" w:cstheme="minorHAnsi"/>
        </w:rPr>
        <w:t xml:space="preserve">are operating within their area of expertise. If there is a culture of operating outside </w:t>
      </w:r>
      <w:r>
        <w:rPr>
          <w:rFonts w:asciiTheme="minorHAnsi" w:hAnsiTheme="minorHAnsi" w:cstheme="minorHAnsi"/>
        </w:rPr>
        <w:t>their</w:t>
      </w:r>
      <w:r w:rsidRPr="00FB0E0C">
        <w:rPr>
          <w:rFonts w:asciiTheme="minorHAnsi" w:hAnsiTheme="minorHAnsi" w:cstheme="minorHAnsi"/>
        </w:rPr>
        <w:t xml:space="preserve"> expertise, the proposed changes </w:t>
      </w:r>
      <w:r>
        <w:rPr>
          <w:rFonts w:asciiTheme="minorHAnsi" w:hAnsiTheme="minorHAnsi" w:cstheme="minorHAnsi"/>
        </w:rPr>
        <w:t>will contribute to revealing and correcting this culture through greater documentation and auditing ability.</w:t>
      </w:r>
    </w:p>
    <w:p w:rsidR="00192D84" w:rsidRDefault="00192D84" w:rsidP="001D6908">
      <w:pPr>
        <w:rPr>
          <w:rFonts w:asciiTheme="minorHAnsi" w:hAnsiTheme="minorHAnsi" w:cstheme="minorHAnsi"/>
        </w:rPr>
      </w:pPr>
      <w:r>
        <w:t>Further, in Australia, the approval authority should not be a party to the design team developing any Performance Solutions, but rather act as an independent reviewer of the output of that process.  The documenting of the process for Performance Solutions, as reflected in the FSVM, may help reinforce this distinction.</w:t>
      </w:r>
    </w:p>
    <w:p w:rsidR="00FE37D3" w:rsidRDefault="00FE37D3" w:rsidP="009A782C">
      <w:pPr>
        <w:rPr>
          <w:noProof/>
          <w:lang w:eastAsia="en-AU"/>
        </w:rPr>
      </w:pPr>
      <w:r>
        <w:rPr>
          <w:rFonts w:asciiTheme="minorHAnsi" w:hAnsiTheme="minorHAnsi" w:cstheme="minorHAnsi"/>
        </w:rPr>
        <w:t xml:space="preserve">Option 3 proposes to limit the application of the process to ‘life safety issues’, assumed to be fire and structure. However, Performance Solutions that seek objectives such as access and energy efficiency have also been shown to have the potential to significantly impact life safety. Given the inter-reliance of the Performance Requirements, classifying Performance Solutions as life safety or fire and structure, would require further amendments to guidance and could lead to some confusion, disagreement and delay. This option </w:t>
      </w:r>
      <w:r w:rsidRPr="00EE379B">
        <w:rPr>
          <w:rFonts w:asciiTheme="minorHAnsi" w:hAnsiTheme="minorHAnsi" w:cstheme="minorHAnsi"/>
          <w:noProof/>
          <w:lang w:eastAsia="en-AU"/>
        </w:rPr>
        <w:t xml:space="preserve">may </w:t>
      </w:r>
      <w:r>
        <w:rPr>
          <w:rFonts w:asciiTheme="minorHAnsi" w:hAnsiTheme="minorHAnsi" w:cstheme="minorHAnsi"/>
          <w:noProof/>
          <w:lang w:eastAsia="en-AU"/>
        </w:rPr>
        <w:t xml:space="preserve">also </w:t>
      </w:r>
      <w:r w:rsidRPr="00EE379B">
        <w:rPr>
          <w:rFonts w:asciiTheme="minorHAnsi" w:hAnsiTheme="minorHAnsi" w:cstheme="minorHAnsi"/>
          <w:noProof/>
          <w:lang w:eastAsia="en-AU"/>
        </w:rPr>
        <w:t xml:space="preserve">undermine a degree of </w:t>
      </w:r>
      <w:r>
        <w:rPr>
          <w:rFonts w:asciiTheme="minorHAnsi" w:hAnsiTheme="minorHAnsi" w:cstheme="minorHAnsi"/>
          <w:noProof/>
          <w:lang w:eastAsia="en-AU"/>
        </w:rPr>
        <w:t xml:space="preserve">current </w:t>
      </w:r>
      <w:r w:rsidRPr="00EE379B">
        <w:rPr>
          <w:rFonts w:asciiTheme="minorHAnsi" w:hAnsiTheme="minorHAnsi" w:cstheme="minorHAnsi"/>
          <w:noProof/>
          <w:lang w:eastAsia="en-AU"/>
        </w:rPr>
        <w:t xml:space="preserve">compliance in other </w:t>
      </w:r>
      <w:r>
        <w:rPr>
          <w:rFonts w:asciiTheme="minorHAnsi" w:hAnsiTheme="minorHAnsi" w:cstheme="minorHAnsi"/>
          <w:noProof/>
          <w:lang w:eastAsia="en-AU"/>
        </w:rPr>
        <w:t>topics</w:t>
      </w:r>
      <w:r w:rsidRPr="00EE379B">
        <w:rPr>
          <w:rFonts w:asciiTheme="minorHAnsi" w:hAnsiTheme="minorHAnsi" w:cstheme="minorHAnsi"/>
          <w:noProof/>
          <w:lang w:eastAsia="en-AU"/>
        </w:rPr>
        <w:t xml:space="preserve"> </w:t>
      </w:r>
      <w:r>
        <w:rPr>
          <w:rFonts w:asciiTheme="minorHAnsi" w:hAnsiTheme="minorHAnsi" w:cstheme="minorHAnsi"/>
          <w:noProof/>
          <w:lang w:eastAsia="en-AU"/>
        </w:rPr>
        <w:t>through implying lesser importance for the process</w:t>
      </w:r>
      <w:r w:rsidRPr="00D22901">
        <w:rPr>
          <w:noProof/>
          <w:lang w:eastAsia="en-AU"/>
        </w:rPr>
        <w:t>.</w:t>
      </w:r>
    </w:p>
    <w:p w:rsidR="00FE37D3" w:rsidRPr="0046448A" w:rsidRDefault="00FE37D3" w:rsidP="00513B40">
      <w:pPr>
        <w:pStyle w:val="Heading1"/>
      </w:pPr>
      <w:bookmarkStart w:id="94" w:name="_Toc506905977"/>
      <w:bookmarkStart w:id="95" w:name="_Toc33098901"/>
      <w:r w:rsidRPr="0046448A">
        <w:t>Regulatory Burden</w:t>
      </w:r>
      <w:bookmarkEnd w:id="94"/>
      <w:bookmarkEnd w:id="95"/>
    </w:p>
    <w:p w:rsidR="00FE37D3" w:rsidRPr="00FB0E0C" w:rsidRDefault="00FE37D3" w:rsidP="00513B40">
      <w:pPr>
        <w:spacing w:after="120"/>
        <w:rPr>
          <w:rFonts w:asciiTheme="minorHAnsi" w:hAnsiTheme="minorHAnsi" w:cstheme="minorHAnsi"/>
        </w:rPr>
      </w:pPr>
      <w:r w:rsidRPr="00FB0E0C">
        <w:rPr>
          <w:rFonts w:asciiTheme="minorHAnsi" w:hAnsiTheme="minorHAnsi" w:cstheme="minorHAnsi"/>
        </w:rPr>
        <w:t>The Australian Government ‘Guide to Regulation’ discusses the importance of cutting red tape</w:t>
      </w:r>
      <w:r w:rsidR="00BF5C81">
        <w:rPr>
          <w:rFonts w:asciiTheme="minorHAnsi" w:hAnsiTheme="minorHAnsi" w:cstheme="minorHAnsi"/>
        </w:rPr>
        <w:t xml:space="preserve"> and includes a </w:t>
      </w:r>
      <w:r w:rsidRPr="00FB0E0C">
        <w:rPr>
          <w:rFonts w:asciiTheme="minorHAnsi" w:hAnsiTheme="minorHAnsi" w:cstheme="minorHAnsi"/>
        </w:rPr>
        <w:t>key principle for Australian Government policy makers</w:t>
      </w:r>
      <w:r w:rsidR="00BF5C81">
        <w:rPr>
          <w:rFonts w:asciiTheme="minorHAnsi" w:hAnsiTheme="minorHAnsi" w:cstheme="minorHAnsi"/>
        </w:rPr>
        <w:t>, being:</w:t>
      </w:r>
      <w:r w:rsidRPr="00FB0E0C">
        <w:rPr>
          <w:rFonts w:asciiTheme="minorHAnsi" w:hAnsiTheme="minorHAnsi" w:cstheme="minorHAnsi"/>
        </w:rPr>
        <w:t xml:space="preserve"> </w:t>
      </w:r>
    </w:p>
    <w:p w:rsidR="00FE37D3" w:rsidRPr="00FB0E0C" w:rsidRDefault="00FE37D3" w:rsidP="007C2FD6">
      <w:pPr>
        <w:spacing w:after="120"/>
        <w:ind w:left="720"/>
        <w:rPr>
          <w:rFonts w:asciiTheme="minorHAnsi" w:hAnsiTheme="minorHAnsi" w:cstheme="minorHAnsi"/>
          <w:i/>
        </w:rPr>
      </w:pPr>
      <w:r>
        <w:rPr>
          <w:rFonts w:asciiTheme="minorHAnsi" w:hAnsiTheme="minorHAnsi" w:cstheme="minorHAnsi"/>
          <w:i/>
        </w:rPr>
        <w:t>“</w:t>
      </w:r>
      <w:r w:rsidRPr="00FB0E0C">
        <w:rPr>
          <w:rFonts w:asciiTheme="minorHAnsi" w:hAnsiTheme="minorHAnsi" w:cstheme="minorHAnsi"/>
          <w:i/>
        </w:rPr>
        <w:t>The cost burden of new regulation must be fully offset by reductions in existing regulatory burden.</w:t>
      </w:r>
      <w:r>
        <w:rPr>
          <w:rFonts w:asciiTheme="minorHAnsi" w:hAnsiTheme="minorHAnsi" w:cstheme="minorHAnsi"/>
          <w:i/>
        </w:rPr>
        <w:t>”</w:t>
      </w:r>
    </w:p>
    <w:p w:rsidR="00FE37D3" w:rsidRPr="00FB0E0C" w:rsidRDefault="00FE37D3" w:rsidP="00513B40">
      <w:pPr>
        <w:spacing w:after="120"/>
        <w:rPr>
          <w:rFonts w:asciiTheme="minorHAnsi" w:hAnsiTheme="minorHAnsi" w:cstheme="minorHAnsi"/>
        </w:rPr>
      </w:pPr>
      <w:r w:rsidRPr="00FB0E0C">
        <w:rPr>
          <w:rFonts w:asciiTheme="minorHAnsi" w:hAnsiTheme="minorHAnsi" w:cstheme="minorHAnsi"/>
        </w:rPr>
        <w:t>All regulatory costs, whether arising from new regulations or changes to existing regulation, must be quantified using the Regulatory Burden Measurement</w:t>
      </w:r>
      <w:r w:rsidR="00B058E0">
        <w:rPr>
          <w:rFonts w:asciiTheme="minorHAnsi" w:hAnsiTheme="minorHAnsi" w:cstheme="minorHAnsi"/>
        </w:rPr>
        <w:t xml:space="preserve"> (RBM)</w:t>
      </w:r>
      <w:r w:rsidRPr="00FB0E0C">
        <w:rPr>
          <w:rFonts w:asciiTheme="minorHAnsi" w:hAnsiTheme="minorHAnsi" w:cstheme="minorHAnsi"/>
        </w:rPr>
        <w:t xml:space="preserve"> framework. The framework must also be used for quantifying regulatory savings, where applicable.</w:t>
      </w:r>
    </w:p>
    <w:p w:rsidR="00FE37D3" w:rsidRPr="00FB0E0C" w:rsidRDefault="00FE37D3" w:rsidP="00513B40">
      <w:pPr>
        <w:spacing w:after="120"/>
        <w:rPr>
          <w:rFonts w:asciiTheme="minorHAnsi" w:hAnsiTheme="minorHAnsi" w:cstheme="minorHAnsi"/>
        </w:rPr>
      </w:pPr>
      <w:r w:rsidRPr="00FB0E0C">
        <w:rPr>
          <w:rFonts w:asciiTheme="minorHAnsi" w:hAnsiTheme="minorHAnsi" w:cstheme="minorHAnsi"/>
        </w:rPr>
        <w:lastRenderedPageBreak/>
        <w:t xml:space="preserve">As measured in accordance with the framework, the regulatory </w:t>
      </w:r>
      <w:r>
        <w:rPr>
          <w:rFonts w:asciiTheme="minorHAnsi" w:hAnsiTheme="minorHAnsi" w:cstheme="minorHAnsi"/>
        </w:rPr>
        <w:t>cost</w:t>
      </w:r>
      <w:r w:rsidRPr="00FB0E0C">
        <w:rPr>
          <w:rFonts w:asciiTheme="minorHAnsi" w:hAnsiTheme="minorHAnsi" w:cstheme="minorHAnsi"/>
        </w:rPr>
        <w:t xml:space="preserve"> from implementing Option 2 </w:t>
      </w:r>
      <w:r w:rsidRPr="003C097D">
        <w:rPr>
          <w:rFonts w:asciiTheme="minorHAnsi" w:hAnsiTheme="minorHAnsi" w:cstheme="minorHAnsi"/>
        </w:rPr>
        <w:t xml:space="preserve">would be </w:t>
      </w:r>
      <w:r w:rsidRPr="0054381F">
        <w:rPr>
          <w:rFonts w:asciiTheme="minorHAnsi" w:hAnsiTheme="minorHAnsi" w:cstheme="minorHAnsi"/>
        </w:rPr>
        <w:t>$</w:t>
      </w:r>
      <w:r>
        <w:rPr>
          <w:rFonts w:asciiTheme="minorHAnsi" w:hAnsiTheme="minorHAnsi" w:cstheme="minorHAnsi"/>
        </w:rPr>
        <w:t>23,406,979</w:t>
      </w:r>
      <w:r w:rsidRPr="0054381F">
        <w:rPr>
          <w:rFonts w:asciiTheme="minorHAnsi" w:hAnsiTheme="minorHAnsi" w:cstheme="minorHAnsi"/>
        </w:rPr>
        <w:t>.</w:t>
      </w:r>
      <w:r w:rsidRPr="0054381F">
        <w:rPr>
          <w:rStyle w:val="FootnoteReference"/>
          <w:rFonts w:asciiTheme="minorHAnsi" w:hAnsiTheme="minorHAnsi" w:cstheme="minorHAnsi"/>
        </w:rPr>
        <w:footnoteReference w:id="59"/>
      </w:r>
      <w:r w:rsidRPr="0054381F">
        <w:rPr>
          <w:rFonts w:asciiTheme="minorHAnsi" w:hAnsiTheme="minorHAnsi" w:cstheme="minorHAnsi"/>
        </w:rPr>
        <w:t xml:space="preserve"> The Commonwealth’s share of this would be $</w:t>
      </w:r>
      <w:r>
        <w:rPr>
          <w:rFonts w:asciiTheme="minorHAnsi" w:hAnsiTheme="minorHAnsi" w:cstheme="minorHAnsi"/>
        </w:rPr>
        <w:t>2,600,775</w:t>
      </w:r>
      <w:r w:rsidRPr="0054381F">
        <w:rPr>
          <w:rFonts w:asciiTheme="minorHAnsi" w:hAnsiTheme="minorHAnsi" w:cstheme="minorHAnsi"/>
        </w:rPr>
        <w:t>.</w:t>
      </w:r>
      <w:r w:rsidRPr="0054381F">
        <w:rPr>
          <w:rStyle w:val="FootnoteReference"/>
          <w:rFonts w:asciiTheme="minorHAnsi" w:hAnsiTheme="minorHAnsi" w:cstheme="minorHAnsi"/>
        </w:rPr>
        <w:footnoteReference w:id="60"/>
      </w:r>
      <w:r>
        <w:rPr>
          <w:rFonts w:asciiTheme="minorHAnsi" w:hAnsiTheme="minorHAnsi" w:cstheme="minorHAnsi"/>
        </w:rPr>
        <w:t xml:space="preserve"> Note, no exclusion has been made on government-to-government regulatory costs. That is, excluding the regulatory burden costs associated with local government building </w:t>
      </w:r>
      <w:r w:rsidR="007903D5">
        <w:rPr>
          <w:rFonts w:asciiTheme="minorHAnsi" w:hAnsiTheme="minorHAnsi" w:cstheme="minorHAnsi"/>
        </w:rPr>
        <w:t>surveyors</w:t>
      </w:r>
      <w:r>
        <w:rPr>
          <w:rFonts w:asciiTheme="minorHAnsi" w:hAnsiTheme="minorHAnsi" w:cstheme="minorHAnsi"/>
        </w:rPr>
        <w:t xml:space="preserve">. This decision has been made on the basis that excluding local government certifiers from the RBM framework would not materially impact the calculated costs. </w:t>
      </w:r>
    </w:p>
    <w:p w:rsidR="00FE37D3" w:rsidRDefault="00FE37D3" w:rsidP="007A2828">
      <w:pPr>
        <w:spacing w:after="120"/>
      </w:pPr>
      <w:r w:rsidRPr="00C83AC8">
        <w:rPr>
          <w:rFonts w:asciiTheme="minorHAnsi" w:hAnsiTheme="minorHAnsi" w:cstheme="minorHAnsi"/>
        </w:rPr>
        <w:t>Governments of the states and territories are not required under COAG policy to identify regulatory offsets.  Some</w:t>
      </w:r>
      <w:r w:rsidRPr="00FB0E0C">
        <w:rPr>
          <w:rFonts w:asciiTheme="minorHAnsi" w:hAnsiTheme="minorHAnsi" w:cstheme="minorHAnsi"/>
        </w:rPr>
        <w:t xml:space="preserve"> jurisdictions may have their own mechanisms regarding regulatory offsets, which would be a matter for those jurisdictions to consider.</w:t>
      </w:r>
      <w:r>
        <w:br w:type="page"/>
      </w:r>
    </w:p>
    <w:p w:rsidR="00FE37D3" w:rsidRPr="00B141DF" w:rsidRDefault="00FE37D3" w:rsidP="00AE3C78">
      <w:pPr>
        <w:pStyle w:val="Heading1"/>
      </w:pPr>
      <w:bookmarkStart w:id="96" w:name="_Toc33098902"/>
      <w:bookmarkStart w:id="97" w:name="_Toc471384405"/>
      <w:bookmarkStart w:id="98" w:name="_Toc505333530"/>
      <w:bookmarkStart w:id="99" w:name="_Toc506905979"/>
      <w:r w:rsidRPr="00AE3C78">
        <w:lastRenderedPageBreak/>
        <w:t>Consultation</w:t>
      </w:r>
      <w:bookmarkEnd w:id="96"/>
      <w:r w:rsidRPr="00AE3C78">
        <w:t xml:space="preserve"> </w:t>
      </w:r>
    </w:p>
    <w:p w:rsidR="00FE37D3" w:rsidRDefault="00FE37D3" w:rsidP="0041469E">
      <w:pPr>
        <w:rPr>
          <w:rFonts w:asciiTheme="minorHAnsi" w:hAnsiTheme="minorHAnsi" w:cstheme="minorHAnsi"/>
        </w:rPr>
      </w:pPr>
      <w:r w:rsidRPr="00FB0E0C">
        <w:rPr>
          <w:rFonts w:asciiTheme="minorHAnsi" w:hAnsiTheme="minorHAnsi" w:cstheme="minorHAnsi"/>
        </w:rPr>
        <w:t xml:space="preserve">There has been acceptance </w:t>
      </w:r>
      <w:r>
        <w:rPr>
          <w:rFonts w:asciiTheme="minorHAnsi" w:hAnsiTheme="minorHAnsi" w:cstheme="minorHAnsi"/>
        </w:rPr>
        <w:t>from the majority of stakeholders consulted</w:t>
      </w:r>
      <w:r w:rsidRPr="00FB0E0C">
        <w:rPr>
          <w:rFonts w:asciiTheme="minorHAnsi" w:hAnsiTheme="minorHAnsi" w:cstheme="minorHAnsi"/>
        </w:rPr>
        <w:t xml:space="preserve"> of the need for a consistent process to be followed when developing and documenting Performance Solutions</w:t>
      </w:r>
      <w:r>
        <w:rPr>
          <w:rFonts w:asciiTheme="minorHAnsi" w:hAnsiTheme="minorHAnsi" w:cstheme="minorHAnsi"/>
        </w:rPr>
        <w:t>, particularly in the area of fire safety</w:t>
      </w:r>
      <w:r w:rsidRPr="00FB0E0C">
        <w:rPr>
          <w:rFonts w:asciiTheme="minorHAnsi" w:hAnsiTheme="minorHAnsi" w:cstheme="minorHAnsi"/>
        </w:rPr>
        <w:t xml:space="preserve">.  </w:t>
      </w:r>
    </w:p>
    <w:p w:rsidR="00FE37D3" w:rsidRPr="00C83AC8" w:rsidRDefault="00FE37D3" w:rsidP="003756FF">
      <w:pPr>
        <w:pStyle w:val="Heading2"/>
      </w:pPr>
      <w:r>
        <w:t xml:space="preserve">Consultation as part of the </w:t>
      </w:r>
      <w:r w:rsidRPr="00FB0E0C">
        <w:t>Increased and Competent Use of Performance project</w:t>
      </w:r>
    </w:p>
    <w:p w:rsidR="00FE37D3" w:rsidRDefault="00FE37D3" w:rsidP="00F02722">
      <w:pPr>
        <w:rPr>
          <w:rFonts w:asciiTheme="minorHAnsi" w:hAnsiTheme="minorHAnsi" w:cstheme="minorHAnsi"/>
        </w:rPr>
      </w:pPr>
      <w:r w:rsidRPr="00FB0E0C">
        <w:rPr>
          <w:rFonts w:asciiTheme="minorHAnsi" w:hAnsiTheme="minorHAnsi" w:cstheme="minorHAnsi"/>
        </w:rPr>
        <w:t xml:space="preserve">Over the past 5 years, as part of the ABCB’s Increased and Competent Use of Performance project, the ABCB has been directly consulting with industry and governments on ways to improve the use of the performance-based NCC and the uptake of performance-based design. In addition to the quantification of all Performance Requirements, much of the consultation has focused on the appropriate methods of analysis, decision and documentation. The </w:t>
      </w:r>
      <w:r>
        <w:rPr>
          <w:rFonts w:asciiTheme="minorHAnsi" w:hAnsiTheme="minorHAnsi" w:cstheme="minorHAnsi"/>
        </w:rPr>
        <w:t>existing</w:t>
      </w:r>
      <w:r w:rsidRPr="00FB0E0C">
        <w:rPr>
          <w:rFonts w:asciiTheme="minorHAnsi" w:hAnsiTheme="minorHAnsi" w:cstheme="minorHAnsi"/>
        </w:rPr>
        <w:t xml:space="preserve"> guidance document developed as part of this project received the full support of industry and governments. </w:t>
      </w:r>
      <w:r w:rsidRPr="00C83AC8">
        <w:rPr>
          <w:rFonts w:asciiTheme="minorHAnsi" w:hAnsiTheme="minorHAnsi" w:cstheme="minorHAnsi"/>
        </w:rPr>
        <w:t>There is also agreement from the majority of stakeholders consulted that industry needs to do more to demonstrate the processes followed when developing Performance Solutions including in areas outside of fire safety.</w:t>
      </w:r>
    </w:p>
    <w:p w:rsidR="00FE37D3" w:rsidRPr="00C83AC8" w:rsidRDefault="00FE37D3" w:rsidP="003756FF">
      <w:pPr>
        <w:pStyle w:val="Heading2"/>
      </w:pPr>
      <w:r>
        <w:t>Stakeholder views received via national education seminars and panel sessions</w:t>
      </w:r>
    </w:p>
    <w:p w:rsidR="00FE37D3" w:rsidRPr="00FB0E0C" w:rsidRDefault="00FE37D3" w:rsidP="00F02722">
      <w:pPr>
        <w:rPr>
          <w:rFonts w:asciiTheme="minorHAnsi" w:hAnsiTheme="minorHAnsi" w:cstheme="minorHAnsi"/>
        </w:rPr>
      </w:pPr>
      <w:r w:rsidRPr="00FB0E0C">
        <w:rPr>
          <w:rFonts w:asciiTheme="minorHAnsi" w:hAnsiTheme="minorHAnsi" w:cstheme="minorHAnsi"/>
        </w:rPr>
        <w:t xml:space="preserve">In 2002, </w:t>
      </w:r>
      <w:r>
        <w:rPr>
          <w:rFonts w:asciiTheme="minorHAnsi" w:hAnsiTheme="minorHAnsi" w:cstheme="minorHAnsi"/>
        </w:rPr>
        <w:t>some</w:t>
      </w:r>
      <w:r w:rsidRPr="00FB0E0C">
        <w:rPr>
          <w:rFonts w:asciiTheme="minorHAnsi" w:hAnsiTheme="minorHAnsi" w:cstheme="minorHAnsi"/>
        </w:rPr>
        <w:t xml:space="preserve"> stakeholders were concerned about the processes used for performance-based fire safety solutions. In response, the ABCB in collaboration with the key stakeholders delivered a national seminar series in all capital cities to promote the use of </w:t>
      </w:r>
      <w:r>
        <w:rPr>
          <w:rFonts w:asciiTheme="minorHAnsi" w:hAnsiTheme="minorHAnsi" w:cstheme="minorHAnsi"/>
        </w:rPr>
        <w:t>the</w:t>
      </w:r>
      <w:r w:rsidRPr="00FB0E0C">
        <w:rPr>
          <w:rFonts w:asciiTheme="minorHAnsi" w:hAnsiTheme="minorHAnsi" w:cstheme="minorHAnsi"/>
        </w:rPr>
        <w:t xml:space="preserve"> processes outlined in the </w:t>
      </w:r>
      <w:r>
        <w:rPr>
          <w:rFonts w:asciiTheme="minorHAnsi" w:hAnsiTheme="minorHAnsi" w:cstheme="minorHAnsi"/>
        </w:rPr>
        <w:t>IFEG</w:t>
      </w:r>
      <w:r w:rsidRPr="00FB0E0C">
        <w:rPr>
          <w:rFonts w:asciiTheme="minorHAnsi" w:hAnsiTheme="minorHAnsi" w:cstheme="minorHAnsi"/>
        </w:rPr>
        <w:t>. The central message was that the development, analysis, stakeholder engagement and documentation of Performance Solutions is critical to the process.</w:t>
      </w:r>
    </w:p>
    <w:p w:rsidR="00FE37D3" w:rsidRPr="00FB0E0C" w:rsidRDefault="00FE37D3" w:rsidP="00F02722">
      <w:pPr>
        <w:rPr>
          <w:rFonts w:asciiTheme="minorHAnsi" w:hAnsiTheme="minorHAnsi" w:cstheme="minorHAnsi"/>
        </w:rPr>
      </w:pPr>
      <w:r>
        <w:rPr>
          <w:rFonts w:asciiTheme="minorHAnsi" w:hAnsiTheme="minorHAnsi" w:cstheme="minorHAnsi"/>
        </w:rPr>
        <w:t>I</w:t>
      </w:r>
      <w:r w:rsidRPr="00FB0E0C">
        <w:rPr>
          <w:rFonts w:asciiTheme="minorHAnsi" w:hAnsiTheme="minorHAnsi" w:cstheme="minorHAnsi"/>
        </w:rPr>
        <w:t>n 2015</w:t>
      </w:r>
      <w:r>
        <w:rPr>
          <w:rFonts w:asciiTheme="minorHAnsi" w:hAnsiTheme="minorHAnsi" w:cstheme="minorHAnsi"/>
        </w:rPr>
        <w:t>,</w:t>
      </w:r>
      <w:r w:rsidRPr="00FB0E0C">
        <w:rPr>
          <w:rFonts w:asciiTheme="minorHAnsi" w:hAnsiTheme="minorHAnsi" w:cstheme="minorHAnsi"/>
        </w:rPr>
        <w:t xml:space="preserve"> stakeholders </w:t>
      </w:r>
      <w:r>
        <w:rPr>
          <w:rFonts w:asciiTheme="minorHAnsi" w:hAnsiTheme="minorHAnsi" w:cstheme="minorHAnsi"/>
        </w:rPr>
        <w:t xml:space="preserve">again expressed </w:t>
      </w:r>
      <w:r w:rsidRPr="00FB0E0C">
        <w:rPr>
          <w:rFonts w:asciiTheme="minorHAnsi" w:hAnsiTheme="minorHAnsi" w:cstheme="minorHAnsi"/>
        </w:rPr>
        <w:t>concern that the appropriate process was still not being used for the development of fire safety Performance Solutions. In response</w:t>
      </w:r>
      <w:r>
        <w:rPr>
          <w:rFonts w:asciiTheme="minorHAnsi" w:hAnsiTheme="minorHAnsi" w:cstheme="minorHAnsi"/>
        </w:rPr>
        <w:t xml:space="preserve">, </w:t>
      </w:r>
      <w:r>
        <w:rPr>
          <w:rFonts w:asciiTheme="minorHAnsi" w:hAnsiTheme="minorHAnsi" w:cstheme="minorHAnsi"/>
        </w:rPr>
        <w:lastRenderedPageBreak/>
        <w:t>the ABCB</w:t>
      </w:r>
      <w:r w:rsidRPr="00FB0E0C">
        <w:rPr>
          <w:rFonts w:asciiTheme="minorHAnsi" w:hAnsiTheme="minorHAnsi" w:cstheme="minorHAnsi"/>
        </w:rPr>
        <w:t xml:space="preserve"> delivered panel session</w:t>
      </w:r>
      <w:r>
        <w:rPr>
          <w:rFonts w:asciiTheme="minorHAnsi" w:hAnsiTheme="minorHAnsi" w:cstheme="minorHAnsi"/>
        </w:rPr>
        <w:t>s</w:t>
      </w:r>
      <w:r w:rsidRPr="00FB0E0C">
        <w:rPr>
          <w:rFonts w:asciiTheme="minorHAnsi" w:hAnsiTheme="minorHAnsi" w:cstheme="minorHAnsi"/>
        </w:rPr>
        <w:t xml:space="preserve"> in all capital cities on the importance of the process.</w:t>
      </w:r>
    </w:p>
    <w:p w:rsidR="00FE37D3" w:rsidRDefault="00FE37D3" w:rsidP="00F02722">
      <w:pPr>
        <w:rPr>
          <w:rFonts w:asciiTheme="minorHAnsi" w:hAnsiTheme="minorHAnsi" w:cstheme="minorHAnsi"/>
        </w:rPr>
      </w:pPr>
      <w:r>
        <w:rPr>
          <w:rFonts w:asciiTheme="minorHAnsi" w:hAnsiTheme="minorHAnsi" w:cstheme="minorHAnsi"/>
        </w:rPr>
        <w:t>I</w:t>
      </w:r>
      <w:r w:rsidRPr="00FB0E0C">
        <w:rPr>
          <w:rFonts w:asciiTheme="minorHAnsi" w:hAnsiTheme="minorHAnsi" w:cstheme="minorHAnsi"/>
        </w:rPr>
        <w:t xml:space="preserve">ndustry has been directly consulted during the development of all performance-based design </w:t>
      </w:r>
      <w:r>
        <w:rPr>
          <w:rFonts w:asciiTheme="minorHAnsi" w:hAnsiTheme="minorHAnsi" w:cstheme="minorHAnsi"/>
        </w:rPr>
        <w:t>g</w:t>
      </w:r>
      <w:r w:rsidRPr="00FB0E0C">
        <w:rPr>
          <w:rFonts w:asciiTheme="minorHAnsi" w:hAnsiTheme="minorHAnsi" w:cstheme="minorHAnsi"/>
        </w:rPr>
        <w:t xml:space="preserve">uidance documents and feedback has been sought on the process of developing Performance Solutions during a number of education seminars. </w:t>
      </w:r>
    </w:p>
    <w:p w:rsidR="00FE37D3" w:rsidRPr="00C83AC8" w:rsidRDefault="00FE37D3" w:rsidP="003756FF">
      <w:pPr>
        <w:pStyle w:val="Heading2"/>
      </w:pPr>
      <w:r>
        <w:t xml:space="preserve">Stakeholder consultation on proposed Performance Solutions </w:t>
      </w:r>
      <w:r w:rsidR="00B058E0">
        <w:t>p</w:t>
      </w:r>
      <w:r>
        <w:t>rocess</w:t>
      </w:r>
    </w:p>
    <w:p w:rsidR="00FE37D3" w:rsidRPr="00FB0E0C" w:rsidRDefault="00FE37D3" w:rsidP="00F02722">
      <w:pPr>
        <w:spacing w:after="0"/>
        <w:rPr>
          <w:rFonts w:asciiTheme="minorHAnsi" w:hAnsiTheme="minorHAnsi" w:cstheme="minorHAnsi"/>
        </w:rPr>
      </w:pPr>
      <w:r w:rsidRPr="00FB0E0C">
        <w:rPr>
          <w:rFonts w:asciiTheme="minorHAnsi" w:hAnsiTheme="minorHAnsi" w:cstheme="minorHAnsi"/>
        </w:rPr>
        <w:t xml:space="preserve">Both the Board and </w:t>
      </w:r>
      <w:r>
        <w:rPr>
          <w:rFonts w:asciiTheme="minorHAnsi" w:hAnsiTheme="minorHAnsi" w:cstheme="minorHAnsi"/>
        </w:rPr>
        <w:t>BMF</w:t>
      </w:r>
      <w:r w:rsidRPr="00FB0E0C">
        <w:rPr>
          <w:rFonts w:asciiTheme="minorHAnsi" w:hAnsiTheme="minorHAnsi" w:cstheme="minorHAnsi"/>
        </w:rPr>
        <w:t xml:space="preserve"> were consulted on the need for further direction on the development of Performance Solutions. The impact that guidance material has had on improving the processes applied, as evidenced by its uptake, indicates there is a residual gap </w:t>
      </w:r>
      <w:r w:rsidR="00B058E0">
        <w:rPr>
          <w:rFonts w:asciiTheme="minorHAnsi" w:hAnsiTheme="minorHAnsi" w:cstheme="minorHAnsi"/>
        </w:rPr>
        <w:t>between</w:t>
      </w:r>
      <w:r w:rsidRPr="00FB0E0C">
        <w:rPr>
          <w:rFonts w:asciiTheme="minorHAnsi" w:hAnsiTheme="minorHAnsi" w:cstheme="minorHAnsi"/>
        </w:rPr>
        <w:t xml:space="preserve"> regulation and enforcement. The Board and the BMF subsequently agreed to the National Framework</w:t>
      </w:r>
      <w:r>
        <w:rPr>
          <w:rFonts w:asciiTheme="minorHAnsi" w:hAnsiTheme="minorHAnsi" w:cstheme="minorHAnsi"/>
        </w:rPr>
        <w:t>,</w:t>
      </w:r>
      <w:r w:rsidRPr="00FB0E0C">
        <w:rPr>
          <w:rFonts w:asciiTheme="minorHAnsi" w:hAnsiTheme="minorHAnsi" w:cstheme="minorHAnsi"/>
        </w:rPr>
        <w:t xml:space="preserve"> including changes to the NCC’s Governing Requirements</w:t>
      </w:r>
      <w:r>
        <w:rPr>
          <w:rFonts w:asciiTheme="minorHAnsi" w:hAnsiTheme="minorHAnsi" w:cstheme="minorHAnsi"/>
        </w:rPr>
        <w:t>,</w:t>
      </w:r>
      <w:r w:rsidRPr="00FB0E0C">
        <w:rPr>
          <w:rFonts w:asciiTheme="minorHAnsi" w:hAnsiTheme="minorHAnsi" w:cstheme="minorHAnsi"/>
        </w:rPr>
        <w:t xml:space="preserve"> </w:t>
      </w:r>
      <w:r>
        <w:rPr>
          <w:rFonts w:asciiTheme="minorHAnsi" w:hAnsiTheme="minorHAnsi" w:cstheme="minorHAnsi"/>
        </w:rPr>
        <w:t>being consulted on as part of the public consultation on</w:t>
      </w:r>
      <w:r w:rsidRPr="00FB0E0C">
        <w:rPr>
          <w:rFonts w:asciiTheme="minorHAnsi" w:hAnsiTheme="minorHAnsi" w:cstheme="minorHAnsi"/>
        </w:rPr>
        <w:t xml:space="preserve"> the NCC</w:t>
      </w:r>
      <w:r>
        <w:rPr>
          <w:rFonts w:asciiTheme="minorHAnsi" w:hAnsiTheme="minorHAnsi" w:cstheme="minorHAnsi"/>
        </w:rPr>
        <w:t>’s 2019</w:t>
      </w:r>
      <w:r w:rsidRPr="00FB0E0C">
        <w:rPr>
          <w:rFonts w:asciiTheme="minorHAnsi" w:hAnsiTheme="minorHAnsi" w:cstheme="minorHAnsi"/>
        </w:rPr>
        <w:t xml:space="preserve"> out-of-cycle amendment. Consultation occurred between 23 September and 11</w:t>
      </w:r>
      <w:r>
        <w:rPr>
          <w:rFonts w:asciiTheme="minorHAnsi" w:hAnsiTheme="minorHAnsi" w:cstheme="minorHAnsi"/>
        </w:rPr>
        <w:t> </w:t>
      </w:r>
      <w:r w:rsidRPr="00FB0E0C">
        <w:rPr>
          <w:rFonts w:asciiTheme="minorHAnsi" w:hAnsiTheme="minorHAnsi" w:cstheme="minorHAnsi"/>
        </w:rPr>
        <w:t xml:space="preserve">October 2019 and feedback on these changes were considered </w:t>
      </w:r>
      <w:r>
        <w:rPr>
          <w:rFonts w:asciiTheme="minorHAnsi" w:hAnsiTheme="minorHAnsi" w:cstheme="minorHAnsi"/>
        </w:rPr>
        <w:t xml:space="preserve">in the development of this </w:t>
      </w:r>
      <w:r w:rsidR="00113841">
        <w:rPr>
          <w:rFonts w:asciiTheme="minorHAnsi" w:hAnsiTheme="minorHAnsi" w:cstheme="minorHAnsi"/>
        </w:rPr>
        <w:t xml:space="preserve">Decision </w:t>
      </w:r>
      <w:r>
        <w:rPr>
          <w:rFonts w:asciiTheme="minorHAnsi" w:hAnsiTheme="minorHAnsi" w:cstheme="minorHAnsi"/>
        </w:rPr>
        <w:t>RIS</w:t>
      </w:r>
      <w:r w:rsidRPr="00FB0E0C">
        <w:rPr>
          <w:rFonts w:asciiTheme="minorHAnsi" w:hAnsiTheme="minorHAnsi" w:cstheme="minorHAnsi"/>
        </w:rPr>
        <w:t>.</w:t>
      </w:r>
      <w:r>
        <w:rPr>
          <w:rFonts w:asciiTheme="minorHAnsi" w:hAnsiTheme="minorHAnsi" w:cstheme="minorHAnsi"/>
        </w:rPr>
        <w:t xml:space="preserve"> </w:t>
      </w:r>
      <w:r w:rsidRPr="00FB0E0C">
        <w:rPr>
          <w:rFonts w:asciiTheme="minorHAnsi" w:hAnsiTheme="minorHAnsi" w:cstheme="minorHAnsi"/>
        </w:rPr>
        <w:t>Information and data was separately sought from state and territory building administrations on the use of Performance Solutions to inform this assessment. To address uncertainties</w:t>
      </w:r>
      <w:r>
        <w:rPr>
          <w:rFonts w:asciiTheme="minorHAnsi" w:hAnsiTheme="minorHAnsi" w:cstheme="minorHAnsi"/>
        </w:rPr>
        <w:t>,</w:t>
      </w:r>
      <w:r w:rsidRPr="00FB0E0C">
        <w:rPr>
          <w:rFonts w:asciiTheme="minorHAnsi" w:hAnsiTheme="minorHAnsi" w:cstheme="minorHAnsi"/>
        </w:rPr>
        <w:t xml:space="preserve"> the ABCB’s national technical committees, the Building Codes Committee and Plumbing Code Committee, reviewed this analysis and its assumptions. They were specifically asked to consider the:</w:t>
      </w:r>
    </w:p>
    <w:p w:rsidR="00FE37D3" w:rsidRPr="00FB0E0C" w:rsidRDefault="00FE37D3" w:rsidP="00F02722">
      <w:pPr>
        <w:pStyle w:val="ListBullet"/>
      </w:pPr>
      <w:r>
        <w:t>c</w:t>
      </w:r>
      <w:r w:rsidRPr="00FB0E0C">
        <w:t>osts of Performance Solutions (total fees)</w:t>
      </w:r>
      <w:r>
        <w:t>;</w:t>
      </w:r>
    </w:p>
    <w:p w:rsidR="00FE37D3" w:rsidRPr="00FB0E0C" w:rsidRDefault="00FE37D3" w:rsidP="00F02722">
      <w:pPr>
        <w:pStyle w:val="ListBullet"/>
      </w:pPr>
      <w:r>
        <w:t>e</w:t>
      </w:r>
      <w:r w:rsidRPr="00FB0E0C">
        <w:t>xtent Performance Solutions are used in the commercial and residential sectors</w:t>
      </w:r>
      <w:r>
        <w:t>;</w:t>
      </w:r>
    </w:p>
    <w:p w:rsidR="00FE37D3" w:rsidRPr="00FB0E0C" w:rsidRDefault="00FE37D3" w:rsidP="00F02722">
      <w:pPr>
        <w:pStyle w:val="ListBullet"/>
      </w:pPr>
      <w:r>
        <w:t>i</w:t>
      </w:r>
      <w:r w:rsidRPr="00FB0E0C">
        <w:t>f the value of (qualitative) benefits are likely to exceed the costs</w:t>
      </w:r>
      <w:r>
        <w:t>;</w:t>
      </w:r>
    </w:p>
    <w:p w:rsidR="00FE37D3" w:rsidRPr="00FB0E0C" w:rsidRDefault="00FE37D3" w:rsidP="00F02722">
      <w:pPr>
        <w:pStyle w:val="ListBullet"/>
      </w:pPr>
      <w:r>
        <w:t>t</w:t>
      </w:r>
      <w:r w:rsidRPr="00FB0E0C">
        <w:t>he effectiveness of the proposal</w:t>
      </w:r>
      <w:r>
        <w:t>; and</w:t>
      </w:r>
    </w:p>
    <w:p w:rsidR="00FE37D3" w:rsidRPr="00FB0E0C" w:rsidRDefault="00FE37D3" w:rsidP="00F02722">
      <w:pPr>
        <w:pStyle w:val="ListBullet"/>
      </w:pPr>
      <w:r>
        <w:t>a</w:t>
      </w:r>
      <w:r w:rsidRPr="00FB0E0C">
        <w:t>ny unin</w:t>
      </w:r>
      <w:r>
        <w:t>tended consequences.</w:t>
      </w:r>
    </w:p>
    <w:p w:rsidR="00FE37D3" w:rsidRDefault="00FE37D3" w:rsidP="00F02722">
      <w:pPr>
        <w:rPr>
          <w:rFonts w:asciiTheme="minorHAnsi" w:hAnsiTheme="minorHAnsi" w:cstheme="minorHAnsi"/>
        </w:rPr>
      </w:pPr>
      <w:r>
        <w:rPr>
          <w:rFonts w:asciiTheme="minorHAnsi" w:hAnsiTheme="minorHAnsi" w:cstheme="minorHAnsi"/>
        </w:rPr>
        <w:t xml:space="preserve">Feedback has been taken into consideration in the preparation of this analysis and its options, particularly the preference of some to </w:t>
      </w:r>
      <w:r w:rsidRPr="00FB0E0C">
        <w:rPr>
          <w:rFonts w:asciiTheme="minorHAnsi" w:hAnsiTheme="minorHAnsi" w:cstheme="minorHAnsi"/>
        </w:rPr>
        <w:t>restrict the application of the changes to fire and structure Performance Solutions</w:t>
      </w:r>
      <w:r>
        <w:rPr>
          <w:rFonts w:asciiTheme="minorHAnsi" w:hAnsiTheme="minorHAnsi" w:cstheme="minorHAnsi"/>
        </w:rPr>
        <w:t xml:space="preserve"> (Option 3)</w:t>
      </w:r>
      <w:r w:rsidRPr="00FB0E0C">
        <w:rPr>
          <w:rFonts w:asciiTheme="minorHAnsi" w:hAnsiTheme="minorHAnsi" w:cstheme="minorHAnsi"/>
        </w:rPr>
        <w:t xml:space="preserve">. The extent to which Performance Solutions </w:t>
      </w:r>
      <w:r w:rsidR="00BF5C81">
        <w:rPr>
          <w:rFonts w:asciiTheme="minorHAnsi" w:hAnsiTheme="minorHAnsi" w:cstheme="minorHAnsi"/>
        </w:rPr>
        <w:t xml:space="preserve">documentation </w:t>
      </w:r>
      <w:r w:rsidRPr="00FB0E0C">
        <w:rPr>
          <w:rFonts w:asciiTheme="minorHAnsi" w:hAnsiTheme="minorHAnsi" w:cstheme="minorHAnsi"/>
        </w:rPr>
        <w:t xml:space="preserve">should be applied, particularly in relation to </w:t>
      </w:r>
      <w:r w:rsidR="00BF5C81">
        <w:rPr>
          <w:rFonts w:asciiTheme="minorHAnsi" w:hAnsiTheme="minorHAnsi" w:cstheme="minorHAnsi"/>
        </w:rPr>
        <w:lastRenderedPageBreak/>
        <w:t>residential</w:t>
      </w:r>
      <w:r w:rsidR="00BF5C81" w:rsidRPr="00FB0E0C">
        <w:rPr>
          <w:rFonts w:asciiTheme="minorHAnsi" w:hAnsiTheme="minorHAnsi" w:cstheme="minorHAnsi"/>
        </w:rPr>
        <w:t xml:space="preserve"> </w:t>
      </w:r>
      <w:r w:rsidRPr="00FB0E0C">
        <w:rPr>
          <w:rFonts w:asciiTheme="minorHAnsi" w:hAnsiTheme="minorHAnsi" w:cstheme="minorHAnsi"/>
        </w:rPr>
        <w:t>buildings and plumbing applications</w:t>
      </w:r>
      <w:r>
        <w:rPr>
          <w:rFonts w:asciiTheme="minorHAnsi" w:hAnsiTheme="minorHAnsi" w:cstheme="minorHAnsi"/>
        </w:rPr>
        <w:t xml:space="preserve">, was questioned. However, this is an </w:t>
      </w:r>
      <w:r w:rsidRPr="00FB0E0C">
        <w:rPr>
          <w:rFonts w:asciiTheme="minorHAnsi" w:hAnsiTheme="minorHAnsi" w:cstheme="minorHAnsi"/>
        </w:rPr>
        <w:t xml:space="preserve">issue of enforcement, not the specific problem that this proposal seeks to address. </w:t>
      </w:r>
    </w:p>
    <w:p w:rsidR="00FE37D3" w:rsidRPr="00C83AC8" w:rsidRDefault="00FE37D3" w:rsidP="003756FF">
      <w:pPr>
        <w:pStyle w:val="Heading2"/>
      </w:pPr>
      <w:r>
        <w:t>Performance Solutions Process Consultation RIS</w:t>
      </w:r>
    </w:p>
    <w:p w:rsidR="00FE37D3" w:rsidRDefault="00FE37D3" w:rsidP="00F02722">
      <w:pPr>
        <w:rPr>
          <w:rFonts w:asciiTheme="minorHAnsi" w:hAnsiTheme="minorHAnsi" w:cstheme="minorHAnsi"/>
        </w:rPr>
      </w:pPr>
      <w:r w:rsidRPr="00C83AC8">
        <w:rPr>
          <w:rFonts w:asciiTheme="minorHAnsi" w:hAnsiTheme="minorHAnsi" w:cstheme="minorHAnsi"/>
        </w:rPr>
        <w:t xml:space="preserve">The Consultation RIS was released for public submission from 24 February to 22 March 2020. A total of 49 submissions were received in response to the Consultation RIS, encompassing 40 individuals, 3 product manufacturers, 2 state building authorities and 4 industry bodies. Responses to the consultation questions have been included throughout this </w:t>
      </w:r>
      <w:r w:rsidR="00F56855">
        <w:rPr>
          <w:rFonts w:asciiTheme="minorHAnsi" w:hAnsiTheme="minorHAnsi" w:cstheme="minorHAnsi"/>
        </w:rPr>
        <w:t>Decision</w:t>
      </w:r>
      <w:r w:rsidRPr="00C83AC8">
        <w:rPr>
          <w:rFonts w:asciiTheme="minorHAnsi" w:hAnsiTheme="minorHAnsi" w:cstheme="minorHAnsi"/>
        </w:rPr>
        <w:t xml:space="preserve"> RIS and the final analysis has been updated as appropriate.</w:t>
      </w:r>
      <w:r>
        <w:rPr>
          <w:rFonts w:asciiTheme="minorHAnsi" w:hAnsiTheme="minorHAnsi" w:cstheme="minorHAnsi"/>
        </w:rPr>
        <w:t xml:space="preserve"> </w:t>
      </w:r>
    </w:p>
    <w:p w:rsidR="00FE37D3" w:rsidRDefault="00FE37D3" w:rsidP="00F02722">
      <w:pPr>
        <w:rPr>
          <w:rFonts w:asciiTheme="minorHAnsi" w:hAnsiTheme="minorHAnsi" w:cstheme="minorHAnsi"/>
        </w:rPr>
      </w:pPr>
      <w:r>
        <w:rPr>
          <w:rFonts w:asciiTheme="minorHAnsi" w:hAnsiTheme="minorHAnsi" w:cstheme="minorHAnsi"/>
        </w:rPr>
        <w:t xml:space="preserve">The full list of questions can be seen below, along with a summary of the responses provided. </w:t>
      </w:r>
    </w:p>
    <w:p w:rsidR="00FE37D3" w:rsidRPr="00621E35" w:rsidRDefault="00FE37D3" w:rsidP="003756FF">
      <w:pPr>
        <w:pStyle w:val="Heading1"/>
      </w:pPr>
      <w:r>
        <w:t>Problem section</w:t>
      </w:r>
    </w:p>
    <w:tbl>
      <w:tblPr>
        <w:tblW w:w="5000" w:type="pct"/>
        <w:tblBorders>
          <w:top w:val="single" w:sz="4" w:space="0" w:color="auto"/>
          <w:left w:val="single" w:sz="4" w:space="0" w:color="auto"/>
          <w:bottom w:val="single" w:sz="4" w:space="0" w:color="auto"/>
          <w:right w:val="single" w:sz="4" w:space="0" w:color="auto"/>
        </w:tblBorders>
        <w:shd w:val="clear" w:color="auto" w:fill="BFBFBF" w:themeFill="background1" w:themeFillShade="BF"/>
        <w:tblLook w:val="0020" w:firstRow="1" w:lastRow="0" w:firstColumn="0" w:lastColumn="0" w:noHBand="0" w:noVBand="0"/>
      </w:tblPr>
      <w:tblGrid>
        <w:gridCol w:w="9060"/>
      </w:tblGrid>
      <w:tr w:rsidR="00FE37D3" w:rsidRPr="005E1DCB" w:rsidTr="00340BFA">
        <w:trPr>
          <w:trHeight w:val="345"/>
        </w:trPr>
        <w:tc>
          <w:tcPr>
            <w:tcW w:w="5000" w:type="pct"/>
            <w:shd w:val="clear" w:color="auto" w:fill="D9D9D9" w:themeFill="background1" w:themeFillShade="D9"/>
          </w:tcPr>
          <w:p w:rsidR="00FE37D3" w:rsidRPr="005E1DCB" w:rsidRDefault="00FE37D3" w:rsidP="00F02722">
            <w:pPr>
              <w:pStyle w:val="ListBullet"/>
              <w:keepNext/>
              <w:keepLines/>
              <w:numPr>
                <w:ilvl w:val="0"/>
                <w:numId w:val="0"/>
              </w:numPr>
              <w:rPr>
                <w:b/>
              </w:rPr>
            </w:pPr>
            <w:r w:rsidRPr="005E1DCB">
              <w:rPr>
                <w:b/>
              </w:rPr>
              <w:t>Consultation Questions:</w:t>
            </w:r>
          </w:p>
        </w:tc>
      </w:tr>
      <w:tr w:rsidR="00FE37D3" w:rsidRPr="00684E3C" w:rsidTr="00340BFA">
        <w:trPr>
          <w:trHeight w:val="364"/>
        </w:trPr>
        <w:tc>
          <w:tcPr>
            <w:tcW w:w="5000" w:type="pct"/>
            <w:shd w:val="clear" w:color="auto" w:fill="D9D9D9" w:themeFill="background1" w:themeFillShade="D9"/>
          </w:tcPr>
          <w:p w:rsidR="00FE37D3" w:rsidRPr="00684E3C" w:rsidRDefault="00FE37D3" w:rsidP="00F02722">
            <w:pPr>
              <w:pStyle w:val="ListBullet"/>
              <w:keepNext/>
              <w:keepLines/>
              <w:spacing w:before="0" w:after="0"/>
              <w:ind w:left="357" w:hanging="357"/>
            </w:pPr>
            <w:r w:rsidRPr="00684E3C">
              <w:t>Do you agree with the nature of the problem?</w:t>
            </w:r>
          </w:p>
        </w:tc>
      </w:tr>
      <w:tr w:rsidR="00FE37D3" w:rsidRPr="00684E3C" w:rsidTr="00340BFA">
        <w:trPr>
          <w:trHeight w:val="636"/>
        </w:trPr>
        <w:tc>
          <w:tcPr>
            <w:tcW w:w="5000" w:type="pct"/>
            <w:shd w:val="clear" w:color="auto" w:fill="D9D9D9" w:themeFill="background1" w:themeFillShade="D9"/>
          </w:tcPr>
          <w:p w:rsidR="00FE37D3" w:rsidRPr="00684E3C" w:rsidRDefault="00FE37D3" w:rsidP="00F02722">
            <w:pPr>
              <w:pStyle w:val="ListBullet"/>
              <w:keepNext/>
              <w:keepLines/>
              <w:spacing w:before="0" w:after="0"/>
              <w:ind w:left="357" w:hanging="357"/>
            </w:pPr>
            <w:r w:rsidRPr="00684E3C">
              <w:t>Are there any other characteristics not described?</w:t>
            </w:r>
          </w:p>
          <w:p w:rsidR="00FE37D3" w:rsidRDefault="00FE37D3" w:rsidP="00F02722">
            <w:pPr>
              <w:pStyle w:val="ListBullet"/>
              <w:keepNext/>
              <w:keepLines/>
              <w:spacing w:before="0" w:after="0"/>
              <w:ind w:left="357" w:hanging="357"/>
            </w:pPr>
            <w:r w:rsidRPr="00684E3C">
              <w:t>Are you aware of other circumstances when documentation is mandatory?</w:t>
            </w:r>
          </w:p>
          <w:p w:rsidR="00FE37D3" w:rsidRDefault="00FE37D3" w:rsidP="00F02722">
            <w:pPr>
              <w:pStyle w:val="ListBullet"/>
              <w:keepNext/>
              <w:keepLines/>
              <w:spacing w:before="0" w:after="0"/>
              <w:ind w:left="357" w:hanging="357"/>
            </w:pPr>
            <w:r>
              <w:t>Are you aware of any residential buildings which required rectification as a consequence of the Performance Solution process followed?</w:t>
            </w:r>
          </w:p>
          <w:p w:rsidR="00FE37D3" w:rsidRPr="00684E3C" w:rsidRDefault="00FE37D3" w:rsidP="00F02722">
            <w:pPr>
              <w:pStyle w:val="ListBullet"/>
              <w:keepNext/>
              <w:keepLines/>
              <w:spacing w:before="0" w:after="0"/>
              <w:ind w:left="357" w:hanging="357"/>
            </w:pPr>
            <w:r>
              <w:t xml:space="preserve">Are you aware of commercial buildings which required rectification as a consequence of the Performance Solution process followed? </w:t>
            </w:r>
          </w:p>
        </w:tc>
      </w:tr>
    </w:tbl>
    <w:p w:rsidR="00FE37D3" w:rsidRDefault="00FE37D3" w:rsidP="00F02722">
      <w:r w:rsidRPr="006F5CD0">
        <w:t xml:space="preserve">Of the responses received, the majority (71 per cent) felt that the nature and extent of the problem had been adequately described.  </w:t>
      </w:r>
    </w:p>
    <w:p w:rsidR="00FE37D3" w:rsidRDefault="00FE37D3" w:rsidP="00F02722">
      <w:r w:rsidRPr="006F5CD0">
        <w:t>Of those that disagreed with the description of the problem, three theme</w:t>
      </w:r>
      <w:r>
        <w:t>s were relevant to the proposal</w:t>
      </w:r>
      <w:r w:rsidR="009C5E23">
        <w:t>:</w:t>
      </w:r>
      <w:r>
        <w:t xml:space="preserve"> targeting, necessity, and productivity.</w:t>
      </w:r>
      <w:r w:rsidRPr="006F5CD0">
        <w:t xml:space="preserve"> </w:t>
      </w:r>
    </w:p>
    <w:p w:rsidR="00FE37D3" w:rsidRDefault="00FE37D3" w:rsidP="00F02722">
      <w:pPr>
        <w:pStyle w:val="ListParagraph"/>
        <w:numPr>
          <w:ilvl w:val="0"/>
          <w:numId w:val="31"/>
        </w:numPr>
      </w:pPr>
      <w:r w:rsidRPr="006F5CD0">
        <w:lastRenderedPageBreak/>
        <w:t>Targeting</w:t>
      </w:r>
      <w:r>
        <w:t xml:space="preserve">: </w:t>
      </w:r>
      <w:r w:rsidR="009C5E23">
        <w:t>T</w:t>
      </w:r>
      <w:r>
        <w:t xml:space="preserve">he proposal does not address the lack of education and awareness of Performance Solutions, which is argued by one respondent to be the larger problem.  </w:t>
      </w:r>
    </w:p>
    <w:p w:rsidR="00FE37D3" w:rsidRDefault="00FE37D3" w:rsidP="00F02722">
      <w:pPr>
        <w:ind w:left="360"/>
      </w:pPr>
      <w:r>
        <w:t xml:space="preserve">The ABCB recognises the importance of continued education and awareness relating to use of the NCC as well as the need for improved auditing and enforcement which are issues currently being considered separately as part of the response to the recommendations of the BCR. </w:t>
      </w:r>
    </w:p>
    <w:p w:rsidR="00FE37D3" w:rsidRDefault="00FE37D3" w:rsidP="00F02722">
      <w:pPr>
        <w:pStyle w:val="ListParagraph"/>
        <w:numPr>
          <w:ilvl w:val="0"/>
          <w:numId w:val="31"/>
        </w:numPr>
      </w:pPr>
      <w:r>
        <w:t>N</w:t>
      </w:r>
      <w:r w:rsidRPr="006F5CD0">
        <w:t>ecessity</w:t>
      </w:r>
      <w:r>
        <w:t xml:space="preserve">: </w:t>
      </w:r>
      <w:r w:rsidR="009C5E23">
        <w:t>T</w:t>
      </w:r>
      <w:r>
        <w:t>he proposals will result in an increase in regulatory burden, without any resulting benefits (especially for simple Performance Solutions).</w:t>
      </w:r>
    </w:p>
    <w:p w:rsidR="00FE37D3" w:rsidRDefault="00FE37D3" w:rsidP="00F02722">
      <w:r w:rsidRPr="000C2447">
        <w:t xml:space="preserve">The process followed is proposed to be commensurate to the nature and complexity of the </w:t>
      </w:r>
      <w:r>
        <w:t>Performance Solution</w:t>
      </w:r>
      <w:r w:rsidRPr="000C2447">
        <w:t xml:space="preserve"> being developed. Hence, the same level of rigor associated with a complex solution would not be expected for a simple solution. Existing guidance material addresses this issue (and the topics cited) which is likely to receive more promotion.</w:t>
      </w:r>
    </w:p>
    <w:p w:rsidR="00FE37D3" w:rsidRDefault="00FE37D3" w:rsidP="00F02722">
      <w:pPr>
        <w:pStyle w:val="ListParagraph"/>
        <w:numPr>
          <w:ilvl w:val="0"/>
          <w:numId w:val="31"/>
        </w:numPr>
      </w:pPr>
      <w:r>
        <w:t>P</w:t>
      </w:r>
      <w:r w:rsidRPr="006F5CD0">
        <w:t>roductivity</w:t>
      </w:r>
      <w:r>
        <w:t xml:space="preserve">: </w:t>
      </w:r>
      <w:r w:rsidR="009C5E23">
        <w:t>A</w:t>
      </w:r>
      <w:r w:rsidRPr="000C2447">
        <w:t xml:space="preserve"> representative from the childcare industry also strongly opposed the proposal applying to early childhood centres believing that it was </w:t>
      </w:r>
      <w:r w:rsidR="009C5E23">
        <w:t xml:space="preserve">an </w:t>
      </w:r>
      <w:r w:rsidRPr="000C2447">
        <w:t>unnecessary</w:t>
      </w:r>
      <w:r w:rsidR="009C5E23">
        <w:t xml:space="preserve"> and</w:t>
      </w:r>
      <w:r w:rsidRPr="000C2447">
        <w:t xml:space="preserve"> unproductive regulatory burden</w:t>
      </w:r>
      <w:r w:rsidR="009C5E23">
        <w:t>,</w:t>
      </w:r>
      <w:r w:rsidRPr="000C2447">
        <w:t xml:space="preserve"> and </w:t>
      </w:r>
      <w:r w:rsidR="009C5E23">
        <w:t xml:space="preserve">that </w:t>
      </w:r>
      <w:r w:rsidRPr="000C2447">
        <w:t>other more cost-effective options were available.</w:t>
      </w:r>
    </w:p>
    <w:p w:rsidR="00FE37D3" w:rsidRDefault="00FE37D3" w:rsidP="00F02722">
      <w:r w:rsidRPr="0095784A">
        <w:t>The problem relates to public confidence and ensuring that societal expectations of a rigorous process being followed when designing and constructing buildings in Australia is achieved in practice</w:t>
      </w:r>
      <w:r>
        <w:t>.</w:t>
      </w:r>
      <w:r w:rsidRPr="0095784A">
        <w:t xml:space="preserve"> </w:t>
      </w:r>
    </w:p>
    <w:p w:rsidR="00FE37D3" w:rsidRDefault="00FE37D3" w:rsidP="00F02722">
      <w:r w:rsidRPr="006E3E41">
        <w:t xml:space="preserve">The Consultation RIS asked stakeholders whether they </w:t>
      </w:r>
      <w:r>
        <w:t xml:space="preserve">were </w:t>
      </w:r>
      <w:r w:rsidRPr="00F333E3">
        <w:t xml:space="preserve">aware of other circumstances when documentation </w:t>
      </w:r>
      <w:r>
        <w:t xml:space="preserve">was mandatory. </w:t>
      </w:r>
      <w:r w:rsidRPr="0095784A">
        <w:t>Forty per</w:t>
      </w:r>
      <w:r>
        <w:t xml:space="preserve"> </w:t>
      </w:r>
      <w:r w:rsidRPr="0095784A">
        <w:t>cent of all respondents noted jurisdictional differences.</w:t>
      </w:r>
      <w:r>
        <w:t xml:space="preserve"> Updates were made for the </w:t>
      </w:r>
      <w:r w:rsidR="00F56855">
        <w:t>Decision</w:t>
      </w:r>
      <w:r>
        <w:t xml:space="preserve"> RIS to reflect information received. </w:t>
      </w:r>
    </w:p>
    <w:p w:rsidR="00FE37D3" w:rsidRDefault="00FE37D3" w:rsidP="00F02722">
      <w:r w:rsidRPr="0095784A">
        <w:t xml:space="preserve">The Consultation RIS asked stakeholders whether they had any examples of residential or commercial buildings where rectification work was required as a consequence of the Performance Solution followed. A number of examples were </w:t>
      </w:r>
      <w:r w:rsidRPr="0095784A">
        <w:lastRenderedPageBreak/>
        <w:t>provided for residential and commercial buildings, with 28</w:t>
      </w:r>
      <w:r>
        <w:t xml:space="preserve"> per cent</w:t>
      </w:r>
      <w:r w:rsidRPr="0095784A">
        <w:t xml:space="preserve"> citing examples in both residential and commercial buildings.  </w:t>
      </w:r>
    </w:p>
    <w:p w:rsidR="00FE37D3" w:rsidRDefault="00FE37D3" w:rsidP="00F02722">
      <w:r>
        <w:t>Extracts of these responses can be found in the Problem section of this RIS.</w:t>
      </w:r>
    </w:p>
    <w:p w:rsidR="00FE37D3" w:rsidRPr="00621E35" w:rsidRDefault="00FE37D3" w:rsidP="003756FF">
      <w:pPr>
        <w:pStyle w:val="Heading2"/>
      </w:pPr>
      <w:r>
        <w:t>Extent of the problem</w:t>
      </w:r>
    </w:p>
    <w:tbl>
      <w:tblPr>
        <w:tblStyle w:val="TableGrid"/>
        <w:tblW w:w="9209" w:type="dxa"/>
        <w:shd w:val="clear" w:color="auto" w:fill="A6A6A6" w:themeFill="background1" w:themeFillShade="A6"/>
        <w:tblLook w:val="0480" w:firstRow="0" w:lastRow="0" w:firstColumn="1" w:lastColumn="0" w:noHBand="0" w:noVBand="1"/>
        <w:tblCaption w:val="Consultation questions"/>
      </w:tblPr>
      <w:tblGrid>
        <w:gridCol w:w="9209"/>
      </w:tblGrid>
      <w:tr w:rsidR="00FE37D3" w:rsidTr="003756FF">
        <w:trPr>
          <w:tblHeader/>
        </w:trPr>
        <w:tc>
          <w:tcPr>
            <w:tcW w:w="9209" w:type="dxa"/>
            <w:shd w:val="clear" w:color="auto" w:fill="D9D9D9" w:themeFill="background1" w:themeFillShade="D9"/>
          </w:tcPr>
          <w:p w:rsidR="00FE37D3" w:rsidRPr="00ED3B52" w:rsidRDefault="00FE37D3" w:rsidP="00F02722">
            <w:pPr>
              <w:pStyle w:val="ListBullet"/>
              <w:numPr>
                <w:ilvl w:val="0"/>
                <w:numId w:val="0"/>
              </w:numPr>
              <w:ind w:left="360" w:hanging="360"/>
              <w:rPr>
                <w:b/>
                <w:highlight w:val="lightGray"/>
              </w:rPr>
            </w:pPr>
            <w:r w:rsidRPr="00ED3B52">
              <w:rPr>
                <w:b/>
                <w:highlight w:val="lightGray"/>
              </w:rPr>
              <w:t>Consultation Questions:</w:t>
            </w:r>
          </w:p>
          <w:p w:rsidR="00FE37D3" w:rsidRPr="0012012E" w:rsidRDefault="00FE37D3" w:rsidP="00F02722">
            <w:pPr>
              <w:pStyle w:val="ListBullet"/>
            </w:pPr>
            <w:r w:rsidRPr="0012012E">
              <w:t>Do you have information on the extent of use of Performance Solutions in Class 1 and 10 buildings?</w:t>
            </w:r>
          </w:p>
          <w:p w:rsidR="00FE37D3" w:rsidRPr="0012012E" w:rsidRDefault="00FE37D3" w:rsidP="00F02722">
            <w:pPr>
              <w:pStyle w:val="ListBullet"/>
            </w:pPr>
            <w:r w:rsidRPr="0012012E">
              <w:t>Do you have information on the extent of use of Pe</w:t>
            </w:r>
            <w:r>
              <w:t xml:space="preserve">rformance Solutions in Class 2 to </w:t>
            </w:r>
            <w:r w:rsidRPr="0012012E">
              <w:t>9 buildings?</w:t>
            </w:r>
          </w:p>
          <w:p w:rsidR="00FE37D3" w:rsidRPr="0012012E" w:rsidRDefault="00FE37D3" w:rsidP="00F02722">
            <w:pPr>
              <w:pStyle w:val="ListBullet"/>
            </w:pPr>
            <w:r w:rsidRPr="0012012E">
              <w:t>Is stakeholder involvement in determining acceptance criteria likely to lead to higher confidence in Performance Solutions?</w:t>
            </w:r>
          </w:p>
          <w:p w:rsidR="00FE37D3" w:rsidRPr="0012012E" w:rsidRDefault="00FE37D3" w:rsidP="00F02722">
            <w:pPr>
              <w:pStyle w:val="ListBullet"/>
            </w:pPr>
            <w:r w:rsidRPr="0012012E">
              <w:t>Do you agree with the estimates on the extent Performance Solutions are used in residential and commercial buildings?</w:t>
            </w:r>
          </w:p>
          <w:p w:rsidR="00FE37D3" w:rsidRPr="0012012E" w:rsidRDefault="00FE37D3" w:rsidP="00F02722">
            <w:pPr>
              <w:pStyle w:val="ListBullet"/>
            </w:pPr>
            <w:r w:rsidRPr="0012012E">
              <w:t xml:space="preserve">Are you aware of any studies on the costs of rectifying building work as a result of inadequate Performance Solutions? </w:t>
            </w:r>
          </w:p>
          <w:p w:rsidR="00FE37D3" w:rsidRPr="00555A3A" w:rsidRDefault="00FE37D3" w:rsidP="00F02722">
            <w:pPr>
              <w:pStyle w:val="ListBullet"/>
              <w:rPr>
                <w:rFonts w:ascii="Calibri" w:hAnsi="Calibri" w:cs="Calibri"/>
                <w:highlight w:val="lightGray"/>
              </w:rPr>
            </w:pPr>
            <w:r w:rsidRPr="0012012E">
              <w:t xml:space="preserve">Do you agree </w:t>
            </w:r>
            <w:r>
              <w:t>with</w:t>
            </w:r>
            <w:r w:rsidRPr="0012012E">
              <w:t xml:space="preserve"> the costs associated with rectification work outlined in Table </w:t>
            </w:r>
            <w:r>
              <w:t>5</w:t>
            </w:r>
            <w:r w:rsidRPr="0012012E">
              <w:t>?</w:t>
            </w:r>
          </w:p>
        </w:tc>
      </w:tr>
    </w:tbl>
    <w:p w:rsidR="00FE37D3" w:rsidRDefault="00FE37D3" w:rsidP="00F02722">
      <w:r w:rsidRPr="00AC760F">
        <w:t>The Consultation RIS asked stakeholders whether had any information relating to the extent Performance Solutions were used in residential and commercial buildings.</w:t>
      </w:r>
      <w:r>
        <w:t xml:space="preserve"> </w:t>
      </w:r>
    </w:p>
    <w:p w:rsidR="00FE37D3" w:rsidRDefault="00FE37D3" w:rsidP="00F02722">
      <w:r w:rsidRPr="00AC760F">
        <w:t xml:space="preserve">Of those that responded to the question, most (12 out of 15) stakeholders agreed that the extent </w:t>
      </w:r>
      <w:r w:rsidR="00A75FB9">
        <w:t xml:space="preserve">to which </w:t>
      </w:r>
      <w:r w:rsidRPr="00AC760F">
        <w:t xml:space="preserve">Performance Solutions </w:t>
      </w:r>
      <w:r w:rsidR="00A75FB9">
        <w:t xml:space="preserve">are </w:t>
      </w:r>
      <w:r w:rsidRPr="00AC760F">
        <w:t>used in residential buildings is small</w:t>
      </w:r>
      <w:r w:rsidR="003A6232">
        <w:t>, with</w:t>
      </w:r>
      <w:r w:rsidRPr="00AC760F">
        <w:t xml:space="preserve"> responses rang</w:t>
      </w:r>
      <w:r w:rsidR="003A6232">
        <w:t>ing</w:t>
      </w:r>
      <w:r w:rsidRPr="00AC760F">
        <w:t xml:space="preserve"> from 0 to 3 per cent. The central estimates for residential buildings</w:t>
      </w:r>
      <w:r w:rsidR="003A6232">
        <w:t>,</w:t>
      </w:r>
      <w:r w:rsidRPr="00AC760F">
        <w:t xml:space="preserve"> therefore</w:t>
      </w:r>
      <w:r w:rsidR="003A6232">
        <w:t>,</w:t>
      </w:r>
      <w:r w:rsidRPr="00AC760F">
        <w:t xml:space="preserve"> remain unchanged in line with the majority of feedback. </w:t>
      </w:r>
    </w:p>
    <w:p w:rsidR="00FE37D3" w:rsidRDefault="00FE37D3" w:rsidP="00F02722">
      <w:r w:rsidRPr="00AC760F">
        <w:t>Sensitivity analysis has been expanded to test the outcomes associated with a 20</w:t>
      </w:r>
      <w:r>
        <w:t xml:space="preserve"> per cent</w:t>
      </w:r>
      <w:r w:rsidRPr="00AC760F">
        <w:t xml:space="preserve"> uptake of Performance Solutions in Class 1 and 10 buildings</w:t>
      </w:r>
      <w:r w:rsidR="003A6232">
        <w:t>,</w:t>
      </w:r>
      <w:r w:rsidRPr="00AC760F">
        <w:t xml:space="preserve"> which aligns with the views of </w:t>
      </w:r>
      <w:r w:rsidR="003A6232">
        <w:t>a particular</w:t>
      </w:r>
      <w:r w:rsidRPr="00AC760F">
        <w:t xml:space="preserve"> industry association.  </w:t>
      </w:r>
    </w:p>
    <w:p w:rsidR="00FE37D3" w:rsidRDefault="00FE37D3" w:rsidP="00F02722">
      <w:r w:rsidRPr="00AC760F">
        <w:t xml:space="preserve">For commercial buildings, the extent of Performance Solutions could be higher than reported in the Consultation RIS based on responses received. One stakeholder raised weatherproofing as an example of where a Performance Solution would be required </w:t>
      </w:r>
      <w:r w:rsidRPr="00AC760F">
        <w:lastRenderedPageBreak/>
        <w:t xml:space="preserve">because no corresponding DTS </w:t>
      </w:r>
      <w:r w:rsidR="003A6232">
        <w:t>P</w:t>
      </w:r>
      <w:r w:rsidRPr="00AC760F">
        <w:t>rovisions exist. Three respondents (an individual and two industry associations) also commented that multiple Performance Solutions are used in commercial buildings.</w:t>
      </w:r>
    </w:p>
    <w:p w:rsidR="00FE37D3" w:rsidRDefault="00FE37D3" w:rsidP="00F02722">
      <w:r w:rsidRPr="00AC760F">
        <w:t>To reflect the potential for the effect of under reporting / higher concentration of topics in some commercial buildings, both the number of buildings and the number of topics used have increased equivalent to double th</w:t>
      </w:r>
      <w:r w:rsidR="005220BC">
        <w:t xml:space="preserve">e </w:t>
      </w:r>
      <w:r w:rsidR="005220BC" w:rsidRPr="00AC760F">
        <w:t xml:space="preserve">assumed </w:t>
      </w:r>
      <w:r w:rsidR="005220BC">
        <w:t xml:space="preserve">number of buildings and solutions </w:t>
      </w:r>
      <w:r w:rsidRPr="00AC760F">
        <w:t xml:space="preserve">under the Consultation RIS. </w:t>
      </w:r>
    </w:p>
    <w:p w:rsidR="00FE37D3" w:rsidRDefault="00FE37D3" w:rsidP="00F02722">
      <w:r w:rsidRPr="00AC760F">
        <w:t>The Consultation RIS asked stakeholders whether stakeholder involvement in determining acceptance criteria would lead to a higher confidence in Performance Solutions.</w:t>
      </w:r>
    </w:p>
    <w:p w:rsidR="00FE37D3" w:rsidRDefault="00FE37D3" w:rsidP="00F02722">
      <w:r w:rsidRPr="00AC760F">
        <w:t>There was a mixed response to this question with the majority believing better building outcomes would be achieved.  43 per cent said yes, 27 per cent said no and 14 per cent said that they were unsure. No respondents elaborated on their response.</w:t>
      </w:r>
    </w:p>
    <w:p w:rsidR="00FE37D3" w:rsidRDefault="00FE37D3" w:rsidP="00F02722">
      <w:r w:rsidRPr="00AC760F">
        <w:t>The Consultation RIS attempted to determine the size of the problem in terms of annual rectification work. This was not able to be established from the responses received.</w:t>
      </w:r>
    </w:p>
    <w:p w:rsidR="00FE37D3" w:rsidRPr="00621E35" w:rsidRDefault="00FE37D3" w:rsidP="003756FF">
      <w:pPr>
        <w:pStyle w:val="Heading1"/>
      </w:pPr>
      <w:r>
        <w:t xml:space="preserve">Impact analysis </w:t>
      </w:r>
    </w:p>
    <w:tbl>
      <w:tblPr>
        <w:tblW w:w="5000" w:type="pct"/>
        <w:tblBorders>
          <w:top w:val="single" w:sz="4" w:space="0" w:color="auto"/>
          <w:left w:val="single" w:sz="4" w:space="0" w:color="auto"/>
          <w:bottom w:val="single" w:sz="4" w:space="0" w:color="auto"/>
          <w:right w:val="single" w:sz="4" w:space="0" w:color="auto"/>
        </w:tblBorders>
        <w:shd w:val="clear" w:color="auto" w:fill="BFBFBF" w:themeFill="background1" w:themeFillShade="BF"/>
        <w:tblLook w:val="0020" w:firstRow="1" w:lastRow="0" w:firstColumn="0" w:lastColumn="0" w:noHBand="0" w:noVBand="0"/>
      </w:tblPr>
      <w:tblGrid>
        <w:gridCol w:w="9060"/>
      </w:tblGrid>
      <w:tr w:rsidR="00FE37D3" w:rsidRPr="00FF3BDF" w:rsidTr="00340BFA">
        <w:trPr>
          <w:trHeight w:val="345"/>
        </w:trPr>
        <w:tc>
          <w:tcPr>
            <w:tcW w:w="5000" w:type="pct"/>
            <w:shd w:val="clear" w:color="auto" w:fill="D9D9D9" w:themeFill="background1" w:themeFillShade="D9"/>
          </w:tcPr>
          <w:p w:rsidR="00FE37D3" w:rsidRPr="00FF3BDF" w:rsidRDefault="00FE37D3" w:rsidP="00F02722">
            <w:pPr>
              <w:spacing w:before="0" w:after="200" w:line="276" w:lineRule="auto"/>
              <w:jc w:val="left"/>
              <w:rPr>
                <w:b/>
              </w:rPr>
            </w:pPr>
            <w:r w:rsidRPr="00FF3BDF">
              <w:rPr>
                <w:b/>
              </w:rPr>
              <w:t>Consultation Questions:</w:t>
            </w:r>
          </w:p>
        </w:tc>
      </w:tr>
      <w:tr w:rsidR="00FE37D3" w:rsidRPr="00FF3BDF" w:rsidTr="00340BFA">
        <w:trPr>
          <w:trHeight w:val="364"/>
        </w:trPr>
        <w:tc>
          <w:tcPr>
            <w:tcW w:w="5000" w:type="pct"/>
            <w:shd w:val="clear" w:color="auto" w:fill="D9D9D9" w:themeFill="background1" w:themeFillShade="D9"/>
          </w:tcPr>
          <w:p w:rsidR="00FE37D3" w:rsidRDefault="00FE37D3" w:rsidP="00F02722">
            <w:pPr>
              <w:pStyle w:val="ListParagraph"/>
              <w:numPr>
                <w:ilvl w:val="0"/>
                <w:numId w:val="15"/>
              </w:numPr>
              <w:spacing w:before="0" w:after="0" w:line="276" w:lineRule="auto"/>
              <w:jc w:val="left"/>
            </w:pPr>
            <w:r w:rsidRPr="00FF3BDF">
              <w:t>Are there any other qualitative costs and b</w:t>
            </w:r>
            <w:r>
              <w:t>enefits to consider under each o</w:t>
            </w:r>
            <w:r w:rsidRPr="00FF3BDF">
              <w:t>ption?</w:t>
            </w:r>
          </w:p>
          <w:p w:rsidR="00FE37D3" w:rsidRDefault="00FE37D3" w:rsidP="00F02722">
            <w:pPr>
              <w:pStyle w:val="ListParagraph"/>
              <w:numPr>
                <w:ilvl w:val="0"/>
                <w:numId w:val="15"/>
              </w:numPr>
              <w:spacing w:before="0" w:after="0" w:line="276" w:lineRule="auto"/>
              <w:jc w:val="left"/>
            </w:pPr>
            <w:r>
              <w:t>Are there any other quantitative costs and benefits (e.g. reductions in insurance premiums) to consider under each option?</w:t>
            </w:r>
          </w:p>
          <w:p w:rsidR="00FE37D3" w:rsidRDefault="00FE37D3" w:rsidP="00F02722">
            <w:pPr>
              <w:pStyle w:val="ListParagraph"/>
              <w:numPr>
                <w:ilvl w:val="0"/>
                <w:numId w:val="15"/>
              </w:numPr>
              <w:spacing w:before="0" w:after="0" w:line="276" w:lineRule="auto"/>
              <w:jc w:val="left"/>
            </w:pPr>
            <w:r>
              <w:t>Do you have any examples of costs associated with rectification work where a Performance Solution was developed inadequately?</w:t>
            </w:r>
          </w:p>
          <w:p w:rsidR="00FE37D3" w:rsidRDefault="00FE37D3" w:rsidP="00F02722">
            <w:pPr>
              <w:pStyle w:val="ListParagraph"/>
              <w:numPr>
                <w:ilvl w:val="0"/>
                <w:numId w:val="15"/>
              </w:numPr>
              <w:spacing w:before="0" w:after="0" w:line="276" w:lineRule="auto"/>
              <w:jc w:val="left"/>
            </w:pPr>
            <w:r>
              <w:t>Do you have any examples of costs associated with rectification work where a component of the Performance Solution process was not followed?</w:t>
            </w:r>
          </w:p>
          <w:p w:rsidR="00FE37D3" w:rsidRPr="00FF3BDF" w:rsidRDefault="00FE37D3" w:rsidP="00F02722">
            <w:pPr>
              <w:pStyle w:val="ListParagraph"/>
              <w:numPr>
                <w:ilvl w:val="0"/>
                <w:numId w:val="15"/>
              </w:numPr>
              <w:spacing w:before="0" w:after="0" w:line="276" w:lineRule="auto"/>
              <w:jc w:val="left"/>
            </w:pPr>
            <w:r>
              <w:t xml:space="preserve">In </w:t>
            </w:r>
            <w:r w:rsidR="003A6232">
              <w:t xml:space="preserve">the </w:t>
            </w:r>
            <w:r>
              <w:t>absence of better information, do you agree with the cost of rectification estimates outlined in Table 9 relating to weatherproofing?</w:t>
            </w:r>
          </w:p>
        </w:tc>
      </w:tr>
      <w:tr w:rsidR="00FE37D3" w:rsidRPr="00FF3BDF" w:rsidTr="00340BFA">
        <w:trPr>
          <w:trHeight w:val="636"/>
        </w:trPr>
        <w:tc>
          <w:tcPr>
            <w:tcW w:w="5000" w:type="pct"/>
            <w:shd w:val="clear" w:color="auto" w:fill="D9D9D9" w:themeFill="background1" w:themeFillShade="D9"/>
          </w:tcPr>
          <w:p w:rsidR="00FE37D3" w:rsidRPr="00FF3BDF" w:rsidRDefault="00FE37D3" w:rsidP="00F02722">
            <w:pPr>
              <w:pStyle w:val="ListParagraph"/>
              <w:numPr>
                <w:ilvl w:val="0"/>
                <w:numId w:val="15"/>
              </w:numPr>
              <w:spacing w:before="0" w:after="200" w:line="276" w:lineRule="auto"/>
              <w:jc w:val="left"/>
            </w:pPr>
            <w:r>
              <w:t xml:space="preserve">Do you agree that the benefits will outweigh the costs under each option? </w:t>
            </w:r>
          </w:p>
        </w:tc>
      </w:tr>
    </w:tbl>
    <w:p w:rsidR="00FE37D3" w:rsidRDefault="00FE37D3" w:rsidP="00F02722">
      <w:r w:rsidRPr="00DB66A8">
        <w:t>The Consultation RIS asked stakeholders whether there were any other qualitative or quantitative costs and benefits to consider associated with implementing Option 2</w:t>
      </w:r>
      <w:r>
        <w:t> </w:t>
      </w:r>
      <w:r w:rsidRPr="00DB66A8">
        <w:t>or</w:t>
      </w:r>
      <w:r>
        <w:t> </w:t>
      </w:r>
      <w:r w:rsidRPr="00DB66A8">
        <w:t xml:space="preserve">3. </w:t>
      </w:r>
    </w:p>
    <w:p w:rsidR="00FE37D3" w:rsidRDefault="00FE37D3" w:rsidP="00F02722">
      <w:r>
        <w:lastRenderedPageBreak/>
        <w:t>One respondent felt that various psychological impacts – particularly stress – were experienced by owners, usually arising from financial pressures related to the devaluation of properties and drawn-out rectification processes. It is acknowledged stress is an impact associated with building defects which require rectification work</w:t>
      </w:r>
      <w:r w:rsidR="003A6232">
        <w:t>,</w:t>
      </w:r>
      <w:r>
        <w:t xml:space="preserve"> although this impact is difficult to quantify. </w:t>
      </w:r>
    </w:p>
    <w:p w:rsidR="00FE37D3" w:rsidRDefault="00FE37D3" w:rsidP="00F02722">
      <w:r>
        <w:t xml:space="preserve">Five stakeholders commented on the issue of insurance. Most stakeholders (4 out of 5) felt that insurance premiums will be unaffected by the proposed changes with one citing that there are other factors which would overrule any administrative changes to the Performance Solution process. This conclusion is also consistent with the results of the recent ABCB survey (Figure 5). </w:t>
      </w:r>
    </w:p>
    <w:p w:rsidR="00FE37D3" w:rsidRDefault="00FE37D3" w:rsidP="00F02722">
      <w:r>
        <w:t xml:space="preserve">One respondent suggested Professional Indemnity (PI) insurance premiums would decrease, however, </w:t>
      </w:r>
      <w:r w:rsidR="003A6232">
        <w:t>they</w:t>
      </w:r>
      <w:r>
        <w:t xml:space="preserve"> did not elaborate further.</w:t>
      </w:r>
    </w:p>
    <w:p w:rsidR="00FE37D3" w:rsidRDefault="00FE37D3" w:rsidP="00F02722">
      <w:r w:rsidRPr="00DB66A8">
        <w:t xml:space="preserve">The Consultation RIS attempted to </w:t>
      </w:r>
      <w:r>
        <w:t>draw out examples of costs associated with rectification work where a Performance Solution was developed inadequately, or a</w:t>
      </w:r>
      <w:r w:rsidRPr="00DB66A8">
        <w:t xml:space="preserve"> </w:t>
      </w:r>
      <w:r>
        <w:t xml:space="preserve">component of the Performance Solution process was not followed. No examples were provided. </w:t>
      </w:r>
    </w:p>
    <w:p w:rsidR="00FE37D3" w:rsidRDefault="00FE37D3" w:rsidP="00F02722">
      <w:r>
        <w:t xml:space="preserve">The Consultation RIS asked: In </w:t>
      </w:r>
      <w:r w:rsidR="003A6232">
        <w:t xml:space="preserve">the </w:t>
      </w:r>
      <w:r>
        <w:t xml:space="preserve">absence of better information, do you agree with the cost of rectification estimates outlined in Table 9 relating to weatherproofing? Of those that responded to this question, just over two thirds agreed with the estimates. Of those that disagreed, three said that the costs are understated. Others said that the cost is unquantifiable, as rectification costs will vary greatly on a case by case basis.  </w:t>
      </w:r>
    </w:p>
    <w:p w:rsidR="00FE37D3" w:rsidRDefault="00FE37D3" w:rsidP="00F02722">
      <w:r w:rsidRPr="0018759D">
        <w:t>Fifty-one per cent of respondents agreed benefits would outweigh costs with 7 per cent of those believing that Option 3 may be more effective in addressing the problem than Option 2. One advocacy group expressed that in their opinion applying the process to all topics (Option 2) was essential to ensure the suitability of future solutions.</w:t>
      </w:r>
    </w:p>
    <w:p w:rsidR="00FE37D3" w:rsidRDefault="00FE37D3" w:rsidP="00F02722">
      <w:r>
        <w:t xml:space="preserve">One respondent (an engineer) felt the problem was most observable in fire safety engineering. One other respondent shared similar experience and felt that the solution may not be as applicable where VMs are used. They suggested that an alternative option could be to apply the process only to those Performance Solutions where a VM is not used. </w:t>
      </w:r>
    </w:p>
    <w:p w:rsidR="00FE37D3" w:rsidRDefault="00FE37D3" w:rsidP="00F02722">
      <w:r>
        <w:lastRenderedPageBreak/>
        <w:t>Of those that disagreed (31 per cent) that benefits will outweigh costs, one respondent felt that the problem was not resulting in injuries and fatalities and</w:t>
      </w:r>
      <w:r w:rsidR="003A6232">
        <w:t>,</w:t>
      </w:r>
      <w:r>
        <w:t xml:space="preserve"> therefore</w:t>
      </w:r>
      <w:r w:rsidR="003A6232">
        <w:t>,</w:t>
      </w:r>
      <w:r>
        <w:t xml:space="preserve"> was not a problem</w:t>
      </w:r>
      <w:r w:rsidR="003A6232">
        <w:t>,</w:t>
      </w:r>
      <w:r>
        <w:t xml:space="preserve"> while another felt the benefits would only be achieved when designers better underst</w:t>
      </w:r>
      <w:r w:rsidR="003A6232">
        <w:t>oo</w:t>
      </w:r>
      <w:r>
        <w:t xml:space="preserve">d performance-based design. </w:t>
      </w:r>
    </w:p>
    <w:p w:rsidR="00FE37D3" w:rsidRPr="00181350" w:rsidRDefault="00FE37D3" w:rsidP="003756FF">
      <w:pPr>
        <w:pStyle w:val="Heading1"/>
      </w:pPr>
      <w:r w:rsidRPr="00181350">
        <w:t>Effectiveness of all Options</w:t>
      </w:r>
    </w:p>
    <w:tbl>
      <w:tblPr>
        <w:tblW w:w="5167" w:type="pct"/>
        <w:tblBorders>
          <w:top w:val="single" w:sz="4" w:space="0" w:color="auto"/>
          <w:left w:val="single" w:sz="4" w:space="0" w:color="auto"/>
          <w:bottom w:val="single" w:sz="4" w:space="0" w:color="auto"/>
          <w:right w:val="single" w:sz="4" w:space="0" w:color="auto"/>
        </w:tblBorders>
        <w:shd w:val="clear" w:color="auto" w:fill="BFBFBF" w:themeFill="background1" w:themeFillShade="BF"/>
        <w:tblLook w:val="0020" w:firstRow="1" w:lastRow="0" w:firstColumn="0" w:lastColumn="0" w:noHBand="0" w:noVBand="0"/>
      </w:tblPr>
      <w:tblGrid>
        <w:gridCol w:w="9363"/>
      </w:tblGrid>
      <w:tr w:rsidR="00FE37D3" w:rsidRPr="00FF3BDF" w:rsidTr="00340BFA">
        <w:trPr>
          <w:trHeight w:val="309"/>
        </w:trPr>
        <w:tc>
          <w:tcPr>
            <w:tcW w:w="5000" w:type="pct"/>
            <w:shd w:val="clear" w:color="auto" w:fill="D9D9D9" w:themeFill="background1" w:themeFillShade="D9"/>
          </w:tcPr>
          <w:p w:rsidR="00FE37D3" w:rsidRPr="00371D3C" w:rsidRDefault="00FE37D3" w:rsidP="00371D3C">
            <w:pPr>
              <w:spacing w:before="120" w:line="240" w:lineRule="auto"/>
              <w:jc w:val="left"/>
            </w:pPr>
            <w:r w:rsidRPr="00371D3C">
              <w:t>The Consultation RIS asked stakeholders whether they believed that better building outcomes will be achieved by making changes to the Performance Solution process</w:t>
            </w:r>
            <w:r w:rsidR="003A6232">
              <w:t>.</w:t>
            </w:r>
          </w:p>
        </w:tc>
      </w:tr>
    </w:tbl>
    <w:p w:rsidR="00FE37D3" w:rsidRDefault="00FE37D3" w:rsidP="00F02722">
      <w:r w:rsidRPr="00C21D2A">
        <w:t>Most stakeholders responded to th</w:t>
      </w:r>
      <w:r w:rsidR="003A6232">
        <w:t>is</w:t>
      </w:r>
      <w:r w:rsidRPr="00C21D2A">
        <w:t xml:space="preserve"> question</w:t>
      </w:r>
      <w:r w:rsidR="003A6232">
        <w:t>, with</w:t>
      </w:r>
      <w:r w:rsidRPr="00C21D2A">
        <w:t xml:space="preserve"> 67 per cent </w:t>
      </w:r>
      <w:r w:rsidR="003A6232">
        <w:t>agreeing</w:t>
      </w:r>
      <w:r w:rsidRPr="00C21D2A">
        <w:t xml:space="preserve"> that greater stakeholder involvement would lead to better building outcomes. </w:t>
      </w:r>
    </w:p>
    <w:p w:rsidR="00FE37D3" w:rsidRDefault="00FE37D3" w:rsidP="00F02722">
      <w:r>
        <w:t xml:space="preserve">Of those who thought building outcomes would not improve, one described it as being potentially ‘an administrative nightmare’ while another thought that it would only add cost and time to the approval process. A further two respondents suggested that it would only be effective if it were supported by enhanced education of practitioners and </w:t>
      </w:r>
      <w:r w:rsidR="00210F56">
        <w:t xml:space="preserve">on its own </w:t>
      </w:r>
      <w:r>
        <w:t xml:space="preserve">it would not be effective solution. </w:t>
      </w:r>
    </w:p>
    <w:p w:rsidR="00FE37D3" w:rsidRDefault="00FE37D3" w:rsidP="00F02722">
      <w:r>
        <w:t>One respondent considered that the IFEG already clearly defined the expectations of practitioners when developing Performance Solutions and questioned the need for more intervention other than a greater degree of enforcement.</w:t>
      </w:r>
    </w:p>
    <w:p w:rsidR="00FE37D3" w:rsidRDefault="00FE37D3" w:rsidP="00F02722">
      <w:r>
        <w:t>These results generally reflect those of an ABCB survey in 2019 of expectations</w:t>
      </w:r>
      <w:r w:rsidR="00865EFC">
        <w:t>, which indicated</w:t>
      </w:r>
      <w:r>
        <w:t xml:space="preserve"> that both outcomes and </w:t>
      </w:r>
      <w:r w:rsidR="00865EFC">
        <w:t xml:space="preserve">the </w:t>
      </w:r>
      <w:r>
        <w:t>use of performance-based design would improve through stakeholder involvement</w:t>
      </w:r>
      <w:r w:rsidR="005220BC">
        <w:t xml:space="preserve">. It should be noted that effectiveness will be subject to enforcement being </w:t>
      </w:r>
      <w:r>
        <w:t xml:space="preserve">concentrated on those </w:t>
      </w:r>
      <w:r w:rsidR="005220BC">
        <w:t xml:space="preserve">practitioners using </w:t>
      </w:r>
      <w:r>
        <w:t>processes that are not consistent with current regulation or guidance.</w:t>
      </w:r>
    </w:p>
    <w:p w:rsidR="00FE37D3" w:rsidRDefault="00FE37D3" w:rsidP="003756FF">
      <w:pPr>
        <w:pStyle w:val="Heading1"/>
      </w:pPr>
      <w:r>
        <w:lastRenderedPageBreak/>
        <w:t>Implementation</w:t>
      </w:r>
    </w:p>
    <w:tbl>
      <w:tblPr>
        <w:tblW w:w="5000" w:type="pct"/>
        <w:tblBorders>
          <w:top w:val="single" w:sz="4" w:space="0" w:color="auto"/>
          <w:left w:val="single" w:sz="4" w:space="0" w:color="auto"/>
          <w:bottom w:val="single" w:sz="4" w:space="0" w:color="auto"/>
          <w:right w:val="single" w:sz="4" w:space="0" w:color="auto"/>
        </w:tblBorders>
        <w:shd w:val="clear" w:color="auto" w:fill="BFBFBF" w:themeFill="background1" w:themeFillShade="BF"/>
        <w:tblLook w:val="0020" w:firstRow="1" w:lastRow="0" w:firstColumn="0" w:lastColumn="0" w:noHBand="0" w:noVBand="0"/>
      </w:tblPr>
      <w:tblGrid>
        <w:gridCol w:w="9060"/>
      </w:tblGrid>
      <w:tr w:rsidR="00FE37D3" w:rsidRPr="00FF3BDF" w:rsidTr="00340BFA">
        <w:trPr>
          <w:trHeight w:val="364"/>
        </w:trPr>
        <w:tc>
          <w:tcPr>
            <w:tcW w:w="5000" w:type="pct"/>
            <w:shd w:val="clear" w:color="auto" w:fill="D9D9D9" w:themeFill="background1" w:themeFillShade="D9"/>
          </w:tcPr>
          <w:p w:rsidR="00FE37D3" w:rsidRPr="00FF3BDF" w:rsidRDefault="00FE37D3" w:rsidP="00371D3C">
            <w:pPr>
              <w:keepNext/>
              <w:keepLines/>
              <w:spacing w:before="0" w:line="276" w:lineRule="auto"/>
              <w:jc w:val="left"/>
            </w:pPr>
            <w:r>
              <w:t>The Consultation RIS asked</w:t>
            </w:r>
            <w:r w:rsidR="00865EFC">
              <w:t>,</w:t>
            </w:r>
            <w:r>
              <w:t xml:space="preserve"> if the proposed changes are adopted, should a 12-month transitional period be included prior to its implementation? </w:t>
            </w:r>
          </w:p>
        </w:tc>
      </w:tr>
    </w:tbl>
    <w:p w:rsidR="00FE37D3" w:rsidRDefault="00FE37D3" w:rsidP="00F02722">
      <w:pPr>
        <w:rPr>
          <w:rFonts w:asciiTheme="minorHAnsi" w:hAnsiTheme="minorHAnsi" w:cstheme="minorHAnsi"/>
        </w:rPr>
      </w:pPr>
      <w:r>
        <w:t>Two</w:t>
      </w:r>
      <w:r w:rsidR="004D5902">
        <w:t>-</w:t>
      </w:r>
      <w:r>
        <w:t>thirds felt a transitional period was appropriate. Of those that didn’t agree, there was a mixed response. Some felt that the problem required fixing immediately</w:t>
      </w:r>
      <w:r w:rsidR="00865EFC">
        <w:t>,</w:t>
      </w:r>
      <w:r>
        <w:t xml:space="preserve"> while others felt it should be timed to align with other changes to the NCC. One response raised the alternative </w:t>
      </w:r>
      <w:r w:rsidR="00865EFC">
        <w:t>of</w:t>
      </w:r>
      <w:r>
        <w:t xml:space="preserve"> staged adoption, </w:t>
      </w:r>
      <w:r w:rsidR="00865EFC">
        <w:t xml:space="preserve">i.e. </w:t>
      </w:r>
      <w:r>
        <w:t>Option 3 for Amendment 1 to NCC 2019 and Option 2 in 2022.</w:t>
      </w:r>
      <w:r w:rsidR="00865EFC">
        <w:t xml:space="preserve"> </w:t>
      </w:r>
      <w:r>
        <w:t>The final analysis is unable to analyse the impacts of such a delay due to the coarseness of data and assumptions.</w:t>
      </w:r>
    </w:p>
    <w:p w:rsidR="00FE37D3" w:rsidRDefault="00FE37D3" w:rsidP="00F02722">
      <w:pPr>
        <w:rPr>
          <w:rFonts w:asciiTheme="majorHAnsi" w:eastAsiaTheme="majorEastAsia" w:hAnsiTheme="majorHAnsi" w:cstheme="majorBidi"/>
          <w:b/>
          <w:bCs/>
          <w:color w:val="002060"/>
          <w:sz w:val="40"/>
          <w:szCs w:val="28"/>
        </w:rPr>
      </w:pPr>
      <w:r>
        <w:rPr>
          <w:rFonts w:asciiTheme="majorHAnsi" w:eastAsiaTheme="majorEastAsia" w:hAnsiTheme="majorHAnsi" w:cstheme="majorBidi"/>
          <w:b/>
          <w:bCs/>
          <w:color w:val="002060"/>
          <w:sz w:val="40"/>
          <w:szCs w:val="28"/>
        </w:rPr>
        <w:br w:type="page"/>
      </w:r>
    </w:p>
    <w:p w:rsidR="00FE37D3" w:rsidRPr="00F02E1E" w:rsidRDefault="00FE37D3" w:rsidP="005E1DCB">
      <w:pPr>
        <w:pStyle w:val="Heading1"/>
      </w:pPr>
      <w:bookmarkStart w:id="100" w:name="_Toc33098903"/>
      <w:r w:rsidRPr="00F02E1E">
        <w:lastRenderedPageBreak/>
        <w:t>Conclusion</w:t>
      </w:r>
      <w:bookmarkEnd w:id="97"/>
      <w:bookmarkEnd w:id="98"/>
      <w:bookmarkEnd w:id="99"/>
      <w:bookmarkEnd w:id="100"/>
    </w:p>
    <w:p w:rsidR="00FE37D3" w:rsidRPr="00FB0E0C" w:rsidRDefault="00FE37D3" w:rsidP="00F02E1E">
      <w:pPr>
        <w:rPr>
          <w:rFonts w:asciiTheme="minorHAnsi" w:hAnsiTheme="minorHAnsi" w:cstheme="minorHAnsi"/>
        </w:rPr>
      </w:pPr>
      <w:r w:rsidRPr="00FB0E0C">
        <w:rPr>
          <w:rFonts w:asciiTheme="minorHAnsi" w:hAnsiTheme="minorHAnsi" w:cstheme="minorHAnsi"/>
        </w:rPr>
        <w:t>Where no action is taken to formalise the principles of an agreed process</w:t>
      </w:r>
      <w:r w:rsidR="00865EFC">
        <w:rPr>
          <w:rFonts w:asciiTheme="minorHAnsi" w:hAnsiTheme="minorHAnsi" w:cstheme="minorHAnsi"/>
        </w:rPr>
        <w:t xml:space="preserve"> for Performance Solutions</w:t>
      </w:r>
      <w:r w:rsidRPr="00FB0E0C">
        <w:rPr>
          <w:rFonts w:asciiTheme="minorHAnsi" w:hAnsiTheme="minorHAnsi" w:cstheme="minorHAnsi"/>
        </w:rPr>
        <w:t xml:space="preserve">, the problem described </w:t>
      </w:r>
      <w:r>
        <w:rPr>
          <w:rFonts w:asciiTheme="minorHAnsi" w:hAnsiTheme="minorHAnsi" w:cstheme="minorHAnsi"/>
        </w:rPr>
        <w:t xml:space="preserve">in this RIS will continue. Reviews citing a </w:t>
      </w:r>
      <w:r w:rsidRPr="00FB0E0C">
        <w:rPr>
          <w:rFonts w:asciiTheme="minorHAnsi" w:hAnsiTheme="minorHAnsi" w:cstheme="minorHAnsi"/>
        </w:rPr>
        <w:t xml:space="preserve">lack of transparency in </w:t>
      </w:r>
      <w:r w:rsidR="00865EFC">
        <w:rPr>
          <w:rFonts w:asciiTheme="minorHAnsi" w:hAnsiTheme="minorHAnsi" w:cstheme="minorHAnsi"/>
        </w:rPr>
        <w:t xml:space="preserve">the </w:t>
      </w:r>
      <w:r w:rsidRPr="00FB0E0C">
        <w:rPr>
          <w:rFonts w:asciiTheme="minorHAnsi" w:hAnsiTheme="minorHAnsi" w:cstheme="minorHAnsi"/>
        </w:rPr>
        <w:t>documentation</w:t>
      </w:r>
      <w:r w:rsidR="00865EFC">
        <w:rPr>
          <w:rFonts w:asciiTheme="minorHAnsi" w:hAnsiTheme="minorHAnsi" w:cstheme="minorHAnsi"/>
        </w:rPr>
        <w:t xml:space="preserve"> of Performance Solutions</w:t>
      </w:r>
      <w:r w:rsidRPr="00FB0E0C">
        <w:rPr>
          <w:rFonts w:asciiTheme="minorHAnsi" w:hAnsiTheme="minorHAnsi" w:cstheme="minorHAnsi"/>
        </w:rPr>
        <w:t xml:space="preserve"> has b</w:t>
      </w:r>
      <w:r>
        <w:rPr>
          <w:rFonts w:asciiTheme="minorHAnsi" w:hAnsiTheme="minorHAnsi" w:cstheme="minorHAnsi"/>
        </w:rPr>
        <w:t>r</w:t>
      </w:r>
      <w:r w:rsidRPr="00FB0E0C">
        <w:rPr>
          <w:rFonts w:asciiTheme="minorHAnsi" w:hAnsiTheme="minorHAnsi" w:cstheme="minorHAnsi"/>
        </w:rPr>
        <w:t>ought into question the ability for a performance-based code to meet community expectations. The continuation of a performance-based regulatory system relies on confidence in its use and clarity in the principles for the development of Performance Solutions.</w:t>
      </w:r>
      <w:r>
        <w:rPr>
          <w:rFonts w:asciiTheme="minorHAnsi" w:hAnsiTheme="minorHAnsi" w:cstheme="minorHAnsi"/>
        </w:rPr>
        <w:t xml:space="preserve"> Confidence is likely to be lower as a result of the misuse, or misattribution of Performance associated with building failures.</w:t>
      </w:r>
    </w:p>
    <w:p w:rsidR="00FE37D3" w:rsidRDefault="00FE37D3" w:rsidP="00BA010D">
      <w:pPr>
        <w:rPr>
          <w:rFonts w:asciiTheme="minorHAnsi" w:hAnsiTheme="minorHAnsi" w:cstheme="minorHAnsi"/>
        </w:rPr>
      </w:pPr>
      <w:r w:rsidRPr="00FB0E0C">
        <w:rPr>
          <w:rFonts w:asciiTheme="minorHAnsi" w:hAnsiTheme="minorHAnsi" w:cstheme="minorHAnsi"/>
        </w:rPr>
        <w:t xml:space="preserve">Currently, processes and documentation are developed to meet a patchwork of state obligations or voluntary adherence with </w:t>
      </w:r>
      <w:r>
        <w:rPr>
          <w:rFonts w:asciiTheme="minorHAnsi" w:hAnsiTheme="minorHAnsi" w:cstheme="minorHAnsi"/>
        </w:rPr>
        <w:t xml:space="preserve">the </w:t>
      </w:r>
      <w:r w:rsidRPr="00FB0E0C">
        <w:rPr>
          <w:rFonts w:asciiTheme="minorHAnsi" w:hAnsiTheme="minorHAnsi" w:cstheme="minorHAnsi"/>
        </w:rPr>
        <w:t xml:space="preserve">principles of guidance. </w:t>
      </w:r>
      <w:r>
        <w:rPr>
          <w:rFonts w:asciiTheme="minorHAnsi" w:hAnsiTheme="minorHAnsi" w:cstheme="minorHAnsi"/>
        </w:rPr>
        <w:t xml:space="preserve">Feedback </w:t>
      </w:r>
      <w:r w:rsidR="00865EFC">
        <w:rPr>
          <w:rFonts w:asciiTheme="minorHAnsi" w:hAnsiTheme="minorHAnsi" w:cstheme="minorHAnsi"/>
        </w:rPr>
        <w:t xml:space="preserve">on the Consultation RIS </w:t>
      </w:r>
      <w:r>
        <w:rPr>
          <w:rFonts w:asciiTheme="minorHAnsi" w:hAnsiTheme="minorHAnsi" w:cstheme="minorHAnsi"/>
        </w:rPr>
        <w:t xml:space="preserve">suggests, </w:t>
      </w:r>
      <w:r w:rsidRPr="00FB0E0C">
        <w:rPr>
          <w:rFonts w:asciiTheme="minorHAnsi" w:hAnsiTheme="minorHAnsi" w:cstheme="minorHAnsi"/>
        </w:rPr>
        <w:t xml:space="preserve">a proportion </w:t>
      </w:r>
      <w:r>
        <w:rPr>
          <w:rFonts w:asciiTheme="minorHAnsi" w:hAnsiTheme="minorHAnsi" w:cstheme="minorHAnsi"/>
        </w:rPr>
        <w:t>of Performance Solutions</w:t>
      </w:r>
      <w:r w:rsidR="00865EFC">
        <w:rPr>
          <w:rFonts w:asciiTheme="minorHAnsi" w:hAnsiTheme="minorHAnsi" w:cstheme="minorHAnsi"/>
        </w:rPr>
        <w:t>,</w:t>
      </w:r>
      <w:r w:rsidRPr="00FB0E0C">
        <w:rPr>
          <w:rFonts w:asciiTheme="minorHAnsi" w:hAnsiTheme="minorHAnsi" w:cstheme="minorHAnsi"/>
        </w:rPr>
        <w:t xml:space="preserve"> </w:t>
      </w:r>
      <w:r>
        <w:rPr>
          <w:rFonts w:asciiTheme="minorHAnsi" w:hAnsiTheme="minorHAnsi" w:cstheme="minorHAnsi"/>
        </w:rPr>
        <w:t xml:space="preserve">if </w:t>
      </w:r>
      <w:r w:rsidRPr="00FB0E0C">
        <w:rPr>
          <w:rFonts w:asciiTheme="minorHAnsi" w:hAnsiTheme="minorHAnsi" w:cstheme="minorHAnsi"/>
        </w:rPr>
        <w:t>meas</w:t>
      </w:r>
      <w:r>
        <w:rPr>
          <w:rFonts w:asciiTheme="minorHAnsi" w:hAnsiTheme="minorHAnsi" w:cstheme="minorHAnsi"/>
        </w:rPr>
        <w:t>ured against the ABCB Guideline</w:t>
      </w:r>
      <w:r w:rsidR="00865EFC">
        <w:rPr>
          <w:rFonts w:asciiTheme="minorHAnsi" w:hAnsiTheme="minorHAnsi" w:cstheme="minorHAnsi"/>
        </w:rPr>
        <w:t>,</w:t>
      </w:r>
      <w:r w:rsidRPr="00FB0E0C">
        <w:rPr>
          <w:rFonts w:asciiTheme="minorHAnsi" w:hAnsiTheme="minorHAnsi" w:cstheme="minorHAnsi"/>
        </w:rPr>
        <w:t xml:space="preserve"> would be incomplete or inadequate</w:t>
      </w:r>
      <w:r w:rsidR="00865EFC">
        <w:rPr>
          <w:rFonts w:asciiTheme="minorHAnsi" w:hAnsiTheme="minorHAnsi" w:cstheme="minorHAnsi"/>
        </w:rPr>
        <w:t>,</w:t>
      </w:r>
      <w:r w:rsidRPr="00FB0E0C">
        <w:rPr>
          <w:rFonts w:asciiTheme="minorHAnsi" w:hAnsiTheme="minorHAnsi" w:cstheme="minorHAnsi"/>
        </w:rPr>
        <w:t xml:space="preserve"> an</w:t>
      </w:r>
      <w:r>
        <w:rPr>
          <w:rFonts w:asciiTheme="minorHAnsi" w:hAnsiTheme="minorHAnsi" w:cstheme="minorHAnsi"/>
        </w:rPr>
        <w:t xml:space="preserve">d </w:t>
      </w:r>
      <w:r w:rsidR="00865EFC">
        <w:rPr>
          <w:rFonts w:asciiTheme="minorHAnsi" w:hAnsiTheme="minorHAnsi" w:cstheme="minorHAnsi"/>
        </w:rPr>
        <w:t xml:space="preserve">that </w:t>
      </w:r>
      <w:r w:rsidRPr="00FB0E0C">
        <w:rPr>
          <w:rFonts w:asciiTheme="minorHAnsi" w:hAnsiTheme="minorHAnsi" w:cstheme="minorHAnsi"/>
        </w:rPr>
        <w:t>the likelihood of</w:t>
      </w:r>
      <w:r>
        <w:rPr>
          <w:rFonts w:asciiTheme="minorHAnsi" w:hAnsiTheme="minorHAnsi" w:cstheme="minorHAnsi"/>
        </w:rPr>
        <w:t xml:space="preserve"> these solutions</w:t>
      </w:r>
      <w:r w:rsidRPr="00FB0E0C">
        <w:rPr>
          <w:rFonts w:asciiTheme="minorHAnsi" w:hAnsiTheme="minorHAnsi" w:cstheme="minorHAnsi"/>
        </w:rPr>
        <w:t xml:space="preserve"> meeting the NCC would be low. </w:t>
      </w:r>
    </w:p>
    <w:p w:rsidR="00FE37D3" w:rsidRDefault="00FE37D3" w:rsidP="00BA010D">
      <w:pPr>
        <w:rPr>
          <w:rFonts w:asciiTheme="minorHAnsi" w:hAnsiTheme="minorHAnsi" w:cstheme="minorHAnsi"/>
        </w:rPr>
      </w:pPr>
      <w:r>
        <w:rPr>
          <w:rFonts w:asciiTheme="minorHAnsi" w:hAnsiTheme="minorHAnsi" w:cstheme="minorHAnsi"/>
        </w:rPr>
        <w:t>Feedback on the Consultation RIS</w:t>
      </w:r>
      <w:r w:rsidR="00865EFC">
        <w:rPr>
          <w:rFonts w:asciiTheme="minorHAnsi" w:hAnsiTheme="minorHAnsi" w:cstheme="minorHAnsi"/>
        </w:rPr>
        <w:t xml:space="preserve"> also</w:t>
      </w:r>
      <w:r>
        <w:rPr>
          <w:rFonts w:asciiTheme="minorHAnsi" w:hAnsiTheme="minorHAnsi" w:cstheme="minorHAnsi"/>
        </w:rPr>
        <w:t xml:space="preserve"> suggested that the extent Performance Solutions are utilised by industry and the adequacy of the solutions is not known with certainty. This is also </w:t>
      </w:r>
      <w:r w:rsidR="00865EFC">
        <w:rPr>
          <w:rFonts w:asciiTheme="minorHAnsi" w:hAnsiTheme="minorHAnsi" w:cstheme="minorHAnsi"/>
        </w:rPr>
        <w:t>evidenced</w:t>
      </w:r>
      <w:r>
        <w:rPr>
          <w:rFonts w:asciiTheme="minorHAnsi" w:hAnsiTheme="minorHAnsi" w:cstheme="minorHAnsi"/>
        </w:rPr>
        <w:t xml:space="preserve"> by the lack of data on the use of Performance Solutions in each jurisdiction.</w:t>
      </w:r>
      <w:r w:rsidRPr="00CB618A">
        <w:rPr>
          <w:rFonts w:asciiTheme="minorHAnsi" w:hAnsiTheme="minorHAnsi" w:cstheme="minorHAnsi"/>
        </w:rPr>
        <w:t xml:space="preserve"> </w:t>
      </w:r>
    </w:p>
    <w:p w:rsidR="00597D7B" w:rsidRDefault="00FE37D3" w:rsidP="00BA010D">
      <w:pPr>
        <w:rPr>
          <w:rFonts w:asciiTheme="minorHAnsi" w:hAnsiTheme="minorHAnsi" w:cstheme="minorHAnsi"/>
        </w:rPr>
      </w:pPr>
      <w:r>
        <w:rPr>
          <w:rFonts w:asciiTheme="minorHAnsi" w:hAnsiTheme="minorHAnsi" w:cstheme="minorHAnsi"/>
        </w:rPr>
        <w:t xml:space="preserve">The final analysis has been updated to incorporate information received during public consultation. The costs of each option have increased and both </w:t>
      </w:r>
      <w:r w:rsidRPr="00FB0E0C">
        <w:rPr>
          <w:rFonts w:asciiTheme="minorHAnsi" w:hAnsiTheme="minorHAnsi" w:cstheme="minorHAnsi"/>
        </w:rPr>
        <w:t xml:space="preserve">Option 2 and Option 3 </w:t>
      </w:r>
      <w:r>
        <w:rPr>
          <w:rFonts w:asciiTheme="minorHAnsi" w:hAnsiTheme="minorHAnsi" w:cstheme="minorHAnsi"/>
        </w:rPr>
        <w:t xml:space="preserve">will </w:t>
      </w:r>
      <w:r w:rsidRPr="00FB0E0C">
        <w:rPr>
          <w:rFonts w:asciiTheme="minorHAnsi" w:hAnsiTheme="minorHAnsi" w:cstheme="minorHAnsi"/>
        </w:rPr>
        <w:t>impose costs</w:t>
      </w:r>
      <w:r>
        <w:rPr>
          <w:rFonts w:asciiTheme="minorHAnsi" w:hAnsiTheme="minorHAnsi" w:cstheme="minorHAnsi"/>
        </w:rPr>
        <w:t xml:space="preserve"> of $</w:t>
      </w:r>
      <w:r w:rsidRPr="005C03EF">
        <w:rPr>
          <w:rFonts w:asciiTheme="minorHAnsi" w:hAnsiTheme="minorHAnsi" w:cstheme="minorHAnsi"/>
        </w:rPr>
        <w:t>234,069,785</w:t>
      </w:r>
      <w:r>
        <w:rPr>
          <w:rFonts w:asciiTheme="minorHAnsi" w:hAnsiTheme="minorHAnsi" w:cstheme="minorHAnsi"/>
        </w:rPr>
        <w:t xml:space="preserve"> and $</w:t>
      </w:r>
      <w:r>
        <w:t xml:space="preserve">140,441,871 </w:t>
      </w:r>
      <w:r>
        <w:rPr>
          <w:rFonts w:asciiTheme="minorHAnsi" w:hAnsiTheme="minorHAnsi" w:cstheme="minorHAnsi"/>
        </w:rPr>
        <w:t>respectively</w:t>
      </w:r>
      <w:r>
        <w:t xml:space="preserve"> in Present Value terms</w:t>
      </w:r>
      <w:r w:rsidRPr="00FB0E0C">
        <w:rPr>
          <w:rFonts w:asciiTheme="minorHAnsi" w:hAnsiTheme="minorHAnsi" w:cstheme="minorHAnsi"/>
        </w:rPr>
        <w:t>. The extent of their impact will be in proportion to the extent current process</w:t>
      </w:r>
      <w:r>
        <w:rPr>
          <w:rFonts w:asciiTheme="minorHAnsi" w:hAnsiTheme="minorHAnsi" w:cstheme="minorHAnsi"/>
        </w:rPr>
        <w:t>es</w:t>
      </w:r>
      <w:r w:rsidRPr="00FB0E0C">
        <w:rPr>
          <w:rFonts w:asciiTheme="minorHAnsi" w:hAnsiTheme="minorHAnsi" w:cstheme="minorHAnsi"/>
        </w:rPr>
        <w:t xml:space="preserve"> are considered inadequate and result in behaviour</w:t>
      </w:r>
      <w:r>
        <w:rPr>
          <w:rFonts w:asciiTheme="minorHAnsi" w:hAnsiTheme="minorHAnsi" w:cstheme="minorHAnsi"/>
        </w:rPr>
        <w:t>al</w:t>
      </w:r>
      <w:r w:rsidRPr="00FB0E0C">
        <w:rPr>
          <w:rFonts w:asciiTheme="minorHAnsi" w:hAnsiTheme="minorHAnsi" w:cstheme="minorHAnsi"/>
        </w:rPr>
        <w:t xml:space="preserve"> change. The magnitude of impacts (both costs and benefits) are subject to uncertainty, </w:t>
      </w:r>
      <w:r>
        <w:rPr>
          <w:rFonts w:asciiTheme="minorHAnsi" w:hAnsiTheme="minorHAnsi" w:cstheme="minorHAnsi"/>
        </w:rPr>
        <w:t xml:space="preserve">therefore conservative estimates were adopted </w:t>
      </w:r>
      <w:r w:rsidRPr="00FB0E0C">
        <w:rPr>
          <w:rFonts w:asciiTheme="minorHAnsi" w:hAnsiTheme="minorHAnsi" w:cstheme="minorHAnsi"/>
        </w:rPr>
        <w:t>particularly around the extent of use</w:t>
      </w:r>
      <w:r>
        <w:rPr>
          <w:rFonts w:asciiTheme="minorHAnsi" w:hAnsiTheme="minorHAnsi" w:cstheme="minorHAnsi"/>
        </w:rPr>
        <w:t>.</w:t>
      </w:r>
      <w:r w:rsidRPr="00FB0E0C">
        <w:rPr>
          <w:rStyle w:val="FootnoteReference"/>
          <w:rFonts w:asciiTheme="minorHAnsi" w:hAnsiTheme="minorHAnsi" w:cstheme="minorHAnsi"/>
        </w:rPr>
        <w:footnoteReference w:id="61"/>
      </w:r>
      <w:r>
        <w:rPr>
          <w:rFonts w:asciiTheme="minorHAnsi" w:hAnsiTheme="minorHAnsi" w:cstheme="minorHAnsi"/>
        </w:rPr>
        <w:t xml:space="preserve"> </w:t>
      </w:r>
      <w:r w:rsidR="00F02722">
        <w:rPr>
          <w:rFonts w:asciiTheme="minorHAnsi" w:hAnsiTheme="minorHAnsi" w:cstheme="minorHAnsi"/>
        </w:rPr>
        <w:t xml:space="preserve">As </w:t>
      </w:r>
      <w:r w:rsidR="002F4293">
        <w:rPr>
          <w:rFonts w:asciiTheme="minorHAnsi" w:hAnsiTheme="minorHAnsi" w:cstheme="minorHAnsi"/>
        </w:rPr>
        <w:t>evidenced</w:t>
      </w:r>
      <w:r w:rsidR="00F02722">
        <w:rPr>
          <w:rFonts w:asciiTheme="minorHAnsi" w:hAnsiTheme="minorHAnsi" w:cstheme="minorHAnsi"/>
        </w:rPr>
        <w:t xml:space="preserve"> by the BCR</w:t>
      </w:r>
      <w:r w:rsidR="004D5902">
        <w:rPr>
          <w:rFonts w:asciiTheme="minorHAnsi" w:hAnsiTheme="minorHAnsi" w:cstheme="minorHAnsi"/>
        </w:rPr>
        <w:t>,</w:t>
      </w:r>
      <w:r w:rsidR="00F02722">
        <w:rPr>
          <w:rFonts w:asciiTheme="minorHAnsi" w:hAnsiTheme="minorHAnsi" w:cstheme="minorHAnsi"/>
        </w:rPr>
        <w:t xml:space="preserve"> </w:t>
      </w:r>
      <w:r w:rsidR="002F4293">
        <w:rPr>
          <w:rFonts w:asciiTheme="minorHAnsi" w:hAnsiTheme="minorHAnsi" w:cstheme="minorHAnsi"/>
        </w:rPr>
        <w:t xml:space="preserve">the administrative system influences </w:t>
      </w:r>
      <w:r w:rsidR="00BE2E7D">
        <w:rPr>
          <w:rFonts w:asciiTheme="minorHAnsi" w:hAnsiTheme="minorHAnsi" w:cstheme="minorHAnsi"/>
        </w:rPr>
        <w:t>the proposal’s</w:t>
      </w:r>
      <w:r w:rsidR="0004073C">
        <w:rPr>
          <w:rFonts w:asciiTheme="minorHAnsi" w:hAnsiTheme="minorHAnsi" w:cstheme="minorHAnsi"/>
        </w:rPr>
        <w:t xml:space="preserve"> future effectiveness.</w:t>
      </w:r>
      <w:r w:rsidR="007D640B" w:rsidRPr="00FB0E0C">
        <w:rPr>
          <w:rFonts w:asciiTheme="minorHAnsi" w:hAnsiTheme="minorHAnsi" w:cstheme="minorHAnsi"/>
        </w:rPr>
        <w:t xml:space="preserve"> </w:t>
      </w:r>
    </w:p>
    <w:p w:rsidR="007D640B" w:rsidRPr="00FB0E0C" w:rsidRDefault="00AF08D7" w:rsidP="00BA010D">
      <w:pPr>
        <w:rPr>
          <w:rFonts w:asciiTheme="minorHAnsi" w:hAnsiTheme="minorHAnsi" w:cstheme="minorHAnsi"/>
        </w:rPr>
      </w:pPr>
      <w:r>
        <w:rPr>
          <w:rFonts w:asciiTheme="minorHAnsi" w:hAnsiTheme="minorHAnsi" w:cstheme="minorHAnsi"/>
        </w:rPr>
        <w:lastRenderedPageBreak/>
        <w:t xml:space="preserve">Stakeholder feedback largely confirmed that </w:t>
      </w:r>
      <w:r w:rsidR="007D640B" w:rsidRPr="00FB0E0C">
        <w:rPr>
          <w:rFonts w:asciiTheme="minorHAnsi" w:hAnsiTheme="minorHAnsi" w:cstheme="minorHAnsi"/>
        </w:rPr>
        <w:t>survey responses are represen</w:t>
      </w:r>
      <w:r w:rsidR="00BE2E7D">
        <w:rPr>
          <w:rFonts w:asciiTheme="minorHAnsi" w:hAnsiTheme="minorHAnsi" w:cstheme="minorHAnsi"/>
        </w:rPr>
        <w:t>tative of current behaviour. A</w:t>
      </w:r>
      <w:r w:rsidR="007D640B" w:rsidRPr="00FB0E0C">
        <w:rPr>
          <w:rFonts w:asciiTheme="minorHAnsi" w:hAnsiTheme="minorHAnsi" w:cstheme="minorHAnsi"/>
        </w:rPr>
        <w:t xml:space="preserve">round half of all Performance Solutions in use could be impacted to varying degrees. </w:t>
      </w:r>
      <w:r w:rsidR="007D640B">
        <w:rPr>
          <w:rFonts w:asciiTheme="minorHAnsi" w:hAnsiTheme="minorHAnsi" w:cstheme="minorHAnsi"/>
        </w:rPr>
        <w:t>The costs are considered small in the context of the potential benefits of achieving the objective of adequately demonstrating compliance with the NCC in a nationally consistent manner. This is reaffirmed by the results of the break-even analysis</w:t>
      </w:r>
      <w:r w:rsidR="00597D7B">
        <w:rPr>
          <w:rFonts w:asciiTheme="minorHAnsi" w:hAnsiTheme="minorHAnsi" w:cstheme="minorHAnsi"/>
        </w:rPr>
        <w:t>,</w:t>
      </w:r>
      <w:r w:rsidR="007D640B">
        <w:rPr>
          <w:rFonts w:asciiTheme="minorHAnsi" w:hAnsiTheme="minorHAnsi" w:cstheme="minorHAnsi"/>
        </w:rPr>
        <w:t xml:space="preserve"> which shows that given the potential costs of rectification, avoided failures required to offset the costs each year</w:t>
      </w:r>
      <w:r w:rsidR="00371D3C">
        <w:rPr>
          <w:rFonts w:asciiTheme="minorHAnsi" w:hAnsiTheme="minorHAnsi" w:cstheme="minorHAnsi"/>
        </w:rPr>
        <w:t xml:space="preserve"> are small and plausible</w:t>
      </w:r>
      <w:r w:rsidR="000303C1">
        <w:rPr>
          <w:rFonts w:asciiTheme="minorHAnsi" w:hAnsiTheme="minorHAnsi" w:cstheme="minorHAnsi"/>
        </w:rPr>
        <w:t>.</w:t>
      </w:r>
    </w:p>
    <w:p w:rsidR="007D640B" w:rsidRPr="00FB0E0C" w:rsidRDefault="007D640B" w:rsidP="00BA010D">
      <w:pPr>
        <w:rPr>
          <w:rFonts w:asciiTheme="minorHAnsi" w:hAnsiTheme="minorHAnsi" w:cstheme="minorHAnsi"/>
        </w:rPr>
      </w:pPr>
      <w:r w:rsidRPr="00FB0E0C">
        <w:rPr>
          <w:rFonts w:asciiTheme="minorHAnsi" w:hAnsiTheme="minorHAnsi" w:cstheme="minorHAnsi"/>
        </w:rPr>
        <w:t xml:space="preserve">Option </w:t>
      </w:r>
      <w:r>
        <w:rPr>
          <w:rFonts w:asciiTheme="minorHAnsi" w:hAnsiTheme="minorHAnsi" w:cstheme="minorHAnsi"/>
        </w:rPr>
        <w:t>3</w:t>
      </w:r>
      <w:r w:rsidRPr="00FB0E0C">
        <w:rPr>
          <w:rFonts w:asciiTheme="minorHAnsi" w:hAnsiTheme="minorHAnsi" w:cstheme="minorHAnsi"/>
        </w:rPr>
        <w:t xml:space="preserve"> limits both costs and </w:t>
      </w:r>
      <w:r>
        <w:rPr>
          <w:rFonts w:asciiTheme="minorHAnsi" w:hAnsiTheme="minorHAnsi" w:cstheme="minorHAnsi"/>
        </w:rPr>
        <w:t>the</w:t>
      </w:r>
      <w:r w:rsidRPr="00FB0E0C">
        <w:rPr>
          <w:rFonts w:asciiTheme="minorHAnsi" w:hAnsiTheme="minorHAnsi" w:cstheme="minorHAnsi"/>
        </w:rPr>
        <w:t xml:space="preserve"> ability to fully achieve the objective. </w:t>
      </w:r>
      <w:r w:rsidR="00310FB2">
        <w:rPr>
          <w:rFonts w:asciiTheme="minorHAnsi" w:hAnsiTheme="minorHAnsi" w:cstheme="minorHAnsi"/>
        </w:rPr>
        <w:t>It</w:t>
      </w:r>
      <w:r w:rsidR="0004073C">
        <w:rPr>
          <w:rFonts w:asciiTheme="minorHAnsi" w:hAnsiTheme="minorHAnsi" w:cstheme="minorHAnsi"/>
        </w:rPr>
        <w:t xml:space="preserve">s effectiveness is </w:t>
      </w:r>
      <w:r w:rsidR="00310FB2">
        <w:rPr>
          <w:rFonts w:asciiTheme="minorHAnsi" w:hAnsiTheme="minorHAnsi" w:cstheme="minorHAnsi"/>
        </w:rPr>
        <w:t>likely to be lower</w:t>
      </w:r>
      <w:r w:rsidR="006A0374">
        <w:rPr>
          <w:rFonts w:asciiTheme="minorHAnsi" w:hAnsiTheme="minorHAnsi" w:cstheme="minorHAnsi"/>
        </w:rPr>
        <w:t>ed</w:t>
      </w:r>
      <w:r w:rsidR="00310FB2">
        <w:rPr>
          <w:rFonts w:asciiTheme="minorHAnsi" w:hAnsiTheme="minorHAnsi" w:cstheme="minorHAnsi"/>
        </w:rPr>
        <w:t xml:space="preserve"> </w:t>
      </w:r>
      <w:r w:rsidR="006A0374">
        <w:rPr>
          <w:rFonts w:asciiTheme="minorHAnsi" w:hAnsiTheme="minorHAnsi" w:cstheme="minorHAnsi"/>
        </w:rPr>
        <w:t xml:space="preserve">further </w:t>
      </w:r>
      <w:r w:rsidR="0004073C">
        <w:rPr>
          <w:rFonts w:asciiTheme="minorHAnsi" w:hAnsiTheme="minorHAnsi" w:cstheme="minorHAnsi"/>
        </w:rPr>
        <w:t xml:space="preserve">due to its limited scope being predominantly </w:t>
      </w:r>
      <w:r w:rsidR="00DC5BEE">
        <w:rPr>
          <w:rFonts w:asciiTheme="minorHAnsi" w:hAnsiTheme="minorHAnsi" w:cstheme="minorHAnsi"/>
        </w:rPr>
        <w:t xml:space="preserve">already </w:t>
      </w:r>
      <w:r w:rsidR="0004073C">
        <w:rPr>
          <w:rFonts w:asciiTheme="minorHAnsi" w:hAnsiTheme="minorHAnsi" w:cstheme="minorHAnsi"/>
        </w:rPr>
        <w:t xml:space="preserve">covered by </w:t>
      </w:r>
      <w:r w:rsidR="00310FB2">
        <w:rPr>
          <w:rFonts w:asciiTheme="minorHAnsi" w:hAnsiTheme="minorHAnsi" w:cstheme="minorHAnsi"/>
        </w:rPr>
        <w:t xml:space="preserve">processes in states </w:t>
      </w:r>
      <w:r w:rsidR="0004073C">
        <w:rPr>
          <w:rFonts w:asciiTheme="minorHAnsi" w:hAnsiTheme="minorHAnsi" w:cstheme="minorHAnsi"/>
        </w:rPr>
        <w:t>regulations for fire safety solutions</w:t>
      </w:r>
      <w:r w:rsidR="00BE2E7D">
        <w:rPr>
          <w:rFonts w:asciiTheme="minorHAnsi" w:hAnsiTheme="minorHAnsi" w:cstheme="minorHAnsi"/>
        </w:rPr>
        <w:t xml:space="preserve">, which appear not to have </w:t>
      </w:r>
      <w:r w:rsidR="00932CCA">
        <w:rPr>
          <w:rFonts w:asciiTheme="minorHAnsi" w:hAnsiTheme="minorHAnsi" w:cstheme="minorHAnsi"/>
        </w:rPr>
        <w:t xml:space="preserve">led to significantly </w:t>
      </w:r>
      <w:r w:rsidR="00BE2E7D">
        <w:rPr>
          <w:rFonts w:asciiTheme="minorHAnsi" w:hAnsiTheme="minorHAnsi" w:cstheme="minorHAnsi"/>
        </w:rPr>
        <w:t xml:space="preserve">higher levels of </w:t>
      </w:r>
      <w:r w:rsidR="00932CCA">
        <w:rPr>
          <w:rFonts w:asciiTheme="minorHAnsi" w:hAnsiTheme="minorHAnsi" w:cstheme="minorHAnsi"/>
        </w:rPr>
        <w:t>confidence</w:t>
      </w:r>
      <w:r w:rsidR="00BE2E7D">
        <w:rPr>
          <w:rFonts w:asciiTheme="minorHAnsi" w:hAnsiTheme="minorHAnsi" w:cstheme="minorHAnsi"/>
        </w:rPr>
        <w:t>.</w:t>
      </w:r>
      <w:r w:rsidR="0004073C">
        <w:rPr>
          <w:rFonts w:asciiTheme="minorHAnsi" w:hAnsiTheme="minorHAnsi" w:cstheme="minorHAnsi"/>
        </w:rPr>
        <w:t xml:space="preserve"> T</w:t>
      </w:r>
      <w:r w:rsidRPr="00FB0E0C">
        <w:rPr>
          <w:rFonts w:asciiTheme="minorHAnsi" w:hAnsiTheme="minorHAnsi" w:cstheme="minorHAnsi"/>
        </w:rPr>
        <w:t xml:space="preserve">here are </w:t>
      </w:r>
      <w:r w:rsidR="0089291B">
        <w:rPr>
          <w:rFonts w:asciiTheme="minorHAnsi" w:hAnsiTheme="minorHAnsi" w:cstheme="minorHAnsi"/>
        </w:rPr>
        <w:t xml:space="preserve">also </w:t>
      </w:r>
      <w:r w:rsidRPr="00FB0E0C">
        <w:rPr>
          <w:rFonts w:asciiTheme="minorHAnsi" w:hAnsiTheme="minorHAnsi" w:cstheme="minorHAnsi"/>
        </w:rPr>
        <w:t xml:space="preserve">likely to be difficulties practically </w:t>
      </w:r>
      <w:r w:rsidR="0089291B">
        <w:rPr>
          <w:rFonts w:asciiTheme="minorHAnsi" w:hAnsiTheme="minorHAnsi" w:cstheme="minorHAnsi"/>
        </w:rPr>
        <w:t xml:space="preserve">delineating </w:t>
      </w:r>
      <w:r w:rsidR="00BE2E7D">
        <w:rPr>
          <w:rFonts w:asciiTheme="minorHAnsi" w:hAnsiTheme="minorHAnsi" w:cstheme="minorHAnsi"/>
        </w:rPr>
        <w:t xml:space="preserve">a </w:t>
      </w:r>
      <w:r w:rsidRPr="00FB0E0C">
        <w:rPr>
          <w:rFonts w:asciiTheme="minorHAnsi" w:hAnsiTheme="minorHAnsi" w:cstheme="minorHAnsi"/>
        </w:rPr>
        <w:t>‘life</w:t>
      </w:r>
      <w:r w:rsidR="00A74448">
        <w:rPr>
          <w:rFonts w:asciiTheme="minorHAnsi" w:hAnsiTheme="minorHAnsi" w:cstheme="minorHAnsi"/>
        </w:rPr>
        <w:t>-</w:t>
      </w:r>
      <w:r w:rsidRPr="00FB0E0C">
        <w:rPr>
          <w:rFonts w:asciiTheme="minorHAnsi" w:hAnsiTheme="minorHAnsi" w:cstheme="minorHAnsi"/>
        </w:rPr>
        <w:t>safety’ issue</w:t>
      </w:r>
      <w:r w:rsidR="0089291B">
        <w:rPr>
          <w:rFonts w:asciiTheme="minorHAnsi" w:hAnsiTheme="minorHAnsi" w:cstheme="minorHAnsi"/>
        </w:rPr>
        <w:t xml:space="preserve"> from other topics</w:t>
      </w:r>
      <w:r w:rsidR="0004073C">
        <w:rPr>
          <w:rFonts w:asciiTheme="minorHAnsi" w:hAnsiTheme="minorHAnsi" w:cstheme="minorHAnsi"/>
        </w:rPr>
        <w:t xml:space="preserve">. </w:t>
      </w:r>
      <w:r w:rsidR="00A74448">
        <w:rPr>
          <w:rFonts w:asciiTheme="minorHAnsi" w:hAnsiTheme="minorHAnsi" w:cstheme="minorHAnsi"/>
        </w:rPr>
        <w:t>Negative u</w:t>
      </w:r>
      <w:r w:rsidRPr="00FB0E0C">
        <w:rPr>
          <w:rFonts w:asciiTheme="minorHAnsi" w:hAnsiTheme="minorHAnsi" w:cstheme="minorHAnsi"/>
        </w:rPr>
        <w:t>nintended consequence</w:t>
      </w:r>
      <w:r w:rsidR="0004073C">
        <w:rPr>
          <w:rFonts w:asciiTheme="minorHAnsi" w:hAnsiTheme="minorHAnsi" w:cstheme="minorHAnsi"/>
        </w:rPr>
        <w:t xml:space="preserve">s </w:t>
      </w:r>
      <w:r w:rsidR="00A74448">
        <w:rPr>
          <w:rFonts w:asciiTheme="minorHAnsi" w:hAnsiTheme="minorHAnsi" w:cstheme="minorHAnsi"/>
        </w:rPr>
        <w:t>w</w:t>
      </w:r>
      <w:r w:rsidR="004D5902">
        <w:rPr>
          <w:rFonts w:asciiTheme="minorHAnsi" w:hAnsiTheme="minorHAnsi" w:cstheme="minorHAnsi"/>
        </w:rPr>
        <w:t>ill</w:t>
      </w:r>
      <w:r w:rsidR="00A74448">
        <w:rPr>
          <w:rFonts w:asciiTheme="minorHAnsi" w:hAnsiTheme="minorHAnsi" w:cstheme="minorHAnsi"/>
        </w:rPr>
        <w:t xml:space="preserve"> result </w:t>
      </w:r>
      <w:r w:rsidR="004D5902">
        <w:rPr>
          <w:rFonts w:asciiTheme="minorHAnsi" w:hAnsiTheme="minorHAnsi" w:cstheme="minorHAnsi"/>
        </w:rPr>
        <w:t xml:space="preserve">if there is a reduction in </w:t>
      </w:r>
      <w:r w:rsidRPr="00FB0E0C">
        <w:rPr>
          <w:rFonts w:asciiTheme="minorHAnsi" w:hAnsiTheme="minorHAnsi" w:cstheme="minorHAnsi"/>
        </w:rPr>
        <w:t>current</w:t>
      </w:r>
      <w:r w:rsidR="004D5902">
        <w:rPr>
          <w:rFonts w:asciiTheme="minorHAnsi" w:hAnsiTheme="minorHAnsi" w:cstheme="minorHAnsi"/>
        </w:rPr>
        <w:t>ly</w:t>
      </w:r>
      <w:r w:rsidRPr="00FB0E0C">
        <w:rPr>
          <w:rFonts w:asciiTheme="minorHAnsi" w:hAnsiTheme="minorHAnsi" w:cstheme="minorHAnsi"/>
        </w:rPr>
        <w:t xml:space="preserve"> </w:t>
      </w:r>
      <w:r w:rsidR="0004073C">
        <w:rPr>
          <w:rFonts w:asciiTheme="minorHAnsi" w:hAnsiTheme="minorHAnsi" w:cstheme="minorHAnsi"/>
        </w:rPr>
        <w:t>a</w:t>
      </w:r>
      <w:r w:rsidRPr="00FB0E0C">
        <w:rPr>
          <w:rFonts w:asciiTheme="minorHAnsi" w:hAnsiTheme="minorHAnsi" w:cstheme="minorHAnsi"/>
        </w:rPr>
        <w:t>dequate processes</w:t>
      </w:r>
      <w:r w:rsidR="00A74448">
        <w:rPr>
          <w:rFonts w:asciiTheme="minorHAnsi" w:hAnsiTheme="minorHAnsi" w:cstheme="minorHAnsi"/>
        </w:rPr>
        <w:t xml:space="preserve"> </w:t>
      </w:r>
      <w:r w:rsidR="004D5902">
        <w:rPr>
          <w:rFonts w:asciiTheme="minorHAnsi" w:hAnsiTheme="minorHAnsi" w:cstheme="minorHAnsi"/>
        </w:rPr>
        <w:t>due to</w:t>
      </w:r>
      <w:r w:rsidR="00A74448">
        <w:rPr>
          <w:rFonts w:asciiTheme="minorHAnsi" w:hAnsiTheme="minorHAnsi" w:cstheme="minorHAnsi"/>
        </w:rPr>
        <w:t xml:space="preserve"> </w:t>
      </w:r>
      <w:r w:rsidR="0004073C">
        <w:rPr>
          <w:rFonts w:asciiTheme="minorHAnsi" w:hAnsiTheme="minorHAnsi" w:cstheme="minorHAnsi"/>
        </w:rPr>
        <w:t xml:space="preserve">implying </w:t>
      </w:r>
      <w:r w:rsidR="00BE2E7D">
        <w:rPr>
          <w:rFonts w:asciiTheme="minorHAnsi" w:hAnsiTheme="minorHAnsi" w:cstheme="minorHAnsi"/>
        </w:rPr>
        <w:t>a</w:t>
      </w:r>
      <w:r w:rsidR="00A74448">
        <w:rPr>
          <w:rFonts w:asciiTheme="minorHAnsi" w:hAnsiTheme="minorHAnsi" w:cstheme="minorHAnsi"/>
        </w:rPr>
        <w:t xml:space="preserve"> </w:t>
      </w:r>
      <w:r w:rsidR="0004073C">
        <w:rPr>
          <w:rFonts w:asciiTheme="minorHAnsi" w:hAnsiTheme="minorHAnsi" w:cstheme="minorHAnsi"/>
        </w:rPr>
        <w:t>lesser importance</w:t>
      </w:r>
      <w:r w:rsidR="00A74448" w:rsidRPr="00A74448">
        <w:rPr>
          <w:rFonts w:asciiTheme="minorHAnsi" w:hAnsiTheme="minorHAnsi" w:cstheme="minorHAnsi"/>
        </w:rPr>
        <w:t xml:space="preserve"> </w:t>
      </w:r>
      <w:r w:rsidR="00A74448">
        <w:rPr>
          <w:rFonts w:asciiTheme="minorHAnsi" w:hAnsiTheme="minorHAnsi" w:cstheme="minorHAnsi"/>
        </w:rPr>
        <w:t>for</w:t>
      </w:r>
      <w:r w:rsidR="00A74448" w:rsidRPr="00FB0E0C">
        <w:rPr>
          <w:rFonts w:asciiTheme="minorHAnsi" w:hAnsiTheme="minorHAnsi" w:cstheme="minorHAnsi"/>
        </w:rPr>
        <w:t xml:space="preserve"> areas other than fire and structure</w:t>
      </w:r>
      <w:r w:rsidR="0004073C">
        <w:rPr>
          <w:rFonts w:asciiTheme="minorHAnsi" w:hAnsiTheme="minorHAnsi" w:cstheme="minorHAnsi"/>
        </w:rPr>
        <w:t>.</w:t>
      </w:r>
    </w:p>
    <w:p w:rsidR="007D640B" w:rsidRPr="00FB0E0C" w:rsidRDefault="007D640B" w:rsidP="00BA010D">
      <w:pPr>
        <w:rPr>
          <w:rFonts w:asciiTheme="minorHAnsi" w:hAnsiTheme="minorHAnsi" w:cstheme="minorHAnsi"/>
        </w:rPr>
      </w:pPr>
      <w:r w:rsidRPr="00FB0E0C">
        <w:rPr>
          <w:rFonts w:asciiTheme="minorHAnsi" w:hAnsiTheme="minorHAnsi" w:cstheme="minorHAnsi"/>
        </w:rPr>
        <w:t xml:space="preserve">Stakeholder consultation suggests clarity in roles and expectations, building solutions and outcomes improve the closer the proposed process is observed. The conclusion is, therefore, that Option 2 would be most </w:t>
      </w:r>
      <w:r w:rsidR="00BE2E7D">
        <w:rPr>
          <w:rFonts w:asciiTheme="minorHAnsi" w:hAnsiTheme="minorHAnsi" w:cstheme="minorHAnsi"/>
        </w:rPr>
        <w:t xml:space="preserve">complete and </w:t>
      </w:r>
      <w:r w:rsidRPr="00FB0E0C">
        <w:rPr>
          <w:rFonts w:asciiTheme="minorHAnsi" w:hAnsiTheme="minorHAnsi" w:cstheme="minorHAnsi"/>
        </w:rPr>
        <w:t xml:space="preserve">effective </w:t>
      </w:r>
      <w:r w:rsidR="0089291B">
        <w:rPr>
          <w:rFonts w:asciiTheme="minorHAnsi" w:hAnsiTheme="minorHAnsi" w:cstheme="minorHAnsi"/>
        </w:rPr>
        <w:t xml:space="preserve">in </w:t>
      </w:r>
      <w:r w:rsidRPr="00FB0E0C">
        <w:rPr>
          <w:rFonts w:asciiTheme="minorHAnsi" w:hAnsiTheme="minorHAnsi" w:cstheme="minorHAnsi"/>
        </w:rPr>
        <w:t xml:space="preserve">addressing the problem and </w:t>
      </w:r>
      <w:r w:rsidR="004D5902">
        <w:rPr>
          <w:rFonts w:asciiTheme="minorHAnsi" w:hAnsiTheme="minorHAnsi" w:cstheme="minorHAnsi"/>
        </w:rPr>
        <w:t>would</w:t>
      </w:r>
      <w:r w:rsidRPr="00FB0E0C">
        <w:rPr>
          <w:rFonts w:asciiTheme="minorHAnsi" w:hAnsiTheme="minorHAnsi" w:cstheme="minorHAnsi"/>
        </w:rPr>
        <w:t xml:space="preserve"> deliver </w:t>
      </w:r>
      <w:r w:rsidR="009C7357">
        <w:rPr>
          <w:rFonts w:asciiTheme="minorHAnsi" w:hAnsiTheme="minorHAnsi" w:cstheme="minorHAnsi"/>
        </w:rPr>
        <w:t xml:space="preserve">the </w:t>
      </w:r>
      <w:r w:rsidRPr="00FB0E0C">
        <w:rPr>
          <w:rFonts w:asciiTheme="minorHAnsi" w:hAnsiTheme="minorHAnsi" w:cstheme="minorHAnsi"/>
        </w:rPr>
        <w:t>highest (qualitative) benefits.</w:t>
      </w:r>
      <w:r w:rsidR="009C7357">
        <w:rPr>
          <w:rFonts w:asciiTheme="minorHAnsi" w:hAnsiTheme="minorHAnsi" w:cstheme="minorHAnsi"/>
        </w:rPr>
        <w:t xml:space="preserve"> Option 2 is the recommended option </w:t>
      </w:r>
      <w:r w:rsidR="000962EF">
        <w:rPr>
          <w:rFonts w:asciiTheme="minorHAnsi" w:hAnsiTheme="minorHAnsi" w:cstheme="minorHAnsi"/>
        </w:rPr>
        <w:t>of</w:t>
      </w:r>
      <w:r w:rsidR="009C7357">
        <w:rPr>
          <w:rFonts w:asciiTheme="minorHAnsi" w:hAnsiTheme="minorHAnsi" w:cstheme="minorHAnsi"/>
        </w:rPr>
        <w:t xml:space="preserve"> this </w:t>
      </w:r>
      <w:r w:rsidR="00F56855">
        <w:rPr>
          <w:rFonts w:asciiTheme="minorHAnsi" w:hAnsiTheme="minorHAnsi" w:cstheme="minorHAnsi"/>
        </w:rPr>
        <w:t>Decision</w:t>
      </w:r>
      <w:r w:rsidR="00C03293">
        <w:rPr>
          <w:rFonts w:asciiTheme="minorHAnsi" w:hAnsiTheme="minorHAnsi" w:cstheme="minorHAnsi"/>
        </w:rPr>
        <w:t xml:space="preserve"> </w:t>
      </w:r>
      <w:r w:rsidR="009C7357">
        <w:rPr>
          <w:rFonts w:asciiTheme="minorHAnsi" w:hAnsiTheme="minorHAnsi" w:cstheme="minorHAnsi"/>
        </w:rPr>
        <w:t xml:space="preserve">RIS.  </w:t>
      </w:r>
    </w:p>
    <w:p w:rsidR="004D132B" w:rsidRDefault="004D132B" w:rsidP="00FF692F">
      <w:pPr>
        <w:pStyle w:val="Heading1"/>
        <w:spacing w:after="120"/>
      </w:pPr>
      <w:r>
        <w:t>Implementation</w:t>
      </w:r>
    </w:p>
    <w:p w:rsidR="004D132B" w:rsidRPr="004D132B" w:rsidRDefault="004D132B" w:rsidP="00AE22E1">
      <w:pPr>
        <w:spacing w:before="0"/>
      </w:pPr>
      <w:r>
        <w:t xml:space="preserve">If decision makers support </w:t>
      </w:r>
      <w:r w:rsidR="00A45AD3">
        <w:t>changes to the NCC</w:t>
      </w:r>
      <w:r>
        <w:t>,</w:t>
      </w:r>
      <w:r w:rsidR="000860BE">
        <w:t xml:space="preserve"> the</w:t>
      </w:r>
      <w:r>
        <w:t xml:space="preserve"> provisions outlined in </w:t>
      </w:r>
      <w:r w:rsidR="00E77F99">
        <w:t>Attachment</w:t>
      </w:r>
      <w:r w:rsidR="004D5902">
        <w:t> </w:t>
      </w:r>
      <w:r>
        <w:t xml:space="preserve">A will </w:t>
      </w:r>
      <w:r w:rsidR="00C41794">
        <w:t>form part of</w:t>
      </w:r>
      <w:r w:rsidR="00A45AD3">
        <w:t xml:space="preserve"> Amendment 1 of NCC 2019</w:t>
      </w:r>
      <w:r w:rsidR="00BE2E7D">
        <w:t xml:space="preserve">. </w:t>
      </w:r>
      <w:r w:rsidR="00BE2E7D">
        <w:rPr>
          <w:rFonts w:asciiTheme="minorHAnsi" w:hAnsiTheme="minorHAnsi" w:cstheme="minorHAnsi"/>
        </w:rPr>
        <w:t>Two</w:t>
      </w:r>
      <w:r w:rsidR="004D5902">
        <w:rPr>
          <w:rFonts w:asciiTheme="minorHAnsi" w:hAnsiTheme="minorHAnsi" w:cstheme="minorHAnsi"/>
        </w:rPr>
        <w:t>-</w:t>
      </w:r>
      <w:r w:rsidR="00BE2E7D">
        <w:rPr>
          <w:rFonts w:asciiTheme="minorHAnsi" w:hAnsiTheme="minorHAnsi" w:cstheme="minorHAnsi"/>
        </w:rPr>
        <w:t>thirds of</w:t>
      </w:r>
      <w:r w:rsidR="00BE2E7D">
        <w:t xml:space="preserve"> responses to the Consultation RIS suggest</w:t>
      </w:r>
      <w:r w:rsidR="004D5902">
        <w:t>ed</w:t>
      </w:r>
      <w:r w:rsidR="00A45AD3">
        <w:t xml:space="preserve"> </w:t>
      </w:r>
      <w:r w:rsidR="00BE2E7D">
        <w:t xml:space="preserve">a </w:t>
      </w:r>
      <w:r w:rsidR="00A45AD3">
        <w:t>transitional</w:t>
      </w:r>
      <w:r w:rsidR="00BE2E7D">
        <w:t xml:space="preserve"> period would be appropriate</w:t>
      </w:r>
      <w:r w:rsidR="00A45AD3">
        <w:t xml:space="preserve">. </w:t>
      </w:r>
    </w:p>
    <w:p w:rsidR="00706A56" w:rsidRDefault="00BE2E7D" w:rsidP="00AE22E1">
      <w:pPr>
        <w:spacing w:before="0"/>
        <w:rPr>
          <w:rFonts w:asciiTheme="minorHAnsi" w:hAnsiTheme="minorHAnsi" w:cstheme="minorHAnsi"/>
        </w:rPr>
      </w:pPr>
      <w:r>
        <w:rPr>
          <w:rFonts w:asciiTheme="minorHAnsi" w:hAnsiTheme="minorHAnsi" w:cstheme="minorHAnsi"/>
        </w:rPr>
        <w:t>There was a mixed response from stakeholders</w:t>
      </w:r>
      <w:r w:rsidR="005220BC">
        <w:rPr>
          <w:rFonts w:asciiTheme="minorHAnsi" w:hAnsiTheme="minorHAnsi" w:cstheme="minorHAnsi"/>
        </w:rPr>
        <w:t xml:space="preserve"> on the length of the transition,</w:t>
      </w:r>
      <w:r>
        <w:rPr>
          <w:rFonts w:asciiTheme="minorHAnsi" w:hAnsiTheme="minorHAnsi" w:cstheme="minorHAnsi"/>
        </w:rPr>
        <w:t xml:space="preserve"> s</w:t>
      </w:r>
      <w:r w:rsidR="00EA1DCE">
        <w:rPr>
          <w:rFonts w:asciiTheme="minorHAnsi" w:hAnsiTheme="minorHAnsi" w:cstheme="minorHAnsi"/>
        </w:rPr>
        <w:t xml:space="preserve">ome </w:t>
      </w:r>
      <w:r w:rsidR="00732BCC" w:rsidRPr="009A5284">
        <w:rPr>
          <w:rFonts w:asciiTheme="minorHAnsi" w:hAnsiTheme="minorHAnsi" w:cstheme="minorHAnsi"/>
        </w:rPr>
        <w:t xml:space="preserve">felt that the problem required </w:t>
      </w:r>
      <w:r>
        <w:rPr>
          <w:rFonts w:asciiTheme="minorHAnsi" w:hAnsiTheme="minorHAnsi" w:cstheme="minorHAnsi"/>
        </w:rPr>
        <w:t>immediate rectification</w:t>
      </w:r>
      <w:r w:rsidR="00706A56">
        <w:rPr>
          <w:rFonts w:asciiTheme="minorHAnsi" w:hAnsiTheme="minorHAnsi" w:cstheme="minorHAnsi"/>
        </w:rPr>
        <w:t xml:space="preserve"> </w:t>
      </w:r>
      <w:r w:rsidR="00EA1DCE">
        <w:rPr>
          <w:rFonts w:asciiTheme="minorHAnsi" w:hAnsiTheme="minorHAnsi" w:cstheme="minorHAnsi"/>
        </w:rPr>
        <w:t xml:space="preserve">while others felt it should </w:t>
      </w:r>
      <w:r w:rsidR="00706A56">
        <w:rPr>
          <w:rFonts w:asciiTheme="minorHAnsi" w:hAnsiTheme="minorHAnsi" w:cstheme="minorHAnsi"/>
        </w:rPr>
        <w:t>be timed to align with other changes to the NCC</w:t>
      </w:r>
      <w:r w:rsidR="00732BCC" w:rsidRPr="009A5284">
        <w:rPr>
          <w:rFonts w:asciiTheme="minorHAnsi" w:hAnsiTheme="minorHAnsi" w:cstheme="minorHAnsi"/>
        </w:rPr>
        <w:t>.</w:t>
      </w:r>
      <w:r w:rsidR="002811E4">
        <w:rPr>
          <w:rFonts w:asciiTheme="minorHAnsi" w:hAnsiTheme="minorHAnsi" w:cstheme="minorHAnsi"/>
        </w:rPr>
        <w:t xml:space="preserve"> One r</w:t>
      </w:r>
      <w:r w:rsidR="0041563D">
        <w:rPr>
          <w:rFonts w:asciiTheme="minorHAnsi" w:hAnsiTheme="minorHAnsi" w:cstheme="minorHAnsi"/>
        </w:rPr>
        <w:t>espon</w:t>
      </w:r>
      <w:r w:rsidR="004D5902">
        <w:rPr>
          <w:rFonts w:asciiTheme="minorHAnsi" w:hAnsiTheme="minorHAnsi" w:cstheme="minorHAnsi"/>
        </w:rPr>
        <w:t>dent</w:t>
      </w:r>
      <w:r w:rsidR="005220BC">
        <w:rPr>
          <w:rFonts w:asciiTheme="minorHAnsi" w:hAnsiTheme="minorHAnsi" w:cstheme="minorHAnsi"/>
        </w:rPr>
        <w:t xml:space="preserve"> </w:t>
      </w:r>
      <w:r w:rsidR="004D5902">
        <w:rPr>
          <w:rFonts w:asciiTheme="minorHAnsi" w:hAnsiTheme="minorHAnsi" w:cstheme="minorHAnsi"/>
        </w:rPr>
        <w:t>suggested</w:t>
      </w:r>
      <w:r w:rsidR="002811E4">
        <w:rPr>
          <w:rFonts w:asciiTheme="minorHAnsi" w:hAnsiTheme="minorHAnsi" w:cstheme="minorHAnsi"/>
        </w:rPr>
        <w:t xml:space="preserve"> staged adoption,</w:t>
      </w:r>
      <w:r w:rsidR="004D5902">
        <w:rPr>
          <w:rFonts w:asciiTheme="minorHAnsi" w:hAnsiTheme="minorHAnsi" w:cstheme="minorHAnsi"/>
        </w:rPr>
        <w:t xml:space="preserve"> i.e.</w:t>
      </w:r>
      <w:r w:rsidR="002811E4">
        <w:rPr>
          <w:rFonts w:asciiTheme="minorHAnsi" w:hAnsiTheme="minorHAnsi" w:cstheme="minorHAnsi"/>
        </w:rPr>
        <w:t xml:space="preserve"> Option 3 for Amendment 1 to NCC 2019 and Option 2 in 2022.</w:t>
      </w:r>
    </w:p>
    <w:p w:rsidR="00AE22E1" w:rsidRDefault="00706A56">
      <w:pPr>
        <w:rPr>
          <w:rFonts w:asciiTheme="minorHAnsi" w:hAnsiTheme="minorHAnsi" w:cstheme="minorHAnsi"/>
        </w:rPr>
      </w:pPr>
      <w:r>
        <w:rPr>
          <w:rFonts w:asciiTheme="minorHAnsi" w:hAnsiTheme="minorHAnsi" w:cstheme="minorHAnsi"/>
        </w:rPr>
        <w:t xml:space="preserve">The final analysis </w:t>
      </w:r>
      <w:r w:rsidR="002811E4">
        <w:rPr>
          <w:rFonts w:asciiTheme="minorHAnsi" w:hAnsiTheme="minorHAnsi" w:cstheme="minorHAnsi"/>
        </w:rPr>
        <w:t xml:space="preserve">is unable to analyse the </w:t>
      </w:r>
      <w:r w:rsidR="0041563D">
        <w:rPr>
          <w:rFonts w:asciiTheme="minorHAnsi" w:hAnsiTheme="minorHAnsi" w:cstheme="minorHAnsi"/>
        </w:rPr>
        <w:t>impact</w:t>
      </w:r>
      <w:r w:rsidR="00C41794">
        <w:rPr>
          <w:rFonts w:asciiTheme="minorHAnsi" w:hAnsiTheme="minorHAnsi" w:cstheme="minorHAnsi"/>
        </w:rPr>
        <w:t>s</w:t>
      </w:r>
      <w:r w:rsidR="0041563D">
        <w:rPr>
          <w:rFonts w:asciiTheme="minorHAnsi" w:hAnsiTheme="minorHAnsi" w:cstheme="minorHAnsi"/>
        </w:rPr>
        <w:t xml:space="preserve"> of such a delay</w:t>
      </w:r>
      <w:r w:rsidR="002811E4">
        <w:rPr>
          <w:rFonts w:asciiTheme="minorHAnsi" w:hAnsiTheme="minorHAnsi" w:cstheme="minorHAnsi"/>
        </w:rPr>
        <w:t xml:space="preserve"> due to the coarseness of </w:t>
      </w:r>
      <w:r w:rsidR="00C41794">
        <w:rPr>
          <w:rFonts w:asciiTheme="minorHAnsi" w:hAnsiTheme="minorHAnsi" w:cstheme="minorHAnsi"/>
        </w:rPr>
        <w:t xml:space="preserve">data and </w:t>
      </w:r>
      <w:r w:rsidR="002811E4">
        <w:rPr>
          <w:rFonts w:asciiTheme="minorHAnsi" w:hAnsiTheme="minorHAnsi" w:cstheme="minorHAnsi"/>
        </w:rPr>
        <w:t>assumptions.</w:t>
      </w:r>
      <w:r w:rsidR="008D1E76">
        <w:rPr>
          <w:rFonts w:asciiTheme="minorHAnsi" w:hAnsiTheme="minorHAnsi" w:cstheme="minorHAnsi"/>
        </w:rPr>
        <w:t xml:space="preserve"> Q</w:t>
      </w:r>
      <w:r w:rsidR="0041563D">
        <w:rPr>
          <w:rFonts w:asciiTheme="minorHAnsi" w:hAnsiTheme="minorHAnsi" w:cstheme="minorHAnsi"/>
        </w:rPr>
        <w:t>ualitatively</w:t>
      </w:r>
      <w:r w:rsidR="0054381F">
        <w:rPr>
          <w:rFonts w:asciiTheme="minorHAnsi" w:hAnsiTheme="minorHAnsi" w:cstheme="minorHAnsi"/>
        </w:rPr>
        <w:t>,</w:t>
      </w:r>
      <w:r w:rsidR="0041563D">
        <w:rPr>
          <w:rFonts w:asciiTheme="minorHAnsi" w:hAnsiTheme="minorHAnsi" w:cstheme="minorHAnsi"/>
        </w:rPr>
        <w:t xml:space="preserve"> </w:t>
      </w:r>
      <w:r w:rsidR="002811E4">
        <w:rPr>
          <w:rFonts w:asciiTheme="minorHAnsi" w:hAnsiTheme="minorHAnsi" w:cstheme="minorHAnsi"/>
        </w:rPr>
        <w:t xml:space="preserve">it supports the view </w:t>
      </w:r>
      <w:r w:rsidR="008D1E76">
        <w:rPr>
          <w:rFonts w:asciiTheme="minorHAnsi" w:hAnsiTheme="minorHAnsi" w:cstheme="minorHAnsi"/>
        </w:rPr>
        <w:t xml:space="preserve">of the majority </w:t>
      </w:r>
      <w:r w:rsidR="008D1E76">
        <w:rPr>
          <w:rFonts w:asciiTheme="minorHAnsi" w:hAnsiTheme="minorHAnsi" w:cstheme="minorHAnsi"/>
        </w:rPr>
        <w:lastRenderedPageBreak/>
        <w:t xml:space="preserve">of </w:t>
      </w:r>
      <w:r w:rsidR="00C41794">
        <w:rPr>
          <w:rFonts w:asciiTheme="minorHAnsi" w:hAnsiTheme="minorHAnsi" w:cstheme="minorHAnsi"/>
        </w:rPr>
        <w:t>stakeholders</w:t>
      </w:r>
      <w:r w:rsidR="008D1E76">
        <w:rPr>
          <w:rFonts w:asciiTheme="minorHAnsi" w:hAnsiTheme="minorHAnsi" w:cstheme="minorHAnsi"/>
        </w:rPr>
        <w:t xml:space="preserve"> </w:t>
      </w:r>
      <w:r w:rsidR="002811E4">
        <w:rPr>
          <w:rFonts w:asciiTheme="minorHAnsi" w:hAnsiTheme="minorHAnsi" w:cstheme="minorHAnsi"/>
        </w:rPr>
        <w:t xml:space="preserve">that </w:t>
      </w:r>
      <w:r w:rsidR="008D1E76">
        <w:rPr>
          <w:rFonts w:asciiTheme="minorHAnsi" w:hAnsiTheme="minorHAnsi" w:cstheme="minorHAnsi"/>
        </w:rPr>
        <w:t xml:space="preserve">it would be desirable to allow </w:t>
      </w:r>
      <w:r w:rsidR="005D0F78">
        <w:rPr>
          <w:rFonts w:asciiTheme="minorHAnsi" w:hAnsiTheme="minorHAnsi" w:cstheme="minorHAnsi"/>
        </w:rPr>
        <w:t xml:space="preserve">further education and </w:t>
      </w:r>
      <w:r w:rsidR="00C41794">
        <w:rPr>
          <w:rFonts w:asciiTheme="minorHAnsi" w:hAnsiTheme="minorHAnsi" w:cstheme="minorHAnsi"/>
        </w:rPr>
        <w:t xml:space="preserve">promotion </w:t>
      </w:r>
      <w:r w:rsidR="005D0F78">
        <w:rPr>
          <w:rFonts w:asciiTheme="minorHAnsi" w:hAnsiTheme="minorHAnsi" w:cstheme="minorHAnsi"/>
        </w:rPr>
        <w:t>of</w:t>
      </w:r>
      <w:r w:rsidR="00C41794">
        <w:rPr>
          <w:rFonts w:asciiTheme="minorHAnsi" w:hAnsiTheme="minorHAnsi" w:cstheme="minorHAnsi"/>
        </w:rPr>
        <w:t xml:space="preserve"> guidance to be progressed</w:t>
      </w:r>
      <w:r w:rsidR="005D0F78">
        <w:rPr>
          <w:rFonts w:asciiTheme="minorHAnsi" w:hAnsiTheme="minorHAnsi" w:cstheme="minorHAnsi"/>
        </w:rPr>
        <w:t xml:space="preserve">. </w:t>
      </w:r>
    </w:p>
    <w:p w:rsidR="001C377A" w:rsidRDefault="005D0F78">
      <w:pPr>
        <w:rPr>
          <w:rFonts w:asciiTheme="minorHAnsi" w:hAnsiTheme="minorHAnsi" w:cstheme="minorHAnsi"/>
        </w:rPr>
      </w:pPr>
      <w:r>
        <w:rPr>
          <w:rFonts w:asciiTheme="minorHAnsi" w:hAnsiTheme="minorHAnsi" w:cstheme="minorHAnsi"/>
        </w:rPr>
        <w:t xml:space="preserve">This would address the scaling of the process, and its application to other topics, noting to date </w:t>
      </w:r>
      <w:r w:rsidR="00C41794">
        <w:rPr>
          <w:rFonts w:asciiTheme="minorHAnsi" w:hAnsiTheme="minorHAnsi" w:cstheme="minorHAnsi"/>
        </w:rPr>
        <w:t>f</w:t>
      </w:r>
      <w:r w:rsidR="002811E4">
        <w:rPr>
          <w:rFonts w:asciiTheme="minorHAnsi" w:hAnsiTheme="minorHAnsi" w:cstheme="minorHAnsi"/>
        </w:rPr>
        <w:t>ire safety</w:t>
      </w:r>
      <w:r w:rsidR="008D1E76">
        <w:rPr>
          <w:rFonts w:asciiTheme="minorHAnsi" w:hAnsiTheme="minorHAnsi" w:cstheme="minorHAnsi"/>
        </w:rPr>
        <w:t xml:space="preserve"> </w:t>
      </w:r>
      <w:r>
        <w:rPr>
          <w:rFonts w:asciiTheme="minorHAnsi" w:hAnsiTheme="minorHAnsi" w:cstheme="minorHAnsi"/>
        </w:rPr>
        <w:t>has been</w:t>
      </w:r>
      <w:r w:rsidR="00C41794">
        <w:rPr>
          <w:rFonts w:asciiTheme="minorHAnsi" w:hAnsiTheme="minorHAnsi" w:cstheme="minorHAnsi"/>
        </w:rPr>
        <w:t xml:space="preserve"> well supported </w:t>
      </w:r>
      <w:r>
        <w:rPr>
          <w:rFonts w:asciiTheme="minorHAnsi" w:hAnsiTheme="minorHAnsi" w:cstheme="minorHAnsi"/>
        </w:rPr>
        <w:t>yet for o</w:t>
      </w:r>
      <w:r w:rsidR="008D1E76">
        <w:rPr>
          <w:rFonts w:asciiTheme="minorHAnsi" w:hAnsiTheme="minorHAnsi" w:cstheme="minorHAnsi"/>
        </w:rPr>
        <w:t>ther topics</w:t>
      </w:r>
      <w:r w:rsidR="00C41794">
        <w:rPr>
          <w:rFonts w:asciiTheme="minorHAnsi" w:hAnsiTheme="minorHAnsi" w:cstheme="minorHAnsi"/>
        </w:rPr>
        <w:t>,</w:t>
      </w:r>
      <w:r w:rsidR="008D1E76">
        <w:rPr>
          <w:rFonts w:asciiTheme="minorHAnsi" w:hAnsiTheme="minorHAnsi" w:cstheme="minorHAnsi"/>
        </w:rPr>
        <w:t xml:space="preserve"> including structural solutions</w:t>
      </w:r>
      <w:r>
        <w:rPr>
          <w:rFonts w:asciiTheme="minorHAnsi" w:hAnsiTheme="minorHAnsi" w:cstheme="minorHAnsi"/>
        </w:rPr>
        <w:t xml:space="preserve">, </w:t>
      </w:r>
      <w:r w:rsidR="00C41794">
        <w:rPr>
          <w:rFonts w:asciiTheme="minorHAnsi" w:hAnsiTheme="minorHAnsi" w:cstheme="minorHAnsi"/>
        </w:rPr>
        <w:t xml:space="preserve">appear </w:t>
      </w:r>
      <w:r w:rsidR="0075383A">
        <w:rPr>
          <w:rFonts w:asciiTheme="minorHAnsi" w:hAnsiTheme="minorHAnsi" w:cstheme="minorHAnsi"/>
        </w:rPr>
        <w:t>not as well understood</w:t>
      </w:r>
      <w:r w:rsidR="0021612F">
        <w:rPr>
          <w:rFonts w:asciiTheme="minorHAnsi" w:hAnsiTheme="minorHAnsi" w:cstheme="minorHAnsi"/>
        </w:rPr>
        <w:t xml:space="preserve">. </w:t>
      </w:r>
      <w:r w:rsidR="00C41794">
        <w:rPr>
          <w:rFonts w:asciiTheme="minorHAnsi" w:hAnsiTheme="minorHAnsi" w:cstheme="minorHAnsi"/>
        </w:rPr>
        <w:t xml:space="preserve">A </w:t>
      </w:r>
      <w:r w:rsidR="00706A56">
        <w:rPr>
          <w:rFonts w:asciiTheme="minorHAnsi" w:hAnsiTheme="minorHAnsi" w:cstheme="minorHAnsi"/>
        </w:rPr>
        <w:t xml:space="preserve">transitional period </w:t>
      </w:r>
      <w:r w:rsidR="00C41794">
        <w:rPr>
          <w:rFonts w:asciiTheme="minorHAnsi" w:hAnsiTheme="minorHAnsi" w:cstheme="minorHAnsi"/>
        </w:rPr>
        <w:t xml:space="preserve">of no longer than 12 months </w:t>
      </w:r>
      <w:r w:rsidR="00BE2E7D">
        <w:t xml:space="preserve">like that which would typically occur for in some </w:t>
      </w:r>
      <w:r w:rsidR="004D5902">
        <w:t>s</w:t>
      </w:r>
      <w:r w:rsidR="00BE2E7D">
        <w:t xml:space="preserve">tates and </w:t>
      </w:r>
      <w:r w:rsidR="004D5902">
        <w:t>t</w:t>
      </w:r>
      <w:r w:rsidR="00BE2E7D">
        <w:t>erritories</w:t>
      </w:r>
      <w:r w:rsidR="00BE2E7D">
        <w:rPr>
          <w:rFonts w:asciiTheme="minorHAnsi" w:hAnsiTheme="minorHAnsi" w:cstheme="minorHAnsi"/>
        </w:rPr>
        <w:t xml:space="preserve"> </w:t>
      </w:r>
      <w:r w:rsidR="0041563D">
        <w:rPr>
          <w:rFonts w:asciiTheme="minorHAnsi" w:hAnsiTheme="minorHAnsi" w:cstheme="minorHAnsi"/>
        </w:rPr>
        <w:t>is</w:t>
      </w:r>
      <w:r w:rsidR="00706A56">
        <w:rPr>
          <w:rFonts w:asciiTheme="minorHAnsi" w:hAnsiTheme="minorHAnsi" w:cstheme="minorHAnsi"/>
        </w:rPr>
        <w:t xml:space="preserve"> recommend</w:t>
      </w:r>
      <w:r w:rsidR="0041563D">
        <w:rPr>
          <w:rFonts w:asciiTheme="minorHAnsi" w:hAnsiTheme="minorHAnsi" w:cstheme="minorHAnsi"/>
        </w:rPr>
        <w:t>ed</w:t>
      </w:r>
      <w:r w:rsidR="0075383A" w:rsidRPr="0075383A">
        <w:rPr>
          <w:rFonts w:asciiTheme="minorHAnsi" w:hAnsiTheme="minorHAnsi" w:cstheme="minorHAnsi"/>
        </w:rPr>
        <w:t xml:space="preserve"> </w:t>
      </w:r>
      <w:r w:rsidR="0075383A">
        <w:rPr>
          <w:rFonts w:asciiTheme="minorHAnsi" w:hAnsiTheme="minorHAnsi" w:cstheme="minorHAnsi"/>
        </w:rPr>
        <w:t>to allow further communication and guidance material to be develop</w:t>
      </w:r>
      <w:r w:rsidR="00BE2E7D">
        <w:t>e</w:t>
      </w:r>
      <w:r w:rsidR="0075383A">
        <w:rPr>
          <w:rFonts w:asciiTheme="minorHAnsi" w:hAnsiTheme="minorHAnsi" w:cstheme="minorHAnsi"/>
        </w:rPr>
        <w:t>d</w:t>
      </w:r>
      <w:r w:rsidR="0089291B">
        <w:rPr>
          <w:rFonts w:asciiTheme="minorHAnsi" w:hAnsiTheme="minorHAnsi" w:cstheme="minorHAnsi"/>
        </w:rPr>
        <w:t>.</w:t>
      </w:r>
      <w:r w:rsidR="00706A56">
        <w:rPr>
          <w:rFonts w:asciiTheme="minorHAnsi" w:hAnsiTheme="minorHAnsi" w:cstheme="minorHAnsi"/>
        </w:rPr>
        <w:t xml:space="preserve"> </w:t>
      </w:r>
      <w:r w:rsidR="00732BCC" w:rsidRPr="009A5284">
        <w:rPr>
          <w:rFonts w:asciiTheme="minorHAnsi" w:hAnsiTheme="minorHAnsi" w:cstheme="minorHAnsi"/>
        </w:rPr>
        <w:t xml:space="preserve"> </w:t>
      </w:r>
    </w:p>
    <w:p w:rsidR="001C377A" w:rsidRDefault="001C377A">
      <w:pPr>
        <w:spacing w:before="0" w:after="200" w:line="276" w:lineRule="auto"/>
        <w:jc w:val="left"/>
        <w:rPr>
          <w:rFonts w:asciiTheme="minorHAnsi" w:hAnsiTheme="minorHAnsi" w:cstheme="minorHAnsi"/>
        </w:rPr>
      </w:pPr>
      <w:r>
        <w:rPr>
          <w:rFonts w:asciiTheme="minorHAnsi" w:hAnsiTheme="minorHAnsi" w:cstheme="minorHAnsi"/>
        </w:rPr>
        <w:br w:type="page"/>
      </w:r>
    </w:p>
    <w:p w:rsidR="007D640B" w:rsidRPr="00FB0E0C" w:rsidRDefault="007D640B">
      <w:pPr>
        <w:rPr>
          <w:rFonts w:asciiTheme="minorHAnsi" w:hAnsiTheme="minorHAnsi" w:cstheme="minorHAnsi"/>
          <w:highlight w:val="yellow"/>
        </w:rPr>
      </w:pPr>
    </w:p>
    <w:p w:rsidR="007D640B" w:rsidRPr="00B141DF" w:rsidRDefault="007D640B" w:rsidP="00AE3C78">
      <w:pPr>
        <w:pStyle w:val="Heading1"/>
      </w:pPr>
      <w:bookmarkStart w:id="101" w:name="_Toc33098904"/>
      <w:r w:rsidRPr="00AE3C78">
        <w:t>Attachment A</w:t>
      </w:r>
      <w:bookmarkEnd w:id="101"/>
      <w:r w:rsidRPr="00AE3C78">
        <w:t xml:space="preserve"> </w:t>
      </w:r>
    </w:p>
    <w:p w:rsidR="007D640B" w:rsidRPr="006A4522" w:rsidRDefault="007D640B" w:rsidP="005E1DCB">
      <w:pPr>
        <w:pStyle w:val="Heading2"/>
      </w:pPr>
      <w:bookmarkStart w:id="102" w:name="_bookmark20"/>
      <w:bookmarkStart w:id="103" w:name="_bookmark19"/>
      <w:bookmarkStart w:id="104" w:name="_bookmark18"/>
      <w:bookmarkStart w:id="105" w:name="_bookmark17"/>
      <w:bookmarkStart w:id="106" w:name="_bookmark16"/>
      <w:bookmarkStart w:id="107" w:name="_bookmark15"/>
      <w:bookmarkStart w:id="108" w:name="Part_A2___Compliance_with_the_NCC_"/>
      <w:bookmarkStart w:id="109" w:name="A2.0_Compliance"/>
      <w:bookmarkStart w:id="110" w:name="A2.1_Compliance_with_the_Performance_Req"/>
      <w:bookmarkStart w:id="111" w:name="A2.2_Performance_Solution"/>
      <w:bookmarkStart w:id="112" w:name="_bookmark14"/>
      <w:bookmarkStart w:id="113" w:name="_Toc33098446"/>
      <w:bookmarkStart w:id="114" w:name="_Toc33098905"/>
      <w:bookmarkStart w:id="115" w:name="_Toc32229049"/>
      <w:bookmarkEnd w:id="102"/>
      <w:bookmarkEnd w:id="103"/>
      <w:bookmarkEnd w:id="104"/>
      <w:bookmarkEnd w:id="105"/>
      <w:bookmarkEnd w:id="106"/>
      <w:bookmarkEnd w:id="107"/>
      <w:bookmarkEnd w:id="108"/>
      <w:bookmarkEnd w:id="109"/>
      <w:bookmarkEnd w:id="110"/>
      <w:bookmarkEnd w:id="111"/>
      <w:bookmarkEnd w:id="112"/>
      <w:r w:rsidRPr="006A4522">
        <w:t>Part A2</w:t>
      </w:r>
      <w:r w:rsidRPr="006A4522">
        <w:tab/>
        <w:t>Compliance with the NCC</w:t>
      </w:r>
      <w:bookmarkEnd w:id="113"/>
      <w:bookmarkEnd w:id="114"/>
    </w:p>
    <w:p w:rsidR="007D640B" w:rsidRDefault="007D640B" w:rsidP="00DF6C31">
      <w:pPr>
        <w:tabs>
          <w:tab w:val="left" w:pos="10065"/>
        </w:tabs>
        <w:ind w:left="585" w:right="845"/>
        <w:rPr>
          <w:b/>
        </w:rPr>
      </w:pPr>
      <w:r>
        <w:rPr>
          <w:b/>
          <w:color w:val="262526"/>
        </w:rPr>
        <w:t>A2.2 Performance Solution</w:t>
      </w:r>
    </w:p>
    <w:p w:rsidR="007D640B" w:rsidRDefault="007D640B" w:rsidP="00FF3BDF">
      <w:pPr>
        <w:pStyle w:val="ListParagraph"/>
        <w:widowControl w:val="0"/>
        <w:numPr>
          <w:ilvl w:val="0"/>
          <w:numId w:val="10"/>
        </w:numPr>
        <w:tabs>
          <w:tab w:val="left" w:pos="1079"/>
          <w:tab w:val="left" w:pos="1080"/>
          <w:tab w:val="left" w:pos="10065"/>
        </w:tabs>
        <w:autoSpaceDE w:val="0"/>
        <w:autoSpaceDN w:val="0"/>
        <w:spacing w:before="140" w:after="0" w:line="240" w:lineRule="auto"/>
        <w:ind w:right="845"/>
        <w:contextualSpacing w:val="0"/>
        <w:rPr>
          <w:sz w:val="20"/>
        </w:rPr>
      </w:pPr>
      <w:r>
        <w:rPr>
          <w:color w:val="262526"/>
          <w:sz w:val="20"/>
        </w:rPr>
        <w:t xml:space="preserve">A </w:t>
      </w:r>
      <w:hyperlink w:anchor="_bookmark3607" w:history="1">
        <w:r>
          <w:rPr>
            <w:i/>
            <w:color w:val="0000FF"/>
            <w:sz w:val="20"/>
          </w:rPr>
          <w:t xml:space="preserve">Performance Solution </w:t>
        </w:r>
      </w:hyperlink>
      <w:r>
        <w:rPr>
          <w:color w:val="262526"/>
          <w:sz w:val="20"/>
        </w:rPr>
        <w:t>is achieved by</w:t>
      </w:r>
      <w:r>
        <w:rPr>
          <w:color w:val="262526"/>
          <w:spacing w:val="-18"/>
          <w:sz w:val="20"/>
        </w:rPr>
        <w:t xml:space="preserve"> </w:t>
      </w:r>
      <w:r>
        <w:rPr>
          <w:color w:val="262526"/>
          <w:sz w:val="20"/>
        </w:rPr>
        <w:t>demonstrating—</w:t>
      </w:r>
    </w:p>
    <w:p w:rsidR="007D640B" w:rsidRDefault="007D640B" w:rsidP="00FF3BDF">
      <w:pPr>
        <w:pStyle w:val="ListParagraph"/>
        <w:widowControl w:val="0"/>
        <w:numPr>
          <w:ilvl w:val="1"/>
          <w:numId w:val="10"/>
        </w:numPr>
        <w:tabs>
          <w:tab w:val="left" w:pos="1511"/>
          <w:tab w:val="left" w:pos="1512"/>
          <w:tab w:val="left" w:pos="10065"/>
        </w:tabs>
        <w:autoSpaceDE w:val="0"/>
        <w:autoSpaceDN w:val="0"/>
        <w:spacing w:before="130" w:after="0" w:line="240" w:lineRule="auto"/>
        <w:ind w:right="845"/>
        <w:contextualSpacing w:val="0"/>
        <w:rPr>
          <w:sz w:val="20"/>
        </w:rPr>
      </w:pPr>
      <w:r>
        <w:rPr>
          <w:color w:val="262526"/>
          <w:sz w:val="20"/>
        </w:rPr>
        <w:t xml:space="preserve">compliance with all relevant </w:t>
      </w:r>
      <w:hyperlink w:anchor="_bookmark3609" w:history="1">
        <w:r>
          <w:rPr>
            <w:i/>
            <w:color w:val="0000FF"/>
            <w:sz w:val="20"/>
          </w:rPr>
          <w:t>Performance Requirements</w:t>
        </w:r>
      </w:hyperlink>
      <w:r>
        <w:rPr>
          <w:color w:val="262526"/>
          <w:sz w:val="20"/>
        </w:rPr>
        <w:t>;</w:t>
      </w:r>
      <w:r>
        <w:rPr>
          <w:color w:val="262526"/>
          <w:spacing w:val="-4"/>
          <w:sz w:val="20"/>
        </w:rPr>
        <w:t xml:space="preserve"> </w:t>
      </w:r>
      <w:r>
        <w:rPr>
          <w:color w:val="262526"/>
          <w:sz w:val="20"/>
        </w:rPr>
        <w:t>or</w:t>
      </w:r>
    </w:p>
    <w:p w:rsidR="007D640B" w:rsidRDefault="007D640B" w:rsidP="00FF3BDF">
      <w:pPr>
        <w:pStyle w:val="ListParagraph"/>
        <w:widowControl w:val="0"/>
        <w:numPr>
          <w:ilvl w:val="1"/>
          <w:numId w:val="10"/>
        </w:numPr>
        <w:tabs>
          <w:tab w:val="left" w:pos="1511"/>
          <w:tab w:val="left" w:pos="1512"/>
          <w:tab w:val="left" w:pos="10065"/>
        </w:tabs>
        <w:autoSpaceDE w:val="0"/>
        <w:autoSpaceDN w:val="0"/>
        <w:spacing w:before="130" w:after="0" w:line="240" w:lineRule="auto"/>
        <w:ind w:right="845"/>
        <w:contextualSpacing w:val="0"/>
        <w:rPr>
          <w:sz w:val="20"/>
        </w:rPr>
      </w:pPr>
      <w:r>
        <w:rPr>
          <w:color w:val="262526"/>
          <w:sz w:val="20"/>
        </w:rPr>
        <w:t xml:space="preserve">the solution is at least </w:t>
      </w:r>
      <w:hyperlink w:anchor="_bookmark3508" w:history="1">
        <w:r>
          <w:rPr>
            <w:i/>
            <w:color w:val="0000FF"/>
            <w:sz w:val="20"/>
          </w:rPr>
          <w:t xml:space="preserve">equivalent </w:t>
        </w:r>
      </w:hyperlink>
      <w:r>
        <w:rPr>
          <w:color w:val="262526"/>
          <w:sz w:val="20"/>
        </w:rPr>
        <w:t xml:space="preserve">to the </w:t>
      </w:r>
      <w:hyperlink w:anchor="_bookmark3481" w:history="1">
        <w:r>
          <w:rPr>
            <w:i/>
            <w:color w:val="0000FF"/>
            <w:sz w:val="20"/>
          </w:rPr>
          <w:t>Deemed-to-Satisfy</w:t>
        </w:r>
        <w:r>
          <w:rPr>
            <w:i/>
            <w:color w:val="0000FF"/>
            <w:spacing w:val="-8"/>
            <w:sz w:val="20"/>
          </w:rPr>
          <w:t xml:space="preserve"> </w:t>
        </w:r>
        <w:r>
          <w:rPr>
            <w:i/>
            <w:color w:val="0000FF"/>
            <w:sz w:val="20"/>
          </w:rPr>
          <w:t>Provisions</w:t>
        </w:r>
      </w:hyperlink>
      <w:r>
        <w:rPr>
          <w:color w:val="262526"/>
          <w:sz w:val="20"/>
        </w:rPr>
        <w:t>.</w:t>
      </w:r>
    </w:p>
    <w:p w:rsidR="007D640B" w:rsidRDefault="007D640B" w:rsidP="00FF3BDF">
      <w:pPr>
        <w:pStyle w:val="ListParagraph"/>
        <w:widowControl w:val="0"/>
        <w:numPr>
          <w:ilvl w:val="0"/>
          <w:numId w:val="10"/>
        </w:numPr>
        <w:tabs>
          <w:tab w:val="left" w:pos="1079"/>
          <w:tab w:val="left" w:pos="1080"/>
          <w:tab w:val="left" w:pos="10065"/>
        </w:tabs>
        <w:autoSpaceDE w:val="0"/>
        <w:autoSpaceDN w:val="0"/>
        <w:spacing w:before="130" w:after="130" w:line="250" w:lineRule="auto"/>
        <w:ind w:left="1078" w:right="845" w:hanging="488"/>
        <w:contextualSpacing w:val="0"/>
        <w:rPr>
          <w:sz w:val="20"/>
        </w:rPr>
      </w:pPr>
      <w:r>
        <w:rPr>
          <w:color w:val="262526"/>
          <w:sz w:val="20"/>
        </w:rPr>
        <w:t xml:space="preserve">A </w:t>
      </w:r>
      <w:hyperlink w:anchor="_bookmark3607" w:history="1">
        <w:r>
          <w:rPr>
            <w:i/>
            <w:color w:val="0000FF"/>
            <w:sz w:val="20"/>
          </w:rPr>
          <w:t xml:space="preserve">Performance Solution </w:t>
        </w:r>
      </w:hyperlink>
      <w:r>
        <w:rPr>
          <w:color w:val="262526"/>
          <w:sz w:val="20"/>
        </w:rPr>
        <w:t xml:space="preserve">must be shown to comply with the relevant </w:t>
      </w:r>
      <w:hyperlink w:anchor="_bookmark3609" w:history="1">
        <w:r>
          <w:rPr>
            <w:i/>
            <w:color w:val="0000FF"/>
            <w:sz w:val="20"/>
          </w:rPr>
          <w:t xml:space="preserve">Performance Requirements </w:t>
        </w:r>
      </w:hyperlink>
      <w:r>
        <w:rPr>
          <w:color w:val="262526"/>
          <w:sz w:val="20"/>
        </w:rPr>
        <w:t xml:space="preserve">through one or a combination of the following </w:t>
      </w:r>
      <w:hyperlink w:anchor="_bookmark3455" w:history="1">
        <w:r>
          <w:rPr>
            <w:i/>
            <w:color w:val="0000FF"/>
            <w:sz w:val="20"/>
          </w:rPr>
          <w:t>Assessment</w:t>
        </w:r>
        <w:r>
          <w:rPr>
            <w:i/>
            <w:color w:val="0000FF"/>
            <w:spacing w:val="-3"/>
            <w:sz w:val="20"/>
          </w:rPr>
          <w:t xml:space="preserve"> </w:t>
        </w:r>
        <w:r>
          <w:rPr>
            <w:i/>
            <w:color w:val="0000FF"/>
            <w:sz w:val="20"/>
          </w:rPr>
          <w:t>Methods</w:t>
        </w:r>
      </w:hyperlink>
      <w:r>
        <w:rPr>
          <w:color w:val="262526"/>
          <w:sz w:val="20"/>
        </w:rPr>
        <w:t>:</w:t>
      </w:r>
    </w:p>
    <w:p w:rsidR="007D640B" w:rsidRPr="00DA7E46" w:rsidRDefault="007D640B" w:rsidP="00FF3BDF">
      <w:pPr>
        <w:pStyle w:val="ListParagraph"/>
        <w:widowControl w:val="0"/>
        <w:numPr>
          <w:ilvl w:val="1"/>
          <w:numId w:val="10"/>
        </w:numPr>
        <w:tabs>
          <w:tab w:val="left" w:pos="1511"/>
          <w:tab w:val="left" w:pos="1512"/>
          <w:tab w:val="left" w:pos="10065"/>
        </w:tabs>
        <w:autoSpaceDE w:val="0"/>
        <w:autoSpaceDN w:val="0"/>
        <w:spacing w:before="10" w:after="0" w:line="240" w:lineRule="auto"/>
        <w:ind w:left="1511" w:right="845"/>
        <w:contextualSpacing w:val="0"/>
        <w:rPr>
          <w:sz w:val="20"/>
        </w:rPr>
      </w:pPr>
      <w:r w:rsidRPr="00DA7E46">
        <w:rPr>
          <w:color w:val="262526"/>
          <w:sz w:val="20"/>
        </w:rPr>
        <w:t>Evidence</w:t>
      </w:r>
      <w:r w:rsidRPr="00DA7E46">
        <w:rPr>
          <w:color w:val="262526"/>
          <w:spacing w:val="17"/>
          <w:sz w:val="20"/>
        </w:rPr>
        <w:t xml:space="preserve"> </w:t>
      </w:r>
      <w:r w:rsidRPr="00DA7E46">
        <w:rPr>
          <w:color w:val="262526"/>
          <w:sz w:val="20"/>
        </w:rPr>
        <w:t>of</w:t>
      </w:r>
      <w:r w:rsidRPr="00DA7E46">
        <w:rPr>
          <w:color w:val="262526"/>
          <w:spacing w:val="18"/>
          <w:sz w:val="20"/>
        </w:rPr>
        <w:t xml:space="preserve"> </w:t>
      </w:r>
      <w:r w:rsidRPr="00DA7E46">
        <w:rPr>
          <w:color w:val="262526"/>
          <w:sz w:val="20"/>
        </w:rPr>
        <w:t>suitability</w:t>
      </w:r>
      <w:r w:rsidRPr="00DA7E46">
        <w:rPr>
          <w:color w:val="262526"/>
          <w:spacing w:val="17"/>
          <w:sz w:val="20"/>
        </w:rPr>
        <w:t xml:space="preserve"> </w:t>
      </w:r>
      <w:r w:rsidRPr="00DA7E46">
        <w:rPr>
          <w:color w:val="262526"/>
          <w:sz w:val="20"/>
        </w:rPr>
        <w:t>in</w:t>
      </w:r>
      <w:r w:rsidRPr="00DA7E46">
        <w:rPr>
          <w:color w:val="262526"/>
          <w:spacing w:val="18"/>
          <w:sz w:val="20"/>
        </w:rPr>
        <w:t xml:space="preserve"> </w:t>
      </w:r>
      <w:r w:rsidRPr="00DA7E46">
        <w:rPr>
          <w:color w:val="262526"/>
          <w:sz w:val="20"/>
        </w:rPr>
        <w:t>accordance</w:t>
      </w:r>
      <w:r w:rsidRPr="00DA7E46">
        <w:rPr>
          <w:color w:val="262526"/>
          <w:spacing w:val="18"/>
          <w:sz w:val="20"/>
        </w:rPr>
        <w:t xml:space="preserve"> </w:t>
      </w:r>
      <w:r w:rsidRPr="00DA7E46">
        <w:rPr>
          <w:color w:val="262526"/>
          <w:sz w:val="20"/>
        </w:rPr>
        <w:t>with</w:t>
      </w:r>
      <w:r w:rsidRPr="00DA7E46">
        <w:rPr>
          <w:color w:val="262526"/>
          <w:spacing w:val="18"/>
          <w:sz w:val="20"/>
        </w:rPr>
        <w:t xml:space="preserve"> </w:t>
      </w:r>
      <w:hyperlink w:anchor="_bookmark38" w:history="1">
        <w:r w:rsidRPr="00DA7E46">
          <w:rPr>
            <w:color w:val="0000FF"/>
            <w:sz w:val="20"/>
          </w:rPr>
          <w:t>Part</w:t>
        </w:r>
        <w:r w:rsidRPr="00DA7E46">
          <w:rPr>
            <w:color w:val="0000FF"/>
            <w:spacing w:val="6"/>
            <w:sz w:val="20"/>
          </w:rPr>
          <w:t xml:space="preserve"> </w:t>
        </w:r>
        <w:r w:rsidRPr="00DA7E46">
          <w:rPr>
            <w:color w:val="0000FF"/>
            <w:sz w:val="20"/>
          </w:rPr>
          <w:t>A5</w:t>
        </w:r>
        <w:r w:rsidRPr="00DA7E46">
          <w:rPr>
            <w:color w:val="0000FF"/>
            <w:spacing w:val="18"/>
            <w:sz w:val="20"/>
          </w:rPr>
          <w:t xml:space="preserve"> </w:t>
        </w:r>
      </w:hyperlink>
      <w:r w:rsidRPr="00DA7E46">
        <w:rPr>
          <w:color w:val="262526"/>
          <w:sz w:val="20"/>
        </w:rPr>
        <w:t>that</w:t>
      </w:r>
      <w:r w:rsidRPr="00DA7E46">
        <w:rPr>
          <w:color w:val="262526"/>
          <w:spacing w:val="18"/>
          <w:sz w:val="20"/>
        </w:rPr>
        <w:t xml:space="preserve"> </w:t>
      </w:r>
      <w:r w:rsidRPr="00DA7E46">
        <w:rPr>
          <w:color w:val="262526"/>
          <w:sz w:val="20"/>
        </w:rPr>
        <w:t>shows</w:t>
      </w:r>
      <w:r w:rsidRPr="00DA7E46">
        <w:rPr>
          <w:color w:val="262526"/>
          <w:spacing w:val="17"/>
          <w:sz w:val="20"/>
        </w:rPr>
        <w:t xml:space="preserve"> </w:t>
      </w:r>
      <w:r w:rsidRPr="00DA7E46">
        <w:rPr>
          <w:color w:val="262526"/>
          <w:sz w:val="20"/>
        </w:rPr>
        <w:t>the</w:t>
      </w:r>
      <w:r w:rsidRPr="00DA7E46">
        <w:rPr>
          <w:color w:val="262526"/>
          <w:spacing w:val="18"/>
          <w:sz w:val="20"/>
        </w:rPr>
        <w:t xml:space="preserve"> </w:t>
      </w:r>
      <w:r w:rsidRPr="00DA7E46">
        <w:rPr>
          <w:color w:val="262526"/>
          <w:sz w:val="20"/>
        </w:rPr>
        <w:t>use</w:t>
      </w:r>
      <w:r w:rsidRPr="00DA7E46">
        <w:rPr>
          <w:color w:val="262526"/>
          <w:spacing w:val="18"/>
          <w:sz w:val="20"/>
        </w:rPr>
        <w:t xml:space="preserve"> </w:t>
      </w:r>
      <w:r w:rsidRPr="00DA7E46">
        <w:rPr>
          <w:color w:val="262526"/>
          <w:sz w:val="20"/>
        </w:rPr>
        <w:t>of</w:t>
      </w:r>
      <w:r w:rsidRPr="00DA7E46">
        <w:rPr>
          <w:color w:val="262526"/>
          <w:spacing w:val="17"/>
          <w:sz w:val="20"/>
        </w:rPr>
        <w:t xml:space="preserve"> </w:t>
      </w:r>
      <w:r w:rsidRPr="00DA7E46">
        <w:rPr>
          <w:color w:val="262526"/>
          <w:sz w:val="20"/>
        </w:rPr>
        <w:t>a</w:t>
      </w:r>
      <w:r w:rsidRPr="00DA7E46">
        <w:rPr>
          <w:color w:val="262526"/>
          <w:spacing w:val="18"/>
          <w:sz w:val="20"/>
        </w:rPr>
        <w:t xml:space="preserve"> </w:t>
      </w:r>
      <w:r w:rsidRPr="00DA7E46">
        <w:rPr>
          <w:color w:val="262526"/>
          <w:sz w:val="20"/>
        </w:rPr>
        <w:t>material,</w:t>
      </w:r>
      <w:r w:rsidRPr="00DA7E46">
        <w:rPr>
          <w:color w:val="262526"/>
          <w:spacing w:val="17"/>
          <w:sz w:val="20"/>
        </w:rPr>
        <w:t xml:space="preserve"> </w:t>
      </w:r>
      <w:r w:rsidRPr="00DA7E46">
        <w:rPr>
          <w:color w:val="262526"/>
          <w:sz w:val="20"/>
        </w:rPr>
        <w:t>product,</w:t>
      </w:r>
      <w:r w:rsidRPr="00DA7E46">
        <w:rPr>
          <w:color w:val="262526"/>
          <w:spacing w:val="18"/>
          <w:sz w:val="20"/>
        </w:rPr>
        <w:t xml:space="preserve"> </w:t>
      </w:r>
      <w:hyperlink w:anchor="_bookmark3606" w:history="1">
        <w:r w:rsidRPr="00DA7E46">
          <w:rPr>
            <w:i/>
            <w:color w:val="0000FF"/>
            <w:sz w:val="20"/>
          </w:rPr>
          <w:t>plumbing</w:t>
        </w:r>
        <w:r w:rsidRPr="00DA7E46">
          <w:rPr>
            <w:i/>
            <w:color w:val="0000FF"/>
            <w:spacing w:val="18"/>
            <w:sz w:val="20"/>
          </w:rPr>
          <w:t xml:space="preserve"> </w:t>
        </w:r>
      </w:hyperlink>
      <w:r w:rsidRPr="00DA7E46">
        <w:rPr>
          <w:color w:val="262526"/>
          <w:sz w:val="20"/>
        </w:rPr>
        <w:t>and</w:t>
      </w:r>
      <w:r>
        <w:rPr>
          <w:color w:val="262526"/>
          <w:sz w:val="20"/>
        </w:rPr>
        <w:t xml:space="preserve"> </w:t>
      </w:r>
      <w:hyperlink w:anchor="_bookmark3493" w:history="1">
        <w:r w:rsidRPr="00DA7E46">
          <w:rPr>
            <w:i/>
            <w:color w:val="0000FF"/>
            <w:sz w:val="20"/>
          </w:rPr>
          <w:t xml:space="preserve">drainage </w:t>
        </w:r>
      </w:hyperlink>
      <w:hyperlink w:anchor="_bookmark3619" w:history="1">
        <w:r w:rsidRPr="00DA7E46">
          <w:rPr>
            <w:i/>
            <w:color w:val="0000FF"/>
            <w:sz w:val="20"/>
          </w:rPr>
          <w:t>product</w:t>
        </w:r>
      </w:hyperlink>
      <w:r w:rsidRPr="00DA7E46">
        <w:rPr>
          <w:color w:val="262526"/>
          <w:sz w:val="20"/>
        </w:rPr>
        <w:t xml:space="preserve">, form of construction or design meets the relevant </w:t>
      </w:r>
      <w:hyperlink w:anchor="_bookmark3609" w:history="1">
        <w:r w:rsidRPr="00DA7E46">
          <w:rPr>
            <w:i/>
            <w:color w:val="0000FF"/>
            <w:sz w:val="20"/>
          </w:rPr>
          <w:t>Performance Requirements</w:t>
        </w:r>
      </w:hyperlink>
      <w:r w:rsidRPr="00DA7E46">
        <w:rPr>
          <w:color w:val="262526"/>
          <w:sz w:val="20"/>
        </w:rPr>
        <w:t>.</w:t>
      </w:r>
    </w:p>
    <w:p w:rsidR="007D640B" w:rsidRDefault="007D640B" w:rsidP="00FF3BDF">
      <w:pPr>
        <w:pStyle w:val="ListParagraph"/>
        <w:widowControl w:val="0"/>
        <w:numPr>
          <w:ilvl w:val="1"/>
          <w:numId w:val="10"/>
        </w:numPr>
        <w:tabs>
          <w:tab w:val="left" w:pos="1511"/>
          <w:tab w:val="left" w:pos="1512"/>
          <w:tab w:val="left" w:pos="10065"/>
        </w:tabs>
        <w:autoSpaceDE w:val="0"/>
        <w:autoSpaceDN w:val="0"/>
        <w:spacing w:before="130" w:after="0" w:line="240" w:lineRule="auto"/>
        <w:ind w:right="845"/>
        <w:contextualSpacing w:val="0"/>
        <w:rPr>
          <w:sz w:val="20"/>
        </w:rPr>
      </w:pPr>
      <w:r>
        <w:rPr>
          <w:color w:val="262526"/>
          <w:sz w:val="20"/>
        </w:rPr>
        <w:t xml:space="preserve">A </w:t>
      </w:r>
      <w:hyperlink w:anchor="_bookmark3691" w:history="1">
        <w:r>
          <w:rPr>
            <w:i/>
            <w:color w:val="0000FF"/>
            <w:sz w:val="20"/>
          </w:rPr>
          <w:t xml:space="preserve">Verification Method </w:t>
        </w:r>
      </w:hyperlink>
      <w:r>
        <w:rPr>
          <w:color w:val="262526"/>
          <w:sz w:val="20"/>
        </w:rPr>
        <w:t>including the</w:t>
      </w:r>
      <w:r>
        <w:rPr>
          <w:color w:val="262526"/>
          <w:spacing w:val="-16"/>
          <w:sz w:val="20"/>
        </w:rPr>
        <w:t xml:space="preserve"> </w:t>
      </w:r>
      <w:r>
        <w:rPr>
          <w:color w:val="262526"/>
          <w:sz w:val="20"/>
        </w:rPr>
        <w:t>following:</w:t>
      </w:r>
    </w:p>
    <w:p w:rsidR="007D640B" w:rsidRDefault="007D640B" w:rsidP="00FF3BDF">
      <w:pPr>
        <w:pStyle w:val="ListParagraph"/>
        <w:widowControl w:val="0"/>
        <w:numPr>
          <w:ilvl w:val="2"/>
          <w:numId w:val="10"/>
        </w:numPr>
        <w:tabs>
          <w:tab w:val="left" w:pos="1943"/>
          <w:tab w:val="left" w:pos="1944"/>
          <w:tab w:val="left" w:pos="10065"/>
        </w:tabs>
        <w:autoSpaceDE w:val="0"/>
        <w:autoSpaceDN w:val="0"/>
        <w:spacing w:before="130" w:after="0" w:line="240" w:lineRule="auto"/>
        <w:ind w:right="845"/>
        <w:contextualSpacing w:val="0"/>
        <w:rPr>
          <w:sz w:val="20"/>
        </w:rPr>
      </w:pPr>
      <w:r>
        <w:rPr>
          <w:color w:val="262526"/>
          <w:sz w:val="20"/>
        </w:rPr>
        <w:t xml:space="preserve">The </w:t>
      </w:r>
      <w:hyperlink w:anchor="_bookmark3691" w:history="1">
        <w:r>
          <w:rPr>
            <w:i/>
            <w:color w:val="0000FF"/>
            <w:sz w:val="20"/>
          </w:rPr>
          <w:t xml:space="preserve">Verification Methods </w:t>
        </w:r>
      </w:hyperlink>
      <w:r>
        <w:rPr>
          <w:color w:val="262526"/>
          <w:sz w:val="20"/>
        </w:rPr>
        <w:t>provided in the</w:t>
      </w:r>
      <w:r>
        <w:rPr>
          <w:color w:val="262526"/>
          <w:spacing w:val="-6"/>
          <w:sz w:val="20"/>
        </w:rPr>
        <w:t xml:space="preserve"> </w:t>
      </w:r>
      <w:r>
        <w:rPr>
          <w:color w:val="262526"/>
          <w:sz w:val="20"/>
        </w:rPr>
        <w:t>NCC.</w:t>
      </w:r>
    </w:p>
    <w:p w:rsidR="007D640B" w:rsidRDefault="007D640B" w:rsidP="00FF3BDF">
      <w:pPr>
        <w:pStyle w:val="ListParagraph"/>
        <w:widowControl w:val="0"/>
        <w:numPr>
          <w:ilvl w:val="2"/>
          <w:numId w:val="10"/>
        </w:numPr>
        <w:tabs>
          <w:tab w:val="left" w:pos="1943"/>
          <w:tab w:val="left" w:pos="1944"/>
          <w:tab w:val="left" w:pos="10065"/>
        </w:tabs>
        <w:autoSpaceDE w:val="0"/>
        <w:autoSpaceDN w:val="0"/>
        <w:spacing w:before="130" w:after="0" w:line="240" w:lineRule="auto"/>
        <w:ind w:right="845"/>
        <w:contextualSpacing w:val="0"/>
        <w:rPr>
          <w:sz w:val="20"/>
        </w:rPr>
      </w:pPr>
      <w:r>
        <w:rPr>
          <w:color w:val="262526"/>
          <w:sz w:val="20"/>
        </w:rPr>
        <w:t>Other</w:t>
      </w:r>
      <w:r>
        <w:rPr>
          <w:color w:val="262526"/>
          <w:spacing w:val="-5"/>
          <w:sz w:val="20"/>
        </w:rPr>
        <w:t xml:space="preserve"> </w:t>
      </w:r>
      <w:hyperlink w:anchor="_bookmark3691" w:history="1">
        <w:r>
          <w:rPr>
            <w:i/>
            <w:color w:val="0000FF"/>
            <w:sz w:val="20"/>
          </w:rPr>
          <w:t>Verification</w:t>
        </w:r>
        <w:r>
          <w:rPr>
            <w:i/>
            <w:color w:val="0000FF"/>
            <w:spacing w:val="-4"/>
            <w:sz w:val="20"/>
          </w:rPr>
          <w:t xml:space="preserve"> </w:t>
        </w:r>
        <w:r>
          <w:rPr>
            <w:i/>
            <w:color w:val="0000FF"/>
            <w:sz w:val="20"/>
          </w:rPr>
          <w:t>Methods</w:t>
        </w:r>
      </w:hyperlink>
      <w:r>
        <w:rPr>
          <w:color w:val="262526"/>
          <w:sz w:val="20"/>
        </w:rPr>
        <w:t>,</w:t>
      </w:r>
      <w:r>
        <w:rPr>
          <w:color w:val="262526"/>
          <w:spacing w:val="-4"/>
          <w:sz w:val="20"/>
        </w:rPr>
        <w:t xml:space="preserve"> </w:t>
      </w:r>
      <w:r>
        <w:rPr>
          <w:color w:val="262526"/>
          <w:sz w:val="20"/>
        </w:rPr>
        <w:t>accepted</w:t>
      </w:r>
      <w:r>
        <w:rPr>
          <w:color w:val="262526"/>
          <w:spacing w:val="-3"/>
          <w:sz w:val="20"/>
        </w:rPr>
        <w:t xml:space="preserve"> </w:t>
      </w:r>
      <w:r>
        <w:rPr>
          <w:color w:val="262526"/>
          <w:sz w:val="20"/>
        </w:rPr>
        <w:t>by</w:t>
      </w:r>
      <w:r>
        <w:rPr>
          <w:color w:val="262526"/>
          <w:spacing w:val="-4"/>
          <w:sz w:val="20"/>
        </w:rPr>
        <w:t xml:space="preserve"> </w:t>
      </w:r>
      <w:r>
        <w:rPr>
          <w:color w:val="262526"/>
          <w:sz w:val="20"/>
        </w:rPr>
        <w:t>the</w:t>
      </w:r>
      <w:r>
        <w:rPr>
          <w:color w:val="262526"/>
          <w:spacing w:val="-4"/>
          <w:sz w:val="20"/>
        </w:rPr>
        <w:t xml:space="preserve"> </w:t>
      </w:r>
      <w:hyperlink w:anchor="_bookmark3441" w:history="1">
        <w:r>
          <w:rPr>
            <w:i/>
            <w:color w:val="0000FF"/>
            <w:sz w:val="20"/>
          </w:rPr>
          <w:t>appropriate</w:t>
        </w:r>
        <w:r>
          <w:rPr>
            <w:i/>
            <w:color w:val="0000FF"/>
            <w:spacing w:val="-3"/>
            <w:sz w:val="20"/>
          </w:rPr>
          <w:t xml:space="preserve"> </w:t>
        </w:r>
        <w:r>
          <w:rPr>
            <w:i/>
            <w:color w:val="0000FF"/>
            <w:sz w:val="20"/>
          </w:rPr>
          <w:t>authority</w:t>
        </w:r>
        <w:r>
          <w:rPr>
            <w:i/>
            <w:color w:val="0000FF"/>
            <w:spacing w:val="-3"/>
            <w:sz w:val="20"/>
          </w:rPr>
          <w:t xml:space="preserve"> </w:t>
        </w:r>
      </w:hyperlink>
      <w:r>
        <w:rPr>
          <w:color w:val="262526"/>
          <w:sz w:val="20"/>
        </w:rPr>
        <w:t>that</w:t>
      </w:r>
      <w:r>
        <w:rPr>
          <w:color w:val="262526"/>
          <w:spacing w:val="-4"/>
          <w:sz w:val="20"/>
        </w:rPr>
        <w:t xml:space="preserve"> </w:t>
      </w:r>
      <w:r>
        <w:rPr>
          <w:color w:val="262526"/>
          <w:sz w:val="20"/>
        </w:rPr>
        <w:t>show</w:t>
      </w:r>
      <w:r>
        <w:rPr>
          <w:color w:val="262526"/>
          <w:spacing w:val="-4"/>
          <w:sz w:val="20"/>
        </w:rPr>
        <w:t xml:space="preserve"> </w:t>
      </w:r>
      <w:r>
        <w:rPr>
          <w:color w:val="262526"/>
          <w:sz w:val="20"/>
        </w:rPr>
        <w:t>compliance</w:t>
      </w:r>
      <w:r>
        <w:rPr>
          <w:color w:val="262526"/>
          <w:spacing w:val="-3"/>
          <w:sz w:val="20"/>
        </w:rPr>
        <w:t xml:space="preserve"> </w:t>
      </w:r>
      <w:r>
        <w:rPr>
          <w:color w:val="262526"/>
          <w:sz w:val="20"/>
        </w:rPr>
        <w:t>with</w:t>
      </w:r>
      <w:r>
        <w:rPr>
          <w:color w:val="262526"/>
          <w:spacing w:val="-4"/>
          <w:sz w:val="20"/>
        </w:rPr>
        <w:t xml:space="preserve"> </w:t>
      </w:r>
      <w:r>
        <w:rPr>
          <w:color w:val="262526"/>
          <w:sz w:val="20"/>
        </w:rPr>
        <w:t>the</w:t>
      </w:r>
      <w:r>
        <w:rPr>
          <w:color w:val="262526"/>
          <w:spacing w:val="-4"/>
          <w:sz w:val="20"/>
        </w:rPr>
        <w:t xml:space="preserve"> </w:t>
      </w:r>
      <w:r>
        <w:rPr>
          <w:color w:val="262526"/>
          <w:sz w:val="20"/>
        </w:rPr>
        <w:t xml:space="preserve">relevant </w:t>
      </w:r>
      <w:r w:rsidRPr="00DA7E46">
        <w:rPr>
          <w:i/>
          <w:color w:val="3333FF"/>
          <w:sz w:val="20"/>
        </w:rPr>
        <w:t>Performance Requirements</w:t>
      </w:r>
      <w:r>
        <w:rPr>
          <w:color w:val="262526"/>
          <w:sz w:val="20"/>
        </w:rPr>
        <w:t>.</w:t>
      </w:r>
    </w:p>
    <w:p w:rsidR="007D640B" w:rsidRDefault="001C6A93" w:rsidP="00FF3BDF">
      <w:pPr>
        <w:pStyle w:val="ListParagraph"/>
        <w:widowControl w:val="0"/>
        <w:numPr>
          <w:ilvl w:val="1"/>
          <w:numId w:val="10"/>
        </w:numPr>
        <w:tabs>
          <w:tab w:val="left" w:pos="1511"/>
          <w:tab w:val="left" w:pos="1512"/>
          <w:tab w:val="left" w:pos="10065"/>
        </w:tabs>
        <w:autoSpaceDE w:val="0"/>
        <w:autoSpaceDN w:val="0"/>
        <w:spacing w:before="130" w:after="0" w:line="240" w:lineRule="auto"/>
        <w:ind w:right="845"/>
        <w:contextualSpacing w:val="0"/>
        <w:rPr>
          <w:sz w:val="20"/>
        </w:rPr>
      </w:pPr>
      <w:hyperlink w:anchor="_bookmark3507" w:history="1">
        <w:r w:rsidR="007D640B">
          <w:rPr>
            <w:i/>
            <w:color w:val="0000FF"/>
            <w:sz w:val="20"/>
          </w:rPr>
          <w:t>Expert Judgement</w:t>
        </w:r>
      </w:hyperlink>
      <w:r w:rsidR="007D640B">
        <w:rPr>
          <w:color w:val="262526"/>
          <w:sz w:val="20"/>
        </w:rPr>
        <w:t>.</w:t>
      </w:r>
    </w:p>
    <w:p w:rsidR="007D640B" w:rsidRDefault="007D640B" w:rsidP="00FF3BDF">
      <w:pPr>
        <w:pStyle w:val="ListParagraph"/>
        <w:widowControl w:val="0"/>
        <w:numPr>
          <w:ilvl w:val="1"/>
          <w:numId w:val="10"/>
        </w:numPr>
        <w:tabs>
          <w:tab w:val="left" w:pos="1511"/>
          <w:tab w:val="left" w:pos="1512"/>
          <w:tab w:val="left" w:pos="10065"/>
        </w:tabs>
        <w:autoSpaceDE w:val="0"/>
        <w:autoSpaceDN w:val="0"/>
        <w:spacing w:before="130" w:after="0" w:line="240" w:lineRule="auto"/>
        <w:ind w:right="845"/>
        <w:contextualSpacing w:val="0"/>
        <w:rPr>
          <w:sz w:val="20"/>
        </w:rPr>
      </w:pPr>
      <w:r>
        <w:rPr>
          <w:color w:val="262526"/>
          <w:sz w:val="20"/>
        </w:rPr>
        <w:t xml:space="preserve">Comparison with the </w:t>
      </w:r>
      <w:hyperlink w:anchor="_bookmark3481" w:history="1">
        <w:r>
          <w:rPr>
            <w:i/>
            <w:color w:val="0000FF"/>
            <w:sz w:val="20"/>
          </w:rPr>
          <w:t>Deemed-to-Satisfy</w:t>
        </w:r>
        <w:r>
          <w:rPr>
            <w:i/>
            <w:color w:val="0000FF"/>
            <w:spacing w:val="-4"/>
            <w:sz w:val="20"/>
          </w:rPr>
          <w:t xml:space="preserve"> </w:t>
        </w:r>
        <w:r>
          <w:rPr>
            <w:i/>
            <w:color w:val="0000FF"/>
            <w:sz w:val="20"/>
          </w:rPr>
          <w:t>Provisions</w:t>
        </w:r>
      </w:hyperlink>
      <w:r>
        <w:rPr>
          <w:color w:val="262526"/>
          <w:sz w:val="20"/>
        </w:rPr>
        <w:t>.</w:t>
      </w:r>
    </w:p>
    <w:p w:rsidR="007D640B" w:rsidRPr="001626DC" w:rsidRDefault="007D640B" w:rsidP="00FF3BDF">
      <w:pPr>
        <w:pStyle w:val="ListParagraph"/>
        <w:widowControl w:val="0"/>
        <w:numPr>
          <w:ilvl w:val="0"/>
          <w:numId w:val="10"/>
        </w:numPr>
        <w:tabs>
          <w:tab w:val="left" w:pos="1079"/>
          <w:tab w:val="left" w:pos="1080"/>
          <w:tab w:val="left" w:pos="10065"/>
        </w:tabs>
        <w:autoSpaceDE w:val="0"/>
        <w:autoSpaceDN w:val="0"/>
        <w:spacing w:before="130" w:after="0" w:line="240" w:lineRule="auto"/>
        <w:ind w:right="845"/>
        <w:contextualSpacing w:val="0"/>
        <w:rPr>
          <w:sz w:val="20"/>
        </w:rPr>
      </w:pPr>
      <w:r>
        <w:rPr>
          <w:color w:val="262526"/>
          <w:sz w:val="20"/>
        </w:rPr>
        <w:t>Where</w:t>
      </w:r>
      <w:r>
        <w:rPr>
          <w:color w:val="262526"/>
          <w:spacing w:val="5"/>
          <w:sz w:val="20"/>
        </w:rPr>
        <w:t xml:space="preserve"> </w:t>
      </w:r>
      <w:r>
        <w:rPr>
          <w:color w:val="262526"/>
          <w:sz w:val="20"/>
        </w:rPr>
        <w:t>a</w:t>
      </w:r>
      <w:r>
        <w:rPr>
          <w:color w:val="262526"/>
          <w:spacing w:val="4"/>
          <w:sz w:val="20"/>
        </w:rPr>
        <w:t xml:space="preserve"> </w:t>
      </w:r>
      <w:hyperlink w:anchor="_bookmark3609" w:history="1">
        <w:r>
          <w:rPr>
            <w:i/>
            <w:color w:val="0000FF"/>
            <w:sz w:val="20"/>
          </w:rPr>
          <w:t>Performance</w:t>
        </w:r>
        <w:r>
          <w:rPr>
            <w:i/>
            <w:color w:val="0000FF"/>
            <w:spacing w:val="4"/>
            <w:sz w:val="20"/>
          </w:rPr>
          <w:t xml:space="preserve"> </w:t>
        </w:r>
        <w:r>
          <w:rPr>
            <w:i/>
            <w:color w:val="0000FF"/>
            <w:sz w:val="20"/>
          </w:rPr>
          <w:t>Requirement</w:t>
        </w:r>
        <w:r>
          <w:rPr>
            <w:i/>
            <w:color w:val="0000FF"/>
            <w:spacing w:val="5"/>
            <w:sz w:val="20"/>
          </w:rPr>
          <w:t xml:space="preserve"> </w:t>
        </w:r>
      </w:hyperlink>
      <w:r>
        <w:rPr>
          <w:color w:val="262526"/>
          <w:sz w:val="20"/>
        </w:rPr>
        <w:t>is</w:t>
      </w:r>
      <w:r>
        <w:rPr>
          <w:color w:val="262526"/>
          <w:spacing w:val="4"/>
          <w:sz w:val="20"/>
        </w:rPr>
        <w:t xml:space="preserve"> </w:t>
      </w:r>
      <w:r>
        <w:rPr>
          <w:color w:val="262526"/>
          <w:sz w:val="20"/>
        </w:rPr>
        <w:t>satisfied</w:t>
      </w:r>
      <w:r>
        <w:rPr>
          <w:color w:val="262526"/>
          <w:spacing w:val="4"/>
          <w:sz w:val="20"/>
        </w:rPr>
        <w:t xml:space="preserve"> </w:t>
      </w:r>
      <w:r>
        <w:rPr>
          <w:color w:val="262526"/>
          <w:sz w:val="20"/>
        </w:rPr>
        <w:t>entirely</w:t>
      </w:r>
      <w:r>
        <w:rPr>
          <w:color w:val="262526"/>
          <w:spacing w:val="4"/>
          <w:sz w:val="20"/>
        </w:rPr>
        <w:t xml:space="preserve"> </w:t>
      </w:r>
      <w:r>
        <w:rPr>
          <w:color w:val="262526"/>
          <w:sz w:val="20"/>
        </w:rPr>
        <w:t>by</w:t>
      </w:r>
      <w:r>
        <w:rPr>
          <w:color w:val="262526"/>
          <w:spacing w:val="4"/>
          <w:sz w:val="20"/>
        </w:rPr>
        <w:t xml:space="preserve"> </w:t>
      </w:r>
      <w:r>
        <w:rPr>
          <w:color w:val="262526"/>
          <w:sz w:val="20"/>
        </w:rPr>
        <w:t>a</w:t>
      </w:r>
      <w:r>
        <w:rPr>
          <w:color w:val="262526"/>
          <w:spacing w:val="5"/>
          <w:sz w:val="20"/>
        </w:rPr>
        <w:t xml:space="preserve"> </w:t>
      </w:r>
      <w:hyperlink w:anchor="_bookmark3607" w:history="1">
        <w:r>
          <w:rPr>
            <w:i/>
            <w:color w:val="0000FF"/>
            <w:sz w:val="20"/>
          </w:rPr>
          <w:t>Performance</w:t>
        </w:r>
        <w:r>
          <w:rPr>
            <w:i/>
            <w:color w:val="0000FF"/>
            <w:spacing w:val="4"/>
            <w:sz w:val="20"/>
          </w:rPr>
          <w:t xml:space="preserve"> </w:t>
        </w:r>
        <w:r>
          <w:rPr>
            <w:i/>
            <w:color w:val="0000FF"/>
            <w:sz w:val="20"/>
          </w:rPr>
          <w:t>Solution</w:t>
        </w:r>
      </w:hyperlink>
      <w:r>
        <w:rPr>
          <w:color w:val="262526"/>
          <w:sz w:val="20"/>
        </w:rPr>
        <w:t>,</w:t>
      </w:r>
      <w:r>
        <w:rPr>
          <w:color w:val="262526"/>
          <w:spacing w:val="5"/>
          <w:sz w:val="20"/>
        </w:rPr>
        <w:t xml:space="preserve"> </w:t>
      </w:r>
      <w:r>
        <w:rPr>
          <w:color w:val="262526"/>
          <w:sz w:val="20"/>
        </w:rPr>
        <w:t>in</w:t>
      </w:r>
      <w:r>
        <w:rPr>
          <w:color w:val="262526"/>
          <w:spacing w:val="4"/>
          <w:sz w:val="20"/>
        </w:rPr>
        <w:t xml:space="preserve"> </w:t>
      </w:r>
      <w:r>
        <w:rPr>
          <w:color w:val="262526"/>
          <w:sz w:val="20"/>
        </w:rPr>
        <w:t>order</w:t>
      </w:r>
      <w:r>
        <w:rPr>
          <w:color w:val="262526"/>
          <w:spacing w:val="4"/>
          <w:sz w:val="20"/>
        </w:rPr>
        <w:t xml:space="preserve"> </w:t>
      </w:r>
      <w:r>
        <w:rPr>
          <w:color w:val="262526"/>
          <w:sz w:val="20"/>
        </w:rPr>
        <w:t>to</w:t>
      </w:r>
      <w:r>
        <w:rPr>
          <w:color w:val="262526"/>
          <w:spacing w:val="5"/>
          <w:sz w:val="20"/>
        </w:rPr>
        <w:t xml:space="preserve"> </w:t>
      </w:r>
      <w:r>
        <w:rPr>
          <w:color w:val="262526"/>
          <w:sz w:val="20"/>
        </w:rPr>
        <w:t>comply</w:t>
      </w:r>
      <w:r>
        <w:rPr>
          <w:color w:val="262526"/>
          <w:spacing w:val="4"/>
          <w:sz w:val="20"/>
        </w:rPr>
        <w:t xml:space="preserve"> </w:t>
      </w:r>
      <w:r>
        <w:rPr>
          <w:color w:val="262526"/>
          <w:sz w:val="20"/>
        </w:rPr>
        <w:t>with</w:t>
      </w:r>
      <w:r>
        <w:rPr>
          <w:color w:val="262526"/>
          <w:spacing w:val="5"/>
          <w:sz w:val="20"/>
        </w:rPr>
        <w:t xml:space="preserve"> </w:t>
      </w:r>
      <w:r>
        <w:rPr>
          <w:color w:val="0000FF"/>
          <w:sz w:val="20"/>
        </w:rPr>
        <w:t>(1)</w:t>
      </w:r>
      <w:r>
        <w:rPr>
          <w:color w:val="0000FF"/>
          <w:spacing w:val="4"/>
          <w:sz w:val="20"/>
        </w:rPr>
        <w:t xml:space="preserve"> </w:t>
      </w:r>
      <w:r>
        <w:rPr>
          <w:color w:val="262526"/>
          <w:sz w:val="20"/>
        </w:rPr>
        <w:t>the</w:t>
      </w:r>
      <w:bookmarkStart w:id="116" w:name="_bookmark25"/>
      <w:bookmarkStart w:id="117" w:name="_bookmark24"/>
      <w:bookmarkStart w:id="118" w:name="_bookmark23"/>
      <w:bookmarkStart w:id="119" w:name="_bookmark22"/>
      <w:bookmarkStart w:id="120" w:name="_bookmark21"/>
      <w:bookmarkStart w:id="121" w:name="A2.3_Deemed-to-Satisfy_Solution"/>
      <w:bookmarkStart w:id="122" w:name="A2.4_A_combination_of_solutions"/>
      <w:bookmarkEnd w:id="116"/>
      <w:bookmarkEnd w:id="117"/>
      <w:bookmarkEnd w:id="118"/>
      <w:bookmarkEnd w:id="119"/>
      <w:bookmarkEnd w:id="120"/>
      <w:bookmarkEnd w:id="121"/>
      <w:bookmarkEnd w:id="122"/>
      <w:r>
        <w:rPr>
          <w:color w:val="262526"/>
          <w:sz w:val="20"/>
        </w:rPr>
        <w:t xml:space="preserve"> </w:t>
      </w:r>
      <w:r w:rsidRPr="00CD4F1A">
        <w:rPr>
          <w:color w:val="262526"/>
          <w:sz w:val="20"/>
        </w:rPr>
        <w:t xml:space="preserve">following method must be used to determine the </w:t>
      </w:r>
      <w:hyperlink w:anchor="_bookmark3609" w:history="1">
        <w:r w:rsidRPr="00CD4F1A">
          <w:rPr>
            <w:i/>
            <w:color w:val="0000FF"/>
            <w:sz w:val="20"/>
          </w:rPr>
          <w:t xml:space="preserve">Performance Requirement </w:t>
        </w:r>
      </w:hyperlink>
      <w:r w:rsidRPr="00CD4F1A">
        <w:rPr>
          <w:color w:val="262526"/>
          <w:sz w:val="20"/>
        </w:rPr>
        <w:t xml:space="preserve">or </w:t>
      </w:r>
      <w:hyperlink w:anchor="_bookmark3609" w:history="1">
        <w:r w:rsidRPr="00CD4F1A">
          <w:rPr>
            <w:i/>
            <w:color w:val="0000FF"/>
            <w:sz w:val="20"/>
          </w:rPr>
          <w:t xml:space="preserve">Performance Requirements </w:t>
        </w:r>
      </w:hyperlink>
      <w:r w:rsidRPr="00CD4F1A">
        <w:rPr>
          <w:color w:val="262526"/>
          <w:sz w:val="20"/>
        </w:rPr>
        <w:t xml:space="preserve">relevant to the </w:t>
      </w:r>
      <w:hyperlink w:anchor="_bookmark3607" w:history="1">
        <w:r w:rsidRPr="00CD4F1A">
          <w:rPr>
            <w:i/>
            <w:color w:val="0000FF"/>
            <w:sz w:val="20"/>
          </w:rPr>
          <w:t>Performance Solution</w:t>
        </w:r>
      </w:hyperlink>
      <w:r w:rsidRPr="00CD4F1A">
        <w:rPr>
          <w:color w:val="262526"/>
          <w:sz w:val="20"/>
        </w:rPr>
        <w:t>:</w:t>
      </w:r>
    </w:p>
    <w:p w:rsidR="007D640B" w:rsidRPr="003A766E" w:rsidRDefault="007D640B" w:rsidP="00FF3BDF">
      <w:pPr>
        <w:pStyle w:val="ListParagraph"/>
        <w:widowControl w:val="0"/>
        <w:numPr>
          <w:ilvl w:val="1"/>
          <w:numId w:val="10"/>
        </w:numPr>
        <w:tabs>
          <w:tab w:val="left" w:pos="1511"/>
          <w:tab w:val="left" w:pos="1512"/>
          <w:tab w:val="left" w:pos="10065"/>
        </w:tabs>
        <w:autoSpaceDE w:val="0"/>
        <w:autoSpaceDN w:val="0"/>
        <w:spacing w:before="121" w:after="121" w:line="240" w:lineRule="auto"/>
        <w:ind w:left="1509" w:right="845" w:hanging="488"/>
        <w:contextualSpacing w:val="0"/>
        <w:rPr>
          <w:i/>
          <w:sz w:val="20"/>
        </w:rPr>
      </w:pPr>
      <w:r>
        <w:rPr>
          <w:color w:val="262526"/>
          <w:sz w:val="20"/>
        </w:rPr>
        <w:t>Identify</w:t>
      </w:r>
      <w:r>
        <w:rPr>
          <w:color w:val="262526"/>
          <w:spacing w:val="10"/>
          <w:sz w:val="20"/>
        </w:rPr>
        <w:t xml:space="preserve"> </w:t>
      </w:r>
      <w:r>
        <w:rPr>
          <w:color w:val="262526"/>
          <w:sz w:val="20"/>
        </w:rPr>
        <w:t>the</w:t>
      </w:r>
      <w:r>
        <w:rPr>
          <w:color w:val="262526"/>
          <w:spacing w:val="10"/>
          <w:sz w:val="20"/>
        </w:rPr>
        <w:t xml:space="preserve"> </w:t>
      </w:r>
      <w:r>
        <w:rPr>
          <w:color w:val="262526"/>
          <w:sz w:val="20"/>
        </w:rPr>
        <w:t>relevant</w:t>
      </w:r>
      <w:r>
        <w:rPr>
          <w:color w:val="262526"/>
          <w:spacing w:val="10"/>
          <w:sz w:val="20"/>
        </w:rPr>
        <w:t xml:space="preserve"> </w:t>
      </w:r>
      <w:hyperlink w:anchor="_bookmark3609" w:history="1">
        <w:r>
          <w:rPr>
            <w:i/>
            <w:color w:val="0000FF"/>
            <w:sz w:val="20"/>
          </w:rPr>
          <w:t>Performance</w:t>
        </w:r>
        <w:r>
          <w:rPr>
            <w:i/>
            <w:color w:val="0000FF"/>
            <w:spacing w:val="10"/>
            <w:sz w:val="20"/>
          </w:rPr>
          <w:t xml:space="preserve"> </w:t>
        </w:r>
        <w:r>
          <w:rPr>
            <w:i/>
            <w:color w:val="0000FF"/>
            <w:sz w:val="20"/>
          </w:rPr>
          <w:t>Requirements</w:t>
        </w:r>
        <w:r>
          <w:rPr>
            <w:i/>
            <w:color w:val="0000FF"/>
            <w:spacing w:val="10"/>
            <w:sz w:val="20"/>
          </w:rPr>
          <w:t xml:space="preserve"> </w:t>
        </w:r>
      </w:hyperlink>
      <w:r>
        <w:rPr>
          <w:color w:val="262526"/>
          <w:sz w:val="20"/>
        </w:rPr>
        <w:t>from</w:t>
      </w:r>
      <w:r>
        <w:rPr>
          <w:color w:val="262526"/>
          <w:spacing w:val="11"/>
          <w:sz w:val="20"/>
        </w:rPr>
        <w:t xml:space="preserve"> </w:t>
      </w:r>
      <w:r>
        <w:rPr>
          <w:color w:val="262526"/>
          <w:sz w:val="20"/>
        </w:rPr>
        <w:t>the</w:t>
      </w:r>
      <w:r>
        <w:rPr>
          <w:color w:val="262526"/>
          <w:spacing w:val="10"/>
          <w:sz w:val="20"/>
        </w:rPr>
        <w:t xml:space="preserve"> </w:t>
      </w:r>
      <w:r>
        <w:rPr>
          <w:color w:val="262526"/>
          <w:sz w:val="20"/>
        </w:rPr>
        <w:t>Section</w:t>
      </w:r>
      <w:r>
        <w:rPr>
          <w:color w:val="262526"/>
          <w:spacing w:val="10"/>
          <w:sz w:val="20"/>
        </w:rPr>
        <w:t xml:space="preserve"> </w:t>
      </w:r>
      <w:r>
        <w:rPr>
          <w:color w:val="262526"/>
          <w:sz w:val="20"/>
        </w:rPr>
        <w:t>or</w:t>
      </w:r>
      <w:r>
        <w:rPr>
          <w:color w:val="262526"/>
          <w:spacing w:val="11"/>
          <w:sz w:val="20"/>
        </w:rPr>
        <w:t xml:space="preserve"> </w:t>
      </w:r>
      <w:r>
        <w:rPr>
          <w:color w:val="262526"/>
          <w:sz w:val="20"/>
        </w:rPr>
        <w:t>Part</w:t>
      </w:r>
      <w:r>
        <w:rPr>
          <w:color w:val="262526"/>
          <w:spacing w:val="10"/>
          <w:sz w:val="20"/>
        </w:rPr>
        <w:t xml:space="preserve"> </w:t>
      </w:r>
      <w:r>
        <w:rPr>
          <w:color w:val="262526"/>
          <w:sz w:val="20"/>
        </w:rPr>
        <w:t>to</w:t>
      </w:r>
      <w:r>
        <w:rPr>
          <w:color w:val="262526"/>
          <w:spacing w:val="11"/>
          <w:sz w:val="20"/>
        </w:rPr>
        <w:t xml:space="preserve"> </w:t>
      </w:r>
      <w:r>
        <w:rPr>
          <w:color w:val="262526"/>
          <w:sz w:val="20"/>
        </w:rPr>
        <w:t>which</w:t>
      </w:r>
      <w:r>
        <w:rPr>
          <w:color w:val="262526"/>
          <w:spacing w:val="10"/>
          <w:sz w:val="20"/>
        </w:rPr>
        <w:t xml:space="preserve"> </w:t>
      </w:r>
      <w:r>
        <w:rPr>
          <w:color w:val="262526"/>
          <w:sz w:val="20"/>
        </w:rPr>
        <w:t>the</w:t>
      </w:r>
      <w:r>
        <w:rPr>
          <w:color w:val="262526"/>
          <w:spacing w:val="9"/>
          <w:sz w:val="20"/>
        </w:rPr>
        <w:t xml:space="preserve"> </w:t>
      </w:r>
      <w:hyperlink w:anchor="_bookmark3607" w:history="1">
        <w:r>
          <w:rPr>
            <w:i/>
            <w:color w:val="0000FF"/>
            <w:sz w:val="20"/>
          </w:rPr>
          <w:t>Performance</w:t>
        </w:r>
        <w:r>
          <w:rPr>
            <w:i/>
            <w:color w:val="0000FF"/>
            <w:spacing w:val="11"/>
            <w:sz w:val="20"/>
          </w:rPr>
          <w:t xml:space="preserve"> </w:t>
        </w:r>
        <w:r>
          <w:rPr>
            <w:i/>
            <w:color w:val="0000FF"/>
            <w:sz w:val="20"/>
          </w:rPr>
          <w:t>Solution</w:t>
        </w:r>
      </w:hyperlink>
      <w:r>
        <w:rPr>
          <w:i/>
          <w:color w:val="0000FF"/>
          <w:sz w:val="20"/>
        </w:rPr>
        <w:t xml:space="preserve"> </w:t>
      </w:r>
      <w:r w:rsidRPr="003A766E">
        <w:rPr>
          <w:sz w:val="20"/>
        </w:rPr>
        <w:t>applies.</w:t>
      </w:r>
    </w:p>
    <w:p w:rsidR="007D640B" w:rsidRDefault="007D640B" w:rsidP="00FF3BDF">
      <w:pPr>
        <w:pStyle w:val="ListParagraph"/>
        <w:widowControl w:val="0"/>
        <w:numPr>
          <w:ilvl w:val="1"/>
          <w:numId w:val="10"/>
        </w:numPr>
        <w:tabs>
          <w:tab w:val="left" w:pos="1511"/>
          <w:tab w:val="left" w:pos="1512"/>
          <w:tab w:val="left" w:pos="10065"/>
        </w:tabs>
        <w:autoSpaceDE w:val="0"/>
        <w:autoSpaceDN w:val="0"/>
        <w:spacing w:before="10" w:after="0" w:line="240" w:lineRule="auto"/>
        <w:ind w:left="1511" w:right="845"/>
        <w:contextualSpacing w:val="0"/>
        <w:rPr>
          <w:color w:val="262526"/>
          <w:sz w:val="20"/>
        </w:rPr>
      </w:pPr>
      <w:r w:rsidRPr="003A766E">
        <w:rPr>
          <w:color w:val="262526"/>
          <w:sz w:val="20"/>
        </w:rPr>
        <w:t>Identify</w:t>
      </w:r>
      <w:r w:rsidRPr="003A766E">
        <w:rPr>
          <w:color w:val="262526"/>
          <w:spacing w:val="33"/>
          <w:sz w:val="20"/>
        </w:rPr>
        <w:t xml:space="preserve"> </w:t>
      </w:r>
      <w:hyperlink w:anchor="_bookmark3609" w:history="1">
        <w:r w:rsidRPr="003A766E">
          <w:rPr>
            <w:i/>
            <w:color w:val="0000FF"/>
            <w:sz w:val="20"/>
          </w:rPr>
          <w:t>Performance</w:t>
        </w:r>
        <w:r w:rsidRPr="003A766E">
          <w:rPr>
            <w:i/>
            <w:color w:val="0000FF"/>
            <w:spacing w:val="33"/>
            <w:sz w:val="20"/>
          </w:rPr>
          <w:t xml:space="preserve"> </w:t>
        </w:r>
        <w:r w:rsidRPr="003A766E">
          <w:rPr>
            <w:i/>
            <w:color w:val="0000FF"/>
            <w:sz w:val="20"/>
          </w:rPr>
          <w:t>Requirements</w:t>
        </w:r>
      </w:hyperlink>
      <w:r w:rsidRPr="003A766E">
        <w:rPr>
          <w:i/>
          <w:color w:val="0000FF"/>
          <w:spacing w:val="33"/>
          <w:sz w:val="20"/>
        </w:rPr>
        <w:t xml:space="preserve"> </w:t>
      </w:r>
      <w:r w:rsidRPr="003A766E">
        <w:rPr>
          <w:color w:val="262526"/>
          <w:sz w:val="20"/>
        </w:rPr>
        <w:t>from</w:t>
      </w:r>
      <w:r w:rsidRPr="003A766E">
        <w:rPr>
          <w:color w:val="262526"/>
          <w:spacing w:val="33"/>
          <w:sz w:val="20"/>
        </w:rPr>
        <w:t xml:space="preserve"> </w:t>
      </w:r>
      <w:r w:rsidRPr="003A766E">
        <w:rPr>
          <w:color w:val="262526"/>
          <w:sz w:val="20"/>
        </w:rPr>
        <w:t>other</w:t>
      </w:r>
      <w:r w:rsidRPr="003A766E">
        <w:rPr>
          <w:color w:val="262526"/>
          <w:spacing w:val="33"/>
          <w:sz w:val="20"/>
        </w:rPr>
        <w:t xml:space="preserve"> </w:t>
      </w:r>
      <w:r w:rsidRPr="003A766E">
        <w:rPr>
          <w:color w:val="262526"/>
          <w:sz w:val="20"/>
        </w:rPr>
        <w:t>Sections</w:t>
      </w:r>
      <w:r w:rsidRPr="003A766E">
        <w:rPr>
          <w:color w:val="262526"/>
          <w:spacing w:val="34"/>
          <w:sz w:val="20"/>
        </w:rPr>
        <w:t xml:space="preserve"> </w:t>
      </w:r>
      <w:r w:rsidRPr="003A766E">
        <w:rPr>
          <w:color w:val="262526"/>
          <w:sz w:val="20"/>
        </w:rPr>
        <w:t>or</w:t>
      </w:r>
      <w:r w:rsidRPr="003A766E">
        <w:rPr>
          <w:color w:val="262526"/>
          <w:spacing w:val="33"/>
          <w:sz w:val="20"/>
        </w:rPr>
        <w:t xml:space="preserve"> </w:t>
      </w:r>
      <w:r w:rsidRPr="003A766E">
        <w:rPr>
          <w:color w:val="262526"/>
          <w:sz w:val="20"/>
        </w:rPr>
        <w:t>Parts</w:t>
      </w:r>
      <w:r w:rsidRPr="003A766E">
        <w:rPr>
          <w:color w:val="262526"/>
          <w:spacing w:val="33"/>
          <w:sz w:val="20"/>
        </w:rPr>
        <w:t xml:space="preserve"> </w:t>
      </w:r>
      <w:r w:rsidRPr="003A766E">
        <w:rPr>
          <w:color w:val="262526"/>
          <w:sz w:val="20"/>
        </w:rPr>
        <w:t>that</w:t>
      </w:r>
      <w:r w:rsidRPr="003A766E">
        <w:rPr>
          <w:color w:val="262526"/>
          <w:spacing w:val="33"/>
          <w:sz w:val="20"/>
        </w:rPr>
        <w:t xml:space="preserve"> </w:t>
      </w:r>
      <w:r w:rsidRPr="003A766E">
        <w:rPr>
          <w:color w:val="262526"/>
          <w:sz w:val="20"/>
        </w:rPr>
        <w:t>are</w:t>
      </w:r>
      <w:r w:rsidRPr="003A766E">
        <w:rPr>
          <w:color w:val="262526"/>
          <w:spacing w:val="33"/>
          <w:sz w:val="20"/>
        </w:rPr>
        <w:t xml:space="preserve"> </w:t>
      </w:r>
      <w:r w:rsidRPr="003A766E">
        <w:rPr>
          <w:color w:val="262526"/>
          <w:sz w:val="20"/>
        </w:rPr>
        <w:t>relevant</w:t>
      </w:r>
      <w:r w:rsidRPr="003A766E">
        <w:rPr>
          <w:color w:val="262526"/>
          <w:spacing w:val="34"/>
          <w:sz w:val="20"/>
        </w:rPr>
        <w:t xml:space="preserve"> </w:t>
      </w:r>
      <w:r w:rsidRPr="003A766E">
        <w:rPr>
          <w:color w:val="262526"/>
          <w:sz w:val="20"/>
        </w:rPr>
        <w:t>to</w:t>
      </w:r>
      <w:r w:rsidRPr="003A766E">
        <w:rPr>
          <w:color w:val="262526"/>
          <w:spacing w:val="33"/>
          <w:sz w:val="20"/>
        </w:rPr>
        <w:t xml:space="preserve"> </w:t>
      </w:r>
      <w:r w:rsidRPr="003A766E">
        <w:rPr>
          <w:color w:val="262526"/>
          <w:sz w:val="20"/>
        </w:rPr>
        <w:t>any</w:t>
      </w:r>
      <w:r w:rsidRPr="003A766E">
        <w:rPr>
          <w:color w:val="262526"/>
          <w:spacing w:val="33"/>
          <w:sz w:val="20"/>
        </w:rPr>
        <w:t xml:space="preserve"> </w:t>
      </w:r>
      <w:r w:rsidRPr="003A766E">
        <w:rPr>
          <w:color w:val="262526"/>
          <w:sz w:val="20"/>
        </w:rPr>
        <w:t>aspects</w:t>
      </w:r>
      <w:r w:rsidRPr="003A766E">
        <w:rPr>
          <w:color w:val="262526"/>
          <w:spacing w:val="33"/>
          <w:sz w:val="20"/>
        </w:rPr>
        <w:t xml:space="preserve"> </w:t>
      </w:r>
      <w:r w:rsidRPr="003A766E">
        <w:rPr>
          <w:color w:val="262526"/>
          <w:sz w:val="20"/>
        </w:rPr>
        <w:t>of</w:t>
      </w:r>
      <w:r w:rsidRPr="003A766E">
        <w:rPr>
          <w:color w:val="262526"/>
          <w:spacing w:val="33"/>
          <w:sz w:val="20"/>
        </w:rPr>
        <w:t xml:space="preserve"> </w:t>
      </w:r>
      <w:r w:rsidRPr="003A766E">
        <w:rPr>
          <w:color w:val="262526"/>
          <w:spacing w:val="2"/>
          <w:sz w:val="20"/>
        </w:rPr>
        <w:t>the</w:t>
      </w:r>
      <w:r>
        <w:rPr>
          <w:color w:val="262526"/>
          <w:spacing w:val="2"/>
          <w:sz w:val="20"/>
        </w:rPr>
        <w:t xml:space="preserve"> </w:t>
      </w:r>
      <w:hyperlink w:anchor="_bookmark3607" w:history="1">
        <w:r w:rsidRPr="003A766E">
          <w:rPr>
            <w:i/>
            <w:color w:val="0000FF"/>
            <w:sz w:val="20"/>
          </w:rPr>
          <w:t xml:space="preserve">Performance Solution </w:t>
        </w:r>
      </w:hyperlink>
      <w:r w:rsidRPr="003A766E">
        <w:rPr>
          <w:color w:val="262526"/>
          <w:sz w:val="20"/>
        </w:rPr>
        <w:t xml:space="preserve">proposed or that are affected by the application of the </w:t>
      </w:r>
      <w:hyperlink w:anchor="_bookmark3607" w:history="1">
        <w:r w:rsidRPr="003A766E">
          <w:rPr>
            <w:i/>
            <w:color w:val="0000FF"/>
            <w:sz w:val="20"/>
          </w:rPr>
          <w:t>Performance Solution</w:t>
        </w:r>
      </w:hyperlink>
      <w:r w:rsidRPr="003A766E">
        <w:rPr>
          <w:color w:val="262526"/>
          <w:sz w:val="20"/>
        </w:rPr>
        <w:t>.</w:t>
      </w:r>
    </w:p>
    <w:p w:rsidR="007D640B" w:rsidRPr="00DF6C31" w:rsidRDefault="007D640B" w:rsidP="00DF6C31">
      <w:pPr>
        <w:pStyle w:val="ListParagraph"/>
        <w:widowControl w:val="0"/>
        <w:tabs>
          <w:tab w:val="left" w:pos="1511"/>
          <w:tab w:val="left" w:pos="1512"/>
          <w:tab w:val="left" w:pos="10065"/>
        </w:tabs>
        <w:autoSpaceDE w:val="0"/>
        <w:autoSpaceDN w:val="0"/>
        <w:spacing w:before="10" w:after="0" w:line="240" w:lineRule="auto"/>
        <w:ind w:left="1511" w:right="845"/>
        <w:contextualSpacing w:val="0"/>
        <w:rPr>
          <w:color w:val="262526"/>
          <w:sz w:val="20"/>
        </w:rPr>
      </w:pPr>
    </w:p>
    <w:tbl>
      <w:tblPr>
        <w:tblStyle w:val="TableGrid"/>
        <w:tblW w:w="0" w:type="auto"/>
        <w:tblInd w:w="562" w:type="dxa"/>
        <w:tblLook w:val="0480" w:firstRow="0" w:lastRow="0" w:firstColumn="1" w:lastColumn="0" w:noHBand="0" w:noVBand="1"/>
        <w:tblCaption w:val="Text box"/>
      </w:tblPr>
      <w:tblGrid>
        <w:gridCol w:w="8498"/>
      </w:tblGrid>
      <w:tr w:rsidR="007D640B" w:rsidTr="003756FF">
        <w:trPr>
          <w:tblHeader/>
        </w:trPr>
        <w:tc>
          <w:tcPr>
            <w:tcW w:w="9498" w:type="dxa"/>
          </w:tcPr>
          <w:p w:rsidR="007D640B" w:rsidRPr="003474AA" w:rsidRDefault="007D640B" w:rsidP="005955CC">
            <w:pPr>
              <w:tabs>
                <w:tab w:val="left" w:pos="1511"/>
                <w:tab w:val="left" w:pos="1512"/>
                <w:tab w:val="left" w:pos="10065"/>
              </w:tabs>
              <w:spacing w:before="120"/>
              <w:ind w:right="845"/>
              <w:rPr>
                <w:b/>
                <w:sz w:val="20"/>
              </w:rPr>
            </w:pPr>
            <w:r w:rsidRPr="003474AA">
              <w:rPr>
                <w:b/>
                <w:sz w:val="20"/>
              </w:rPr>
              <w:t xml:space="preserve">Note to </w:t>
            </w:r>
            <w:r>
              <w:rPr>
                <w:b/>
                <w:sz w:val="20"/>
              </w:rPr>
              <w:t>p</w:t>
            </w:r>
            <w:r w:rsidRPr="003474AA">
              <w:rPr>
                <w:b/>
                <w:sz w:val="20"/>
              </w:rPr>
              <w:t>re-</w:t>
            </w:r>
            <w:r>
              <w:rPr>
                <w:b/>
                <w:sz w:val="20"/>
              </w:rPr>
              <w:t>p</w:t>
            </w:r>
            <w:r w:rsidRPr="003474AA">
              <w:rPr>
                <w:b/>
                <w:sz w:val="20"/>
              </w:rPr>
              <w:t xml:space="preserve">ublication </w:t>
            </w:r>
            <w:r>
              <w:rPr>
                <w:b/>
                <w:sz w:val="20"/>
              </w:rPr>
              <w:t>d</w:t>
            </w:r>
            <w:r w:rsidRPr="003474AA">
              <w:rPr>
                <w:b/>
                <w:sz w:val="20"/>
              </w:rPr>
              <w:t>raft:</w:t>
            </w:r>
          </w:p>
          <w:p w:rsidR="007D640B" w:rsidRPr="009C030F" w:rsidRDefault="007D640B" w:rsidP="005955CC">
            <w:pPr>
              <w:tabs>
                <w:tab w:val="left" w:pos="1511"/>
                <w:tab w:val="left" w:pos="1512"/>
                <w:tab w:val="left" w:pos="10065"/>
              </w:tabs>
              <w:spacing w:before="10" w:after="120"/>
              <w:rPr>
                <w:sz w:val="20"/>
              </w:rPr>
            </w:pPr>
            <w:r>
              <w:rPr>
                <w:sz w:val="20"/>
              </w:rPr>
              <w:t>Inclusion of A2.2(4), including its accompanying note and explanatory information, in this amendment is subject to consideration of impact analysis that is yet to be completed.</w:t>
            </w:r>
          </w:p>
        </w:tc>
      </w:tr>
    </w:tbl>
    <w:p w:rsidR="007D640B" w:rsidRPr="001626DC" w:rsidRDefault="007D640B" w:rsidP="00FF3BDF">
      <w:pPr>
        <w:pStyle w:val="ListParagraph"/>
        <w:widowControl w:val="0"/>
        <w:numPr>
          <w:ilvl w:val="0"/>
          <w:numId w:val="12"/>
        </w:numPr>
        <w:tabs>
          <w:tab w:val="left" w:pos="1079"/>
          <w:tab w:val="left" w:pos="1080"/>
          <w:tab w:val="left" w:pos="10065"/>
        </w:tabs>
        <w:autoSpaceDE w:val="0"/>
        <w:autoSpaceDN w:val="0"/>
        <w:spacing w:before="130" w:after="0" w:line="240" w:lineRule="auto"/>
        <w:ind w:right="845"/>
        <w:contextualSpacing w:val="0"/>
        <w:rPr>
          <w:color w:val="006600"/>
          <w:sz w:val="20"/>
          <w:u w:val="single"/>
        </w:rPr>
      </w:pPr>
      <w:r w:rsidRPr="001626DC">
        <w:rPr>
          <w:color w:val="006600"/>
          <w:sz w:val="20"/>
          <w:u w:val="single"/>
        </w:rPr>
        <w:t xml:space="preserve">Where a </w:t>
      </w:r>
      <w:r w:rsidRPr="001626DC">
        <w:rPr>
          <w:i/>
          <w:color w:val="006600"/>
          <w:sz w:val="20"/>
          <w:u w:val="single"/>
        </w:rPr>
        <w:t>Performance Requirement</w:t>
      </w:r>
      <w:r w:rsidRPr="001626DC">
        <w:rPr>
          <w:color w:val="006600"/>
          <w:sz w:val="20"/>
          <w:u w:val="single"/>
        </w:rPr>
        <w:t xml:space="preserve"> is proposed to be satisfied by a </w:t>
      </w:r>
      <w:r w:rsidRPr="001626DC">
        <w:rPr>
          <w:i/>
          <w:color w:val="006600"/>
          <w:sz w:val="20"/>
          <w:u w:val="single"/>
        </w:rPr>
        <w:t>Performance Solution</w:t>
      </w:r>
      <w:r>
        <w:rPr>
          <w:i/>
          <w:color w:val="006600"/>
          <w:sz w:val="20"/>
          <w:u w:val="single"/>
        </w:rPr>
        <w:t>,</w:t>
      </w:r>
      <w:r w:rsidRPr="001626DC">
        <w:rPr>
          <w:color w:val="006600"/>
          <w:sz w:val="20"/>
          <w:u w:val="single"/>
        </w:rPr>
        <w:t xml:space="preserve"> the following </w:t>
      </w:r>
      <w:r w:rsidRPr="00F66108">
        <w:rPr>
          <w:color w:val="006600"/>
          <w:sz w:val="20"/>
          <w:u w:val="single"/>
        </w:rPr>
        <w:t>steps must be undertaken</w:t>
      </w:r>
      <w:r w:rsidRPr="001626DC">
        <w:rPr>
          <w:color w:val="006600"/>
          <w:sz w:val="20"/>
          <w:u w:val="single"/>
        </w:rPr>
        <w:t>:</w:t>
      </w:r>
    </w:p>
    <w:p w:rsidR="007D640B" w:rsidRDefault="007D640B" w:rsidP="00FF3BDF">
      <w:pPr>
        <w:pStyle w:val="ListParagraph"/>
        <w:widowControl w:val="0"/>
        <w:numPr>
          <w:ilvl w:val="1"/>
          <w:numId w:val="11"/>
        </w:numPr>
        <w:tabs>
          <w:tab w:val="left" w:pos="1079"/>
          <w:tab w:val="left" w:pos="1080"/>
          <w:tab w:val="left" w:pos="10065"/>
        </w:tabs>
        <w:autoSpaceDE w:val="0"/>
        <w:autoSpaceDN w:val="0"/>
        <w:spacing w:before="130" w:after="0" w:line="240" w:lineRule="auto"/>
        <w:ind w:right="845"/>
        <w:contextualSpacing w:val="0"/>
        <w:rPr>
          <w:color w:val="006600"/>
          <w:sz w:val="20"/>
          <w:u w:val="single"/>
        </w:rPr>
      </w:pPr>
      <w:r w:rsidRPr="001626DC">
        <w:rPr>
          <w:color w:val="006600"/>
          <w:sz w:val="20"/>
          <w:u w:val="single"/>
        </w:rPr>
        <w:t xml:space="preserve">Prepare a </w:t>
      </w:r>
      <w:r>
        <w:rPr>
          <w:i/>
          <w:color w:val="006600"/>
          <w:sz w:val="20"/>
          <w:u w:val="single"/>
        </w:rPr>
        <w:t>performance-</w:t>
      </w:r>
      <w:r w:rsidRPr="0083588D">
        <w:rPr>
          <w:i/>
          <w:color w:val="006600"/>
          <w:sz w:val="20"/>
          <w:u w:val="single"/>
        </w:rPr>
        <w:t>based design brief</w:t>
      </w:r>
      <w:r>
        <w:rPr>
          <w:color w:val="006600"/>
          <w:sz w:val="20"/>
          <w:u w:val="single"/>
        </w:rPr>
        <w:t xml:space="preserve"> in consultation with relevant stakeholders.</w:t>
      </w:r>
    </w:p>
    <w:p w:rsidR="007D640B" w:rsidRDefault="007D640B" w:rsidP="00FF3BDF">
      <w:pPr>
        <w:pStyle w:val="ListParagraph"/>
        <w:widowControl w:val="0"/>
        <w:numPr>
          <w:ilvl w:val="1"/>
          <w:numId w:val="11"/>
        </w:numPr>
        <w:tabs>
          <w:tab w:val="left" w:pos="1079"/>
          <w:tab w:val="left" w:pos="1080"/>
          <w:tab w:val="left" w:pos="10065"/>
        </w:tabs>
        <w:autoSpaceDE w:val="0"/>
        <w:autoSpaceDN w:val="0"/>
        <w:spacing w:before="130" w:after="0" w:line="240" w:lineRule="auto"/>
        <w:ind w:right="845"/>
        <w:contextualSpacing w:val="0"/>
        <w:rPr>
          <w:color w:val="006600"/>
          <w:sz w:val="20"/>
          <w:u w:val="single"/>
        </w:rPr>
      </w:pPr>
      <w:r>
        <w:rPr>
          <w:color w:val="006600"/>
          <w:sz w:val="20"/>
          <w:u w:val="single"/>
        </w:rPr>
        <w:t xml:space="preserve">Carry out analysis, using one or more of the </w:t>
      </w:r>
      <w:r w:rsidRPr="00AE2CD8">
        <w:rPr>
          <w:i/>
          <w:color w:val="006600"/>
          <w:sz w:val="20"/>
          <w:u w:val="single"/>
        </w:rPr>
        <w:t>Assessment Methods</w:t>
      </w:r>
      <w:r>
        <w:rPr>
          <w:color w:val="006600"/>
          <w:sz w:val="20"/>
          <w:u w:val="single"/>
        </w:rPr>
        <w:t xml:space="preserve"> listed in (2), as proposed by the </w:t>
      </w:r>
      <w:r>
        <w:rPr>
          <w:i/>
          <w:color w:val="006600"/>
          <w:sz w:val="20"/>
          <w:u w:val="single"/>
        </w:rPr>
        <w:t>performance-</w:t>
      </w:r>
      <w:r w:rsidRPr="0083588D">
        <w:rPr>
          <w:i/>
          <w:color w:val="006600"/>
          <w:sz w:val="20"/>
          <w:u w:val="single"/>
        </w:rPr>
        <w:t>based design brief</w:t>
      </w:r>
      <w:r>
        <w:rPr>
          <w:color w:val="006600"/>
          <w:sz w:val="20"/>
          <w:u w:val="single"/>
        </w:rPr>
        <w:t>.</w:t>
      </w:r>
    </w:p>
    <w:p w:rsidR="007D640B" w:rsidRDefault="007D640B" w:rsidP="00FF3BDF">
      <w:pPr>
        <w:pStyle w:val="ListParagraph"/>
        <w:widowControl w:val="0"/>
        <w:numPr>
          <w:ilvl w:val="1"/>
          <w:numId w:val="11"/>
        </w:numPr>
        <w:tabs>
          <w:tab w:val="left" w:pos="1079"/>
          <w:tab w:val="left" w:pos="1080"/>
          <w:tab w:val="left" w:pos="10065"/>
        </w:tabs>
        <w:autoSpaceDE w:val="0"/>
        <w:autoSpaceDN w:val="0"/>
        <w:spacing w:before="130" w:after="0" w:line="240" w:lineRule="auto"/>
        <w:ind w:right="845"/>
        <w:contextualSpacing w:val="0"/>
        <w:rPr>
          <w:color w:val="006600"/>
          <w:sz w:val="20"/>
          <w:u w:val="single"/>
        </w:rPr>
      </w:pPr>
      <w:r>
        <w:rPr>
          <w:color w:val="006600"/>
          <w:sz w:val="20"/>
          <w:u w:val="single"/>
        </w:rPr>
        <w:lastRenderedPageBreak/>
        <w:t xml:space="preserve">Evaluate results from (b) against the acceptance criteria in the </w:t>
      </w:r>
      <w:r>
        <w:rPr>
          <w:i/>
          <w:color w:val="006600"/>
          <w:sz w:val="20"/>
          <w:u w:val="single"/>
        </w:rPr>
        <w:t>performance-</w:t>
      </w:r>
      <w:r w:rsidRPr="0083588D">
        <w:rPr>
          <w:i/>
          <w:color w:val="006600"/>
          <w:sz w:val="20"/>
          <w:u w:val="single"/>
        </w:rPr>
        <w:t>based design brief</w:t>
      </w:r>
      <w:r>
        <w:rPr>
          <w:color w:val="006600"/>
          <w:sz w:val="20"/>
          <w:u w:val="single"/>
        </w:rPr>
        <w:t>.</w:t>
      </w:r>
    </w:p>
    <w:p w:rsidR="007D640B" w:rsidRDefault="007D640B" w:rsidP="00FF3BDF">
      <w:pPr>
        <w:pStyle w:val="ListParagraph"/>
        <w:widowControl w:val="0"/>
        <w:numPr>
          <w:ilvl w:val="1"/>
          <w:numId w:val="11"/>
        </w:numPr>
        <w:tabs>
          <w:tab w:val="left" w:pos="1079"/>
          <w:tab w:val="left" w:pos="1080"/>
          <w:tab w:val="left" w:pos="10065"/>
        </w:tabs>
        <w:autoSpaceDE w:val="0"/>
        <w:autoSpaceDN w:val="0"/>
        <w:spacing w:before="130" w:after="0" w:line="240" w:lineRule="auto"/>
        <w:ind w:right="845"/>
        <w:contextualSpacing w:val="0"/>
        <w:rPr>
          <w:color w:val="006600"/>
          <w:sz w:val="20"/>
          <w:u w:val="single"/>
        </w:rPr>
      </w:pPr>
      <w:r>
        <w:rPr>
          <w:color w:val="006600"/>
          <w:sz w:val="20"/>
          <w:u w:val="single"/>
        </w:rPr>
        <w:t>Prepare a final report that includes—</w:t>
      </w:r>
    </w:p>
    <w:p w:rsidR="007D640B" w:rsidRDefault="007D640B" w:rsidP="00FF3BDF">
      <w:pPr>
        <w:pStyle w:val="ListParagraph"/>
        <w:widowControl w:val="0"/>
        <w:numPr>
          <w:ilvl w:val="2"/>
          <w:numId w:val="11"/>
        </w:numPr>
        <w:tabs>
          <w:tab w:val="left" w:pos="1079"/>
          <w:tab w:val="left" w:pos="1080"/>
          <w:tab w:val="left" w:pos="10065"/>
        </w:tabs>
        <w:autoSpaceDE w:val="0"/>
        <w:autoSpaceDN w:val="0"/>
        <w:spacing w:before="130" w:after="0" w:line="240" w:lineRule="auto"/>
        <w:ind w:right="845"/>
        <w:contextualSpacing w:val="0"/>
        <w:rPr>
          <w:color w:val="006600"/>
          <w:sz w:val="20"/>
          <w:u w:val="single"/>
        </w:rPr>
      </w:pPr>
      <w:r>
        <w:rPr>
          <w:color w:val="006600"/>
          <w:sz w:val="20"/>
          <w:u w:val="single"/>
        </w:rPr>
        <w:t xml:space="preserve">all </w:t>
      </w:r>
      <w:r w:rsidRPr="001626DC">
        <w:rPr>
          <w:i/>
          <w:color w:val="006600"/>
          <w:sz w:val="20"/>
          <w:u w:val="single"/>
        </w:rPr>
        <w:t>Performance Requirements</w:t>
      </w:r>
      <w:r>
        <w:rPr>
          <w:color w:val="006600"/>
          <w:sz w:val="20"/>
          <w:u w:val="single"/>
        </w:rPr>
        <w:t xml:space="preserve"> and/or </w:t>
      </w:r>
      <w:r>
        <w:rPr>
          <w:i/>
          <w:color w:val="006600"/>
          <w:sz w:val="20"/>
          <w:u w:val="single"/>
        </w:rPr>
        <w:t>Deemed-to-Satisfy Provisions</w:t>
      </w:r>
      <w:r>
        <w:rPr>
          <w:color w:val="006600"/>
          <w:sz w:val="20"/>
          <w:u w:val="single"/>
        </w:rPr>
        <w:t xml:space="preserve"> identified through A2.2(3) or A2.4(3) as applicable; and</w:t>
      </w:r>
    </w:p>
    <w:p w:rsidR="007D640B" w:rsidRDefault="007D640B" w:rsidP="00FF3BDF">
      <w:pPr>
        <w:pStyle w:val="ListParagraph"/>
        <w:widowControl w:val="0"/>
        <w:numPr>
          <w:ilvl w:val="2"/>
          <w:numId w:val="11"/>
        </w:numPr>
        <w:tabs>
          <w:tab w:val="left" w:pos="1079"/>
          <w:tab w:val="left" w:pos="1080"/>
          <w:tab w:val="left" w:pos="10065"/>
        </w:tabs>
        <w:autoSpaceDE w:val="0"/>
        <w:autoSpaceDN w:val="0"/>
        <w:spacing w:before="130" w:after="0" w:line="240" w:lineRule="auto"/>
        <w:ind w:right="845"/>
        <w:contextualSpacing w:val="0"/>
        <w:rPr>
          <w:color w:val="006600"/>
          <w:sz w:val="20"/>
          <w:u w:val="single"/>
        </w:rPr>
      </w:pPr>
      <w:r>
        <w:rPr>
          <w:color w:val="006600"/>
          <w:sz w:val="20"/>
          <w:u w:val="single"/>
        </w:rPr>
        <w:t xml:space="preserve">identification of all </w:t>
      </w:r>
      <w:r>
        <w:rPr>
          <w:i/>
          <w:color w:val="006600"/>
          <w:sz w:val="20"/>
          <w:u w:val="single"/>
        </w:rPr>
        <w:t>Assessment Methods</w:t>
      </w:r>
      <w:r>
        <w:rPr>
          <w:color w:val="006600"/>
          <w:sz w:val="20"/>
          <w:u w:val="single"/>
        </w:rPr>
        <w:t xml:space="preserve"> used; and</w:t>
      </w:r>
    </w:p>
    <w:p w:rsidR="007D640B" w:rsidRDefault="007D640B" w:rsidP="00FF3BDF">
      <w:pPr>
        <w:pStyle w:val="ListParagraph"/>
        <w:widowControl w:val="0"/>
        <w:numPr>
          <w:ilvl w:val="2"/>
          <w:numId w:val="11"/>
        </w:numPr>
        <w:tabs>
          <w:tab w:val="left" w:pos="1079"/>
          <w:tab w:val="left" w:pos="1080"/>
          <w:tab w:val="left" w:pos="10065"/>
        </w:tabs>
        <w:autoSpaceDE w:val="0"/>
        <w:autoSpaceDN w:val="0"/>
        <w:spacing w:before="130" w:after="0" w:line="240" w:lineRule="auto"/>
        <w:ind w:right="845"/>
        <w:contextualSpacing w:val="0"/>
        <w:rPr>
          <w:color w:val="006600"/>
          <w:sz w:val="20"/>
          <w:u w:val="single"/>
        </w:rPr>
      </w:pPr>
      <w:r>
        <w:rPr>
          <w:color w:val="006600"/>
          <w:sz w:val="20"/>
          <w:u w:val="single"/>
        </w:rPr>
        <w:t>details of steps (a) to (c); and</w:t>
      </w:r>
    </w:p>
    <w:p w:rsidR="007D640B" w:rsidRDefault="007D640B" w:rsidP="00FF3BDF">
      <w:pPr>
        <w:pStyle w:val="ListParagraph"/>
        <w:widowControl w:val="0"/>
        <w:numPr>
          <w:ilvl w:val="2"/>
          <w:numId w:val="11"/>
        </w:numPr>
        <w:tabs>
          <w:tab w:val="left" w:pos="1079"/>
          <w:tab w:val="left" w:pos="1080"/>
        </w:tabs>
        <w:autoSpaceDE w:val="0"/>
        <w:autoSpaceDN w:val="0"/>
        <w:spacing w:before="130" w:after="0" w:line="240" w:lineRule="auto"/>
        <w:ind w:right="845"/>
        <w:contextualSpacing w:val="0"/>
        <w:rPr>
          <w:color w:val="006600"/>
          <w:sz w:val="20"/>
          <w:u w:val="single"/>
        </w:rPr>
      </w:pPr>
      <w:r>
        <w:rPr>
          <w:color w:val="006600"/>
          <w:sz w:val="20"/>
          <w:u w:val="single"/>
        </w:rPr>
        <w:t xml:space="preserve">confirmation that the </w:t>
      </w:r>
      <w:r>
        <w:rPr>
          <w:i/>
          <w:color w:val="006600"/>
          <w:sz w:val="20"/>
          <w:u w:val="single"/>
        </w:rPr>
        <w:t>Performance Requirement</w:t>
      </w:r>
      <w:r>
        <w:rPr>
          <w:color w:val="006600"/>
          <w:sz w:val="20"/>
          <w:u w:val="single"/>
        </w:rPr>
        <w:t xml:space="preserve"> has been met; and</w:t>
      </w:r>
    </w:p>
    <w:p w:rsidR="007D640B" w:rsidRDefault="007D640B" w:rsidP="00FF3BDF">
      <w:pPr>
        <w:pStyle w:val="ListParagraph"/>
        <w:widowControl w:val="0"/>
        <w:numPr>
          <w:ilvl w:val="2"/>
          <w:numId w:val="11"/>
        </w:numPr>
        <w:tabs>
          <w:tab w:val="left" w:pos="1079"/>
          <w:tab w:val="left" w:pos="1080"/>
        </w:tabs>
        <w:autoSpaceDE w:val="0"/>
        <w:autoSpaceDN w:val="0"/>
        <w:spacing w:before="130" w:after="0" w:line="240" w:lineRule="auto"/>
        <w:ind w:right="845"/>
        <w:contextualSpacing w:val="0"/>
        <w:rPr>
          <w:color w:val="006600"/>
          <w:sz w:val="20"/>
          <w:u w:val="single"/>
        </w:rPr>
      </w:pPr>
      <w:r w:rsidRPr="008E1210">
        <w:rPr>
          <w:color w:val="006600"/>
          <w:sz w:val="20"/>
          <w:u w:val="single"/>
        </w:rPr>
        <w:t xml:space="preserve">details of conditions or limitations, if any exist, regarding the </w:t>
      </w:r>
      <w:r w:rsidRPr="008E1210">
        <w:rPr>
          <w:i/>
          <w:color w:val="006600"/>
          <w:sz w:val="20"/>
          <w:u w:val="single"/>
        </w:rPr>
        <w:t>Performance Solution</w:t>
      </w:r>
      <w:r w:rsidRPr="008E1210">
        <w:rPr>
          <w:color w:val="006600"/>
          <w:sz w:val="20"/>
          <w:u w:val="single"/>
        </w:rPr>
        <w:t>.</w:t>
      </w:r>
    </w:p>
    <w:tbl>
      <w:tblPr>
        <w:tblStyle w:val="TableGrid"/>
        <w:tblW w:w="5000" w:type="pct"/>
        <w:jc w:val="center"/>
        <w:tblCellMar>
          <w:top w:w="57" w:type="dxa"/>
          <w:bottom w:w="113" w:type="dxa"/>
        </w:tblCellMar>
        <w:tblLook w:val="0480" w:firstRow="0" w:lastRow="0" w:firstColumn="1" w:lastColumn="0" w:noHBand="0" w:noVBand="1"/>
        <w:tblCaption w:val="Text box"/>
      </w:tblPr>
      <w:tblGrid>
        <w:gridCol w:w="9070"/>
      </w:tblGrid>
      <w:tr w:rsidR="007D640B" w:rsidTr="003756FF">
        <w:trPr>
          <w:tblHeader/>
          <w:jc w:val="center"/>
        </w:trPr>
        <w:tc>
          <w:tcPr>
            <w:tcW w:w="5000" w:type="pct"/>
            <w:tcBorders>
              <w:top w:val="nil"/>
              <w:left w:val="nil"/>
              <w:bottom w:val="nil"/>
              <w:right w:val="nil"/>
            </w:tcBorders>
            <w:shd w:val="clear" w:color="auto" w:fill="D9D9D9" w:themeFill="background1" w:themeFillShade="D9"/>
          </w:tcPr>
          <w:p w:rsidR="007D640B" w:rsidRPr="004379A4" w:rsidRDefault="007D640B" w:rsidP="005955CC">
            <w:pPr>
              <w:tabs>
                <w:tab w:val="left" w:pos="1079"/>
                <w:tab w:val="left" w:pos="1080"/>
              </w:tabs>
              <w:ind w:right="845"/>
              <w:rPr>
                <w:b/>
                <w:color w:val="006600"/>
                <w:sz w:val="20"/>
                <w:u w:val="single"/>
              </w:rPr>
            </w:pPr>
            <w:r w:rsidRPr="004379A4">
              <w:rPr>
                <w:b/>
                <w:color w:val="006600"/>
                <w:sz w:val="20"/>
                <w:u w:val="single"/>
              </w:rPr>
              <w:t>Note:</w:t>
            </w:r>
          </w:p>
          <w:p w:rsidR="007D640B" w:rsidRDefault="007D640B" w:rsidP="00202FEB">
            <w:pPr>
              <w:tabs>
                <w:tab w:val="left" w:pos="1079"/>
                <w:tab w:val="left" w:pos="1080"/>
              </w:tabs>
              <w:ind w:right="845"/>
              <w:rPr>
                <w:color w:val="006600"/>
                <w:sz w:val="20"/>
                <w:u w:val="single"/>
              </w:rPr>
            </w:pPr>
            <w:r>
              <w:rPr>
                <w:color w:val="006600"/>
                <w:sz w:val="20"/>
                <w:u w:val="single"/>
              </w:rPr>
              <w:t xml:space="preserve">A2.2(4) does not take effect until 1 </w:t>
            </w:r>
            <w:r w:rsidR="00202FEB">
              <w:rPr>
                <w:color w:val="006600"/>
                <w:sz w:val="20"/>
                <w:u w:val="single"/>
              </w:rPr>
              <w:t xml:space="preserve">July </w:t>
            </w:r>
            <w:r>
              <w:rPr>
                <w:color w:val="006600"/>
                <w:sz w:val="20"/>
                <w:u w:val="single"/>
              </w:rPr>
              <w:t>2021.</w:t>
            </w:r>
          </w:p>
        </w:tc>
      </w:tr>
    </w:tbl>
    <w:p w:rsidR="007D640B" w:rsidRPr="008E1210" w:rsidRDefault="007D640B" w:rsidP="005E1DCB">
      <w:pPr>
        <w:pStyle w:val="ListParagraph"/>
        <w:tabs>
          <w:tab w:val="left" w:pos="1079"/>
          <w:tab w:val="left" w:pos="1080"/>
        </w:tabs>
        <w:spacing w:line="240" w:lineRule="auto"/>
        <w:ind w:left="1945" w:right="845"/>
        <w:rPr>
          <w:color w:val="006600"/>
          <w:sz w:val="20"/>
          <w:u w:val="single"/>
        </w:rPr>
      </w:pPr>
    </w:p>
    <w:tbl>
      <w:tblPr>
        <w:tblW w:w="5000" w:type="pct"/>
        <w:jc w:val="center"/>
        <w:tblLayout w:type="fixed"/>
        <w:tblCellMar>
          <w:left w:w="0" w:type="dxa"/>
          <w:right w:w="0" w:type="dxa"/>
        </w:tblCellMar>
        <w:tblLook w:val="01E0" w:firstRow="1" w:lastRow="1" w:firstColumn="1" w:lastColumn="1" w:noHBand="0" w:noVBand="0"/>
      </w:tblPr>
      <w:tblGrid>
        <w:gridCol w:w="9070"/>
      </w:tblGrid>
      <w:tr w:rsidR="007D640B" w:rsidTr="005E1DCB">
        <w:trPr>
          <w:trHeight w:val="60"/>
          <w:jc w:val="center"/>
        </w:trPr>
        <w:tc>
          <w:tcPr>
            <w:tcW w:w="5000" w:type="pct"/>
            <w:shd w:val="clear" w:color="auto" w:fill="F9EBCA"/>
          </w:tcPr>
          <w:p w:rsidR="007D640B" w:rsidRPr="008D28B6" w:rsidRDefault="007D640B" w:rsidP="005955CC">
            <w:pPr>
              <w:spacing w:before="50" w:line="249" w:lineRule="auto"/>
              <w:ind w:left="126" w:right="158"/>
              <w:rPr>
                <w:b/>
                <w:sz w:val="20"/>
                <w:szCs w:val="20"/>
              </w:rPr>
            </w:pPr>
            <w:r w:rsidRPr="008D28B6">
              <w:rPr>
                <w:b/>
                <w:sz w:val="20"/>
                <w:szCs w:val="20"/>
              </w:rPr>
              <w:t>Explanatory information:</w:t>
            </w:r>
          </w:p>
          <w:p w:rsidR="007D640B" w:rsidRDefault="007D640B" w:rsidP="005955CC">
            <w:pPr>
              <w:spacing w:before="50" w:line="249" w:lineRule="auto"/>
              <w:ind w:left="126" w:right="158"/>
              <w:rPr>
                <w:sz w:val="20"/>
                <w:szCs w:val="20"/>
              </w:rPr>
            </w:pPr>
            <w:r>
              <w:rPr>
                <w:sz w:val="20"/>
                <w:szCs w:val="20"/>
              </w:rPr>
              <w:t>...</w:t>
            </w:r>
          </w:p>
          <w:p w:rsidR="007D640B" w:rsidRPr="008D28B6" w:rsidRDefault="007D640B" w:rsidP="005955CC">
            <w:pPr>
              <w:spacing w:before="50" w:line="249" w:lineRule="auto"/>
              <w:ind w:left="126" w:right="158"/>
              <w:rPr>
                <w:b/>
                <w:sz w:val="20"/>
                <w:szCs w:val="20"/>
                <w:u w:val="single"/>
              </w:rPr>
            </w:pPr>
            <w:r>
              <w:rPr>
                <w:sz w:val="20"/>
                <w:szCs w:val="20"/>
              </w:rPr>
              <w:t>More information on NCC compliance methods is located at www.abcb.gov.au.</w:t>
            </w:r>
          </w:p>
          <w:p w:rsidR="007D640B" w:rsidRPr="00353CEF" w:rsidRDefault="007D640B" w:rsidP="005955CC">
            <w:pPr>
              <w:spacing w:before="50" w:line="249" w:lineRule="auto"/>
              <w:ind w:left="142" w:right="142"/>
              <w:rPr>
                <w:color w:val="006600"/>
                <w:sz w:val="20"/>
                <w:szCs w:val="20"/>
                <w:u w:val="single"/>
              </w:rPr>
            </w:pPr>
            <w:r>
              <w:rPr>
                <w:color w:val="006600"/>
                <w:sz w:val="20"/>
                <w:szCs w:val="20"/>
                <w:u w:val="single"/>
              </w:rPr>
              <w:t xml:space="preserve">A2.4(2)(a) references A2.2. Therefore when using a combination of </w:t>
            </w:r>
            <w:r w:rsidRPr="00353CEF">
              <w:rPr>
                <w:i/>
                <w:color w:val="006600"/>
                <w:sz w:val="20"/>
                <w:szCs w:val="20"/>
                <w:u w:val="single"/>
              </w:rPr>
              <w:t>Performance Solutions</w:t>
            </w:r>
            <w:r>
              <w:rPr>
                <w:color w:val="006600"/>
                <w:sz w:val="20"/>
                <w:szCs w:val="20"/>
                <w:u w:val="single"/>
              </w:rPr>
              <w:t xml:space="preserve"> and </w:t>
            </w:r>
            <w:r w:rsidRPr="00353CEF">
              <w:rPr>
                <w:i/>
                <w:color w:val="006600"/>
                <w:sz w:val="20"/>
                <w:szCs w:val="20"/>
                <w:u w:val="single"/>
              </w:rPr>
              <w:t>Deemed-to-Satisfy Solutions</w:t>
            </w:r>
            <w:r>
              <w:rPr>
                <w:color w:val="006600"/>
                <w:sz w:val="20"/>
                <w:szCs w:val="20"/>
                <w:u w:val="single"/>
              </w:rPr>
              <w:t xml:space="preserve"> it is necessary to comply with A2.2(4) where a </w:t>
            </w:r>
            <w:r w:rsidRPr="007C0B34">
              <w:rPr>
                <w:i/>
                <w:color w:val="006600"/>
                <w:sz w:val="20"/>
                <w:szCs w:val="20"/>
                <w:u w:val="single"/>
              </w:rPr>
              <w:t>Performance Requirement</w:t>
            </w:r>
            <w:r>
              <w:rPr>
                <w:color w:val="006600"/>
                <w:sz w:val="20"/>
                <w:szCs w:val="20"/>
                <w:u w:val="single"/>
              </w:rPr>
              <w:t xml:space="preserve"> is proposed to be satisfied by a </w:t>
            </w:r>
            <w:r w:rsidRPr="007C0B34">
              <w:rPr>
                <w:i/>
                <w:color w:val="006600"/>
                <w:sz w:val="20"/>
                <w:szCs w:val="20"/>
                <w:u w:val="single"/>
              </w:rPr>
              <w:t>Performance Solution</w:t>
            </w:r>
            <w:r>
              <w:rPr>
                <w:color w:val="006600"/>
                <w:sz w:val="20"/>
                <w:szCs w:val="20"/>
                <w:u w:val="single"/>
              </w:rPr>
              <w:t>.</w:t>
            </w:r>
          </w:p>
        </w:tc>
      </w:tr>
      <w:bookmarkEnd w:id="115"/>
    </w:tbl>
    <w:p w:rsidR="007D640B" w:rsidRDefault="007D640B" w:rsidP="005E1DCB"/>
    <w:sectPr w:rsidR="007D640B" w:rsidSect="003F613C">
      <w:footerReference w:type="default" r:id="rId27"/>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A93" w:rsidRDefault="001C6A93" w:rsidP="00E4642F">
      <w:pPr>
        <w:spacing w:after="0" w:line="240" w:lineRule="auto"/>
      </w:pPr>
      <w:r>
        <w:separator/>
      </w:r>
    </w:p>
  </w:endnote>
  <w:endnote w:type="continuationSeparator" w:id="0">
    <w:p w:rsidR="001C6A93" w:rsidRDefault="001C6A93" w:rsidP="00E4642F">
      <w:pPr>
        <w:spacing w:after="0" w:line="240" w:lineRule="auto"/>
      </w:pPr>
      <w:r>
        <w:continuationSeparator/>
      </w:r>
    </w:p>
  </w:endnote>
  <w:endnote w:type="continuationNotice" w:id="1">
    <w:p w:rsidR="001C6A93" w:rsidRDefault="001C6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728" w:rsidRPr="002F192A" w:rsidRDefault="001A3728" w:rsidP="00315CC1">
    <w:pPr>
      <w:pStyle w:val="Footer"/>
      <w:pBdr>
        <w:top w:val="single" w:sz="12" w:space="2" w:color="17365F"/>
      </w:pBdr>
      <w:tabs>
        <w:tab w:val="left" w:pos="6096"/>
      </w:tabs>
      <w:spacing w:before="0" w:line="360" w:lineRule="auto"/>
      <w:rPr>
        <w:b/>
        <w:color w:val="17365F"/>
      </w:rPr>
    </w:pPr>
  </w:p>
  <w:p w:rsidR="001A3728" w:rsidRPr="002F192A" w:rsidRDefault="001A3728" w:rsidP="008B202B">
    <w:pPr>
      <w:pStyle w:val="Footer"/>
      <w:pBdr>
        <w:top w:val="single" w:sz="12" w:space="2" w:color="17365F"/>
      </w:pBdr>
      <w:tabs>
        <w:tab w:val="right" w:pos="9070"/>
      </w:tabs>
      <w:spacing w:before="0" w:line="360" w:lineRule="auto"/>
      <w:rPr>
        <w:b/>
        <w:color w:val="17365F"/>
      </w:rPr>
    </w:pPr>
    <w:r w:rsidRPr="002F192A">
      <w:rPr>
        <w:b/>
        <w:color w:val="17365F"/>
      </w:rPr>
      <w:t>abcb.gov.au</w:t>
    </w:r>
    <w:r w:rsidRPr="002F192A">
      <w:rPr>
        <w:b/>
        <w:color w:val="17365F"/>
      </w:rPr>
      <w:tab/>
    </w:r>
    <w:r w:rsidRPr="002F192A">
      <w:rPr>
        <w:b/>
        <w:color w:val="17365F"/>
      </w:rPr>
      <w:tab/>
      <w:t xml:space="preserve">Page </w:t>
    </w:r>
    <w:r w:rsidRPr="002F192A">
      <w:rPr>
        <w:b/>
        <w:color w:val="17365F"/>
      </w:rPr>
      <w:fldChar w:fldCharType="begin"/>
    </w:r>
    <w:r w:rsidRPr="002F192A">
      <w:rPr>
        <w:b/>
        <w:color w:val="17365F"/>
      </w:rPr>
      <w:instrText xml:space="preserve"> PAGE  \* roman  \* MERGEFORMAT </w:instrText>
    </w:r>
    <w:r w:rsidRPr="002F192A">
      <w:rPr>
        <w:b/>
        <w:color w:val="17365F"/>
      </w:rPr>
      <w:fldChar w:fldCharType="separate"/>
    </w:r>
    <w:r w:rsidR="002D1698">
      <w:rPr>
        <w:b/>
        <w:noProof/>
        <w:color w:val="17365F"/>
      </w:rPr>
      <w:t>ii</w:t>
    </w:r>
    <w:r w:rsidRPr="002F192A">
      <w:rPr>
        <w:b/>
        <w:color w:val="17365F"/>
      </w:rPr>
      <w:fldChar w:fldCharType="end"/>
    </w:r>
  </w:p>
  <w:p w:rsidR="001A3728" w:rsidRDefault="001A37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3"/>
      <w:gridCol w:w="8123"/>
    </w:tblGrid>
    <w:tr w:rsidR="001A3728">
      <w:tc>
        <w:tcPr>
          <w:tcW w:w="500" w:type="pct"/>
          <w:tcBorders>
            <w:top w:val="single" w:sz="4" w:space="0" w:color="C45911" w:themeColor="accent2" w:themeShade="BF"/>
          </w:tcBorders>
          <w:shd w:val="clear" w:color="auto" w:fill="C45911" w:themeFill="accent2" w:themeFillShade="BF"/>
        </w:tcPr>
        <w:p w:rsidR="001A3728" w:rsidRDefault="001A3728">
          <w:pPr>
            <w:pStyle w:val="Footer"/>
            <w:jc w:val="right"/>
            <w:rPr>
              <w:b/>
              <w:bCs/>
              <w:color w:val="FFFFFF" w:themeColor="background1"/>
            </w:rPr>
          </w:pPr>
          <w:r>
            <w:fldChar w:fldCharType="begin"/>
          </w:r>
          <w:r>
            <w:instrText xml:space="preserve"> PAGE   \* MERGEFORMAT </w:instrText>
          </w:r>
          <w:r>
            <w:fldChar w:fldCharType="separate"/>
          </w:r>
          <w:r w:rsidRPr="003F613C">
            <w:rPr>
              <w:noProof/>
              <w:color w:val="FFFFFF" w:themeColor="background1"/>
            </w:rPr>
            <w:t>1</w:t>
          </w:r>
          <w:r>
            <w:rPr>
              <w:noProof/>
              <w:color w:val="FFFFFF" w:themeColor="background1"/>
            </w:rPr>
            <w:fldChar w:fldCharType="end"/>
          </w:r>
        </w:p>
      </w:tc>
      <w:tc>
        <w:tcPr>
          <w:tcW w:w="4500" w:type="pct"/>
          <w:tcBorders>
            <w:top w:val="single" w:sz="4" w:space="0" w:color="auto"/>
          </w:tcBorders>
        </w:tcPr>
        <w:p w:rsidR="001A3728" w:rsidRDefault="001A3728">
          <w:pPr>
            <w:pStyle w:val="Footer"/>
          </w:pPr>
          <w:r>
            <w:rPr>
              <w:noProof/>
            </w:rPr>
            <w:fldChar w:fldCharType="begin"/>
          </w:r>
          <w:r>
            <w:rPr>
              <w:noProof/>
            </w:rPr>
            <w:instrText xml:space="preserve"> STYLEREF  "1"  </w:instrText>
          </w:r>
          <w:r>
            <w:rPr>
              <w:noProof/>
            </w:rPr>
            <w:fldChar w:fldCharType="separate"/>
          </w:r>
          <w:r w:rsidR="002D1698">
            <w:rPr>
              <w:noProof/>
            </w:rPr>
            <w:t>The Australian Building Codes Board</w:t>
          </w:r>
          <w:r>
            <w:rPr>
              <w:noProof/>
            </w:rPr>
            <w:fldChar w:fldCharType="end"/>
          </w:r>
          <w:r>
            <w:t xml:space="preserve"> | INDUSTRY</w:t>
          </w:r>
        </w:p>
      </w:tc>
    </w:tr>
  </w:tbl>
  <w:p w:rsidR="001A3728" w:rsidRDefault="001A37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728" w:rsidRDefault="001A3728" w:rsidP="008B202B">
    <w:pPr>
      <w:pStyle w:val="Footer"/>
      <w:pBdr>
        <w:top w:val="single" w:sz="12" w:space="2" w:color="17365F"/>
      </w:pBdr>
      <w:spacing w:before="0" w:line="360" w:lineRule="auto"/>
      <w:rPr>
        <w:color w:val="17365F"/>
      </w:rPr>
    </w:pPr>
  </w:p>
  <w:p w:rsidR="001A3728" w:rsidRPr="00315CC1" w:rsidRDefault="001A3728" w:rsidP="008B202B">
    <w:pPr>
      <w:pStyle w:val="Footer"/>
      <w:pBdr>
        <w:top w:val="single" w:sz="12" w:space="2" w:color="17365F"/>
      </w:pBdr>
      <w:tabs>
        <w:tab w:val="right" w:pos="9070"/>
      </w:tabs>
      <w:spacing w:before="0" w:line="360" w:lineRule="auto"/>
      <w:rPr>
        <w:b/>
        <w:color w:val="17365F"/>
      </w:rPr>
    </w:pPr>
    <w:r w:rsidRPr="00315CC1">
      <w:rPr>
        <w:b/>
        <w:color w:val="17365F"/>
      </w:rPr>
      <w:t>abcb.gov.au</w:t>
    </w:r>
    <w:r w:rsidRPr="00315CC1">
      <w:rPr>
        <w:b/>
        <w:color w:val="17365F"/>
      </w:rPr>
      <w:tab/>
    </w:r>
    <w:r w:rsidRPr="00315CC1">
      <w:rPr>
        <w:b/>
        <w:color w:val="17365F"/>
      </w:rPr>
      <w:tab/>
      <w:t xml:space="preserve">Page </w:t>
    </w:r>
    <w:r w:rsidRPr="00315CC1">
      <w:rPr>
        <w:b/>
        <w:color w:val="17365F"/>
      </w:rPr>
      <w:fldChar w:fldCharType="begin"/>
    </w:r>
    <w:r w:rsidRPr="00315CC1">
      <w:rPr>
        <w:b/>
        <w:color w:val="17365F"/>
      </w:rPr>
      <w:instrText xml:space="preserve"> PAGE  \* Arabic  \* MERGEFORMAT </w:instrText>
    </w:r>
    <w:r w:rsidRPr="00315CC1">
      <w:rPr>
        <w:b/>
        <w:color w:val="17365F"/>
      </w:rPr>
      <w:fldChar w:fldCharType="separate"/>
    </w:r>
    <w:r w:rsidR="002D1698">
      <w:rPr>
        <w:b/>
        <w:noProof/>
        <w:color w:val="17365F"/>
      </w:rPr>
      <w:t>1</w:t>
    </w:r>
    <w:r w:rsidRPr="00315CC1">
      <w:rPr>
        <w:b/>
        <w:color w:val="17365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A93" w:rsidRDefault="001C6A93" w:rsidP="00E4642F">
      <w:pPr>
        <w:spacing w:after="0" w:line="240" w:lineRule="auto"/>
      </w:pPr>
      <w:r>
        <w:separator/>
      </w:r>
    </w:p>
  </w:footnote>
  <w:footnote w:type="continuationSeparator" w:id="0">
    <w:p w:rsidR="001C6A93" w:rsidRDefault="001C6A93" w:rsidP="00E4642F">
      <w:pPr>
        <w:spacing w:after="0" w:line="240" w:lineRule="auto"/>
      </w:pPr>
      <w:r>
        <w:continuationSeparator/>
      </w:r>
    </w:p>
  </w:footnote>
  <w:footnote w:type="continuationNotice" w:id="1">
    <w:p w:rsidR="001C6A93" w:rsidRDefault="001C6A93">
      <w:pPr>
        <w:spacing w:after="0" w:line="240" w:lineRule="auto"/>
      </w:pPr>
    </w:p>
  </w:footnote>
  <w:footnote w:id="2">
    <w:p w:rsidR="001A3728" w:rsidRPr="00D24284" w:rsidRDefault="001A3728" w:rsidP="006875EC">
      <w:pPr>
        <w:pStyle w:val="FootnoteText"/>
        <w:rPr>
          <w:rFonts w:asciiTheme="minorHAnsi" w:hAnsiTheme="minorHAnsi" w:cstheme="minorHAnsi"/>
          <w:szCs w:val="16"/>
        </w:rPr>
      </w:pPr>
      <w:r w:rsidRPr="00D24284">
        <w:rPr>
          <w:rStyle w:val="FootnoteReference"/>
          <w:rFonts w:asciiTheme="minorHAnsi" w:hAnsiTheme="minorHAnsi" w:cstheme="minorHAnsi"/>
          <w:szCs w:val="16"/>
        </w:rPr>
        <w:footnoteRef/>
      </w:r>
      <w:r w:rsidRPr="00D24284">
        <w:rPr>
          <w:rFonts w:asciiTheme="minorHAnsi" w:hAnsiTheme="minorHAnsi" w:cstheme="minorHAnsi"/>
          <w:szCs w:val="16"/>
        </w:rPr>
        <w:t xml:space="preserve"> The Guideline was endorsed by IFEA, MPA, UDI, RICS, EA, AIA, HIA, MBA, AIRAH and AIB. See: </w:t>
      </w:r>
      <w:hyperlink r:id="rId1" w:history="1">
        <w:r w:rsidRPr="00D24284">
          <w:rPr>
            <w:rStyle w:val="Hyperlink"/>
            <w:rFonts w:asciiTheme="minorHAnsi" w:hAnsiTheme="minorHAnsi" w:cstheme="minorHAnsi"/>
            <w:szCs w:val="16"/>
          </w:rPr>
          <w:t>https://www.abcb.gov.au/Resources/Publications/Education-Training/Development-of-Performance-Solutions</w:t>
        </w:r>
      </w:hyperlink>
      <w:r w:rsidRPr="00D24284">
        <w:rPr>
          <w:rFonts w:asciiTheme="minorHAnsi" w:hAnsiTheme="minorHAnsi" w:cstheme="minorHAnsi"/>
          <w:szCs w:val="16"/>
        </w:rPr>
        <w:t xml:space="preserve"> </w:t>
      </w:r>
    </w:p>
  </w:footnote>
  <w:footnote w:id="3">
    <w:p w:rsidR="001A3728" w:rsidRPr="00D24284" w:rsidRDefault="001A3728" w:rsidP="006875EC">
      <w:pPr>
        <w:pStyle w:val="FootnoteText"/>
        <w:rPr>
          <w:rFonts w:asciiTheme="minorHAnsi" w:hAnsiTheme="minorHAnsi" w:cstheme="minorHAnsi"/>
          <w:szCs w:val="16"/>
        </w:rPr>
      </w:pPr>
      <w:r w:rsidRPr="00D24284">
        <w:rPr>
          <w:rStyle w:val="FootnoteReference"/>
          <w:rFonts w:asciiTheme="minorHAnsi" w:hAnsiTheme="minorHAnsi" w:cstheme="minorHAnsi"/>
          <w:szCs w:val="16"/>
        </w:rPr>
        <w:footnoteRef/>
      </w:r>
      <w:r>
        <w:rPr>
          <w:rFonts w:asciiTheme="minorHAnsi" w:hAnsiTheme="minorHAnsi" w:cstheme="minorHAnsi"/>
          <w:szCs w:val="16"/>
        </w:rPr>
        <w:t xml:space="preserve"> Weir. B Shergold. P, </w:t>
      </w:r>
      <w:r w:rsidRPr="00D24284">
        <w:rPr>
          <w:rFonts w:asciiTheme="minorHAnsi" w:hAnsiTheme="minorHAnsi" w:cstheme="minorHAnsi"/>
          <w:szCs w:val="16"/>
        </w:rPr>
        <w:t>(2018) Building Confidence Report.</w:t>
      </w:r>
    </w:p>
  </w:footnote>
  <w:footnote w:id="4">
    <w:p w:rsidR="001A3728" w:rsidRPr="00D24284" w:rsidRDefault="001A3728" w:rsidP="006875EC">
      <w:pPr>
        <w:pStyle w:val="FootnoteText"/>
        <w:rPr>
          <w:rFonts w:asciiTheme="minorHAnsi" w:hAnsiTheme="minorHAnsi" w:cstheme="minorHAnsi"/>
          <w:szCs w:val="16"/>
        </w:rPr>
      </w:pPr>
      <w:r w:rsidRPr="00D24284">
        <w:rPr>
          <w:rStyle w:val="FootnoteReference"/>
          <w:rFonts w:asciiTheme="minorHAnsi" w:hAnsiTheme="minorHAnsi" w:cstheme="minorHAnsi"/>
          <w:szCs w:val="16"/>
        </w:rPr>
        <w:footnoteRef/>
      </w:r>
      <w:r w:rsidRPr="00D24284">
        <w:rPr>
          <w:rFonts w:asciiTheme="minorHAnsi" w:hAnsiTheme="minorHAnsi" w:cstheme="minorHAnsi"/>
          <w:szCs w:val="16"/>
        </w:rPr>
        <w:t xml:space="preserve"> Building Ministers’ Forum </w:t>
      </w:r>
      <w:r w:rsidRPr="00014DD8">
        <w:rPr>
          <w:rFonts w:asciiTheme="minorHAnsi" w:hAnsiTheme="minorHAnsi" w:cstheme="minorHAnsi"/>
          <w:szCs w:val="16"/>
        </w:rPr>
        <w:t>Communique, July (2018).</w:t>
      </w:r>
      <w:r w:rsidR="00014DD8" w:rsidRPr="00014DD8">
        <w:rPr>
          <w:rFonts w:asciiTheme="minorHAnsi" w:hAnsiTheme="minorHAnsi" w:cstheme="minorHAnsi"/>
          <w:szCs w:val="16"/>
        </w:rPr>
        <w:t xml:space="preserve"> Available from:</w:t>
      </w:r>
      <w:r w:rsidRPr="00014DD8">
        <w:rPr>
          <w:rFonts w:asciiTheme="minorHAnsi" w:hAnsiTheme="minorHAnsi" w:cstheme="minorHAnsi"/>
          <w:szCs w:val="16"/>
        </w:rPr>
        <w:t xml:space="preserve"> </w:t>
      </w:r>
      <w:hyperlink r:id="rId2" w:history="1">
        <w:r w:rsidRPr="00D24284">
          <w:rPr>
            <w:rStyle w:val="Hyperlink"/>
            <w:rFonts w:asciiTheme="minorHAnsi" w:hAnsiTheme="minorHAnsi" w:cstheme="minorHAnsi"/>
            <w:szCs w:val="16"/>
          </w:rPr>
          <w:t>https://www.industry.gov.au/sites/default/files/2019-07/bmf-communique-18-july-2019.pdf</w:t>
        </w:r>
      </w:hyperlink>
      <w:r w:rsidRPr="00D24284">
        <w:rPr>
          <w:rFonts w:asciiTheme="minorHAnsi" w:hAnsiTheme="minorHAnsi" w:cstheme="minorHAnsi"/>
          <w:szCs w:val="16"/>
        </w:rPr>
        <w:t xml:space="preserve"> </w:t>
      </w:r>
    </w:p>
  </w:footnote>
  <w:footnote w:id="5">
    <w:p w:rsidR="001A3728" w:rsidRPr="00D24284" w:rsidRDefault="001A3728" w:rsidP="006875EC">
      <w:pPr>
        <w:pStyle w:val="FootnoteText"/>
        <w:rPr>
          <w:rFonts w:asciiTheme="minorHAnsi" w:hAnsiTheme="minorHAnsi" w:cstheme="minorHAnsi"/>
          <w:szCs w:val="16"/>
        </w:rPr>
      </w:pPr>
      <w:r w:rsidRPr="00D24284">
        <w:rPr>
          <w:rStyle w:val="FootnoteReference"/>
          <w:rFonts w:asciiTheme="minorHAnsi" w:hAnsiTheme="minorHAnsi" w:cstheme="minorHAnsi"/>
          <w:szCs w:val="16"/>
        </w:rPr>
        <w:footnoteRef/>
      </w:r>
      <w:r w:rsidRPr="00D24284">
        <w:rPr>
          <w:rFonts w:asciiTheme="minorHAnsi" w:hAnsiTheme="minorHAnsi" w:cstheme="minorHAnsi"/>
          <w:szCs w:val="16"/>
        </w:rPr>
        <w:t xml:space="preserve"> With the expansion of the NCC, areas of construction regulated by the NCC now include fire, health and safety, amenity, accessibility and energy efficiency and plumbing.</w:t>
      </w:r>
    </w:p>
  </w:footnote>
  <w:footnote w:id="6">
    <w:p w:rsidR="001A3728" w:rsidRPr="00D24284" w:rsidRDefault="001A3728" w:rsidP="006875EC">
      <w:pPr>
        <w:pStyle w:val="FootnoteText"/>
        <w:rPr>
          <w:rFonts w:asciiTheme="minorHAnsi" w:hAnsiTheme="minorHAnsi" w:cstheme="minorHAnsi"/>
          <w:szCs w:val="16"/>
        </w:rPr>
      </w:pPr>
      <w:r w:rsidRPr="00D24284">
        <w:rPr>
          <w:rStyle w:val="FootnoteReference"/>
          <w:rFonts w:asciiTheme="minorHAnsi" w:hAnsiTheme="minorHAnsi" w:cstheme="minorHAnsi"/>
          <w:szCs w:val="16"/>
        </w:rPr>
        <w:footnoteRef/>
      </w:r>
      <w:r w:rsidRPr="00D24284">
        <w:rPr>
          <w:rFonts w:asciiTheme="minorHAnsi" w:hAnsiTheme="minorHAnsi" w:cstheme="minorHAnsi"/>
          <w:szCs w:val="16"/>
        </w:rPr>
        <w:t xml:space="preserve"> IFEG produced by ABCB with NRC in Canada, ICC in United States of America, DBH New Zealand was published in 2005.</w:t>
      </w:r>
    </w:p>
  </w:footnote>
  <w:footnote w:id="7">
    <w:p w:rsidR="001A3728" w:rsidRPr="00715A28" w:rsidRDefault="001A3728" w:rsidP="006875EC">
      <w:pPr>
        <w:pStyle w:val="FootnoteText"/>
        <w:rPr>
          <w:lang w:val="en-US"/>
        </w:rPr>
      </w:pPr>
      <w:r w:rsidRPr="00D24284">
        <w:rPr>
          <w:rStyle w:val="FootnoteReference"/>
          <w:rFonts w:asciiTheme="minorHAnsi" w:hAnsiTheme="minorHAnsi" w:cstheme="minorHAnsi"/>
          <w:szCs w:val="16"/>
        </w:rPr>
        <w:footnoteRef/>
      </w:r>
      <w:r w:rsidRPr="00D24284">
        <w:rPr>
          <w:rFonts w:asciiTheme="minorHAnsi" w:hAnsiTheme="minorHAnsi" w:cstheme="minorHAnsi"/>
          <w:szCs w:val="16"/>
          <w:lang w:val="en-US"/>
        </w:rPr>
        <w:t xml:space="preserve"> Available from: </w:t>
      </w:r>
      <w:hyperlink r:id="rId3" w:history="1">
        <w:r w:rsidRPr="00D24284">
          <w:rPr>
            <w:rStyle w:val="Hyperlink"/>
            <w:rFonts w:asciiTheme="minorHAnsi" w:hAnsiTheme="minorHAnsi" w:cstheme="minorHAnsi"/>
            <w:szCs w:val="16"/>
            <w:lang w:val="en-US"/>
          </w:rPr>
          <w:t>https://www.abcb.gov.au/Resources/Publications/Education-Training/Development-of-Performance-Solutions</w:t>
        </w:r>
      </w:hyperlink>
      <w:r w:rsidRPr="00D24284">
        <w:rPr>
          <w:rFonts w:asciiTheme="minorHAnsi" w:hAnsiTheme="minorHAnsi" w:cstheme="minorHAnsi"/>
          <w:szCs w:val="16"/>
          <w:lang w:val="en-US"/>
        </w:rPr>
        <w:t>.</w:t>
      </w:r>
      <w:r>
        <w:rPr>
          <w:lang w:val="en-US"/>
        </w:rPr>
        <w:t xml:space="preserve"> </w:t>
      </w:r>
    </w:p>
  </w:footnote>
  <w:footnote w:id="8">
    <w:p w:rsidR="001A3728" w:rsidRPr="00D24284" w:rsidRDefault="001A3728" w:rsidP="006875EC">
      <w:pPr>
        <w:pStyle w:val="FootnoteText"/>
      </w:pPr>
      <w:r w:rsidRPr="00D24284">
        <w:rPr>
          <w:rStyle w:val="FootnoteReference"/>
          <w:rFonts w:asciiTheme="minorHAnsi" w:hAnsiTheme="minorHAnsi" w:cstheme="minorHAnsi"/>
          <w:szCs w:val="16"/>
        </w:rPr>
        <w:footnoteRef/>
      </w:r>
      <w:r w:rsidRPr="00D24284">
        <w:t xml:space="preserve"> Updated in 2018, See: </w:t>
      </w:r>
      <w:hyperlink r:id="rId4" w:history="1">
        <w:r w:rsidRPr="00D24284">
          <w:rPr>
            <w:rStyle w:val="Hyperlink"/>
            <w:rFonts w:asciiTheme="minorHAnsi" w:hAnsiTheme="minorHAnsi" w:cstheme="minorHAnsi"/>
            <w:szCs w:val="16"/>
          </w:rPr>
          <w:t>https://www.vba.vic.gov.au/__data/assets/pdf_file/0007/45844/Industry-Guide-Performance-Solutions.pdf</w:t>
        </w:r>
      </w:hyperlink>
      <w:r w:rsidRPr="00D24284">
        <w:t xml:space="preserve"> </w:t>
      </w:r>
    </w:p>
  </w:footnote>
  <w:footnote w:id="9">
    <w:p w:rsidR="001A3728" w:rsidRPr="00D24284" w:rsidRDefault="001A3728" w:rsidP="006875EC">
      <w:pPr>
        <w:pStyle w:val="FootnoteText"/>
      </w:pPr>
      <w:r w:rsidRPr="00D24284">
        <w:rPr>
          <w:rStyle w:val="FootnoteReference"/>
          <w:rFonts w:asciiTheme="minorHAnsi" w:hAnsiTheme="minorHAnsi" w:cstheme="minorHAnsi"/>
          <w:szCs w:val="16"/>
        </w:rPr>
        <w:footnoteRef/>
      </w:r>
      <w:r w:rsidRPr="00D24284">
        <w:t xml:space="preserve"> Victorian Building Regulations (2018) Retrieved</w:t>
      </w:r>
      <w:r w:rsidR="00014DD8">
        <w:t xml:space="preserve"> from</w:t>
      </w:r>
      <w:r w:rsidRPr="00D24284">
        <w:t xml:space="preserve">: </w:t>
      </w:r>
      <w:hyperlink r:id="rId5" w:history="1">
        <w:r w:rsidRPr="00D24284">
          <w:rPr>
            <w:rStyle w:val="Hyperlink"/>
            <w:rFonts w:asciiTheme="minorHAnsi" w:hAnsiTheme="minorHAnsi" w:cstheme="minorHAnsi"/>
            <w:szCs w:val="16"/>
          </w:rPr>
          <w:t>http://www.legislation.vic.gov.au/domino/Web_Notes/LDMS/LTObject_Store/ltobjst10.nsf/DDE300B846EED9C7CA257616000A3571/2E7A3D35A8D6F9C6CA2582C600815A1B/$FILE/18-38sra004%20authorised.pdf</w:t>
        </w:r>
      </w:hyperlink>
      <w:r w:rsidRPr="00D24284">
        <w:t xml:space="preserve"> </w:t>
      </w:r>
    </w:p>
  </w:footnote>
  <w:footnote w:id="10">
    <w:p w:rsidR="001A3728" w:rsidRPr="00D24284" w:rsidRDefault="001A3728" w:rsidP="006875EC">
      <w:pPr>
        <w:pStyle w:val="FootnoteText"/>
      </w:pPr>
      <w:r w:rsidRPr="00D24284">
        <w:rPr>
          <w:rStyle w:val="FootnoteReference"/>
          <w:rFonts w:asciiTheme="minorHAnsi" w:hAnsiTheme="minorHAnsi" w:cstheme="minorHAnsi"/>
          <w:szCs w:val="16"/>
        </w:rPr>
        <w:footnoteRef/>
      </w:r>
      <w:r w:rsidRPr="00D24284">
        <w:t xml:space="preserve"> Performance Solutions for housing projects (2018) See: </w:t>
      </w:r>
      <w:hyperlink r:id="rId6" w:history="1">
        <w:r w:rsidRPr="00D24284">
          <w:rPr>
            <w:rStyle w:val="Hyperlink"/>
            <w:rFonts w:asciiTheme="minorHAnsi" w:hAnsiTheme="minorHAnsi" w:cstheme="minorHAnsi"/>
            <w:szCs w:val="16"/>
          </w:rPr>
          <w:t>https://www.commerce.wa.gov.au/sites/default/files/atoms/files/ib_102_performance_solutions_for_housing_projects.pdf</w:t>
        </w:r>
      </w:hyperlink>
      <w:r w:rsidRPr="00D24284">
        <w:t xml:space="preserve"> </w:t>
      </w:r>
    </w:p>
  </w:footnote>
  <w:footnote w:id="11">
    <w:p w:rsidR="001A3728" w:rsidRPr="00ED3264" w:rsidRDefault="001A3728" w:rsidP="006875EC">
      <w:pPr>
        <w:pStyle w:val="FootnoteText"/>
        <w:rPr>
          <w:lang w:val="en-US"/>
        </w:rPr>
      </w:pPr>
      <w:r>
        <w:rPr>
          <w:rStyle w:val="FootnoteReference"/>
        </w:rPr>
        <w:footnoteRef/>
      </w:r>
      <w:r>
        <w:t xml:space="preserve"> </w:t>
      </w:r>
      <w:r>
        <w:rPr>
          <w:lang w:val="en-US"/>
        </w:rPr>
        <w:t xml:space="preserve">See Clause 144A of the Environmental Planning and Assessment Regulations 2000. </w:t>
      </w:r>
    </w:p>
  </w:footnote>
  <w:footnote w:id="12">
    <w:p w:rsidR="001A3728" w:rsidRPr="00D24284" w:rsidRDefault="001A3728" w:rsidP="006875EC">
      <w:pPr>
        <w:pStyle w:val="FootnoteText"/>
      </w:pPr>
      <w:r w:rsidRPr="00D24284">
        <w:rPr>
          <w:rStyle w:val="FootnoteReference"/>
          <w:rFonts w:asciiTheme="minorHAnsi" w:hAnsiTheme="minorHAnsi" w:cstheme="minorHAnsi"/>
          <w:szCs w:val="16"/>
        </w:rPr>
        <w:footnoteRef/>
      </w:r>
      <w:r w:rsidRPr="00D24284">
        <w:t xml:space="preserve"> Victorian Building Regulations (2018) Schedule 8, Regulation 129.</w:t>
      </w:r>
    </w:p>
  </w:footnote>
  <w:footnote w:id="13">
    <w:p w:rsidR="001A3728" w:rsidRPr="00D24284" w:rsidRDefault="001A3728" w:rsidP="006875EC">
      <w:pPr>
        <w:pStyle w:val="FootnoteText"/>
      </w:pPr>
      <w:r w:rsidRPr="00D24284">
        <w:rPr>
          <w:rStyle w:val="FootnoteReference"/>
          <w:rFonts w:asciiTheme="minorHAnsi" w:hAnsiTheme="minorHAnsi" w:cstheme="minorHAnsi"/>
          <w:szCs w:val="16"/>
        </w:rPr>
        <w:footnoteRef/>
      </w:r>
      <w:r w:rsidRPr="00D24284">
        <w:t xml:space="preserve"> Queensland Sustainable Planning Regulation (2009), Table 1, Schedule 7.</w:t>
      </w:r>
      <w:r w:rsidRPr="00D24284">
        <w:rPr>
          <w:color w:val="4D4D4F"/>
        </w:rPr>
        <w:t xml:space="preserve"> </w:t>
      </w:r>
    </w:p>
  </w:footnote>
  <w:footnote w:id="14">
    <w:p w:rsidR="001A3728" w:rsidRPr="00190190" w:rsidRDefault="001A3728" w:rsidP="006875EC">
      <w:pPr>
        <w:pStyle w:val="FootnoteText"/>
      </w:pPr>
      <w:r w:rsidRPr="00D24284">
        <w:rPr>
          <w:rStyle w:val="FootnoteReference"/>
          <w:rFonts w:asciiTheme="minorHAnsi" w:hAnsiTheme="minorHAnsi" w:cstheme="minorHAnsi"/>
          <w:szCs w:val="16"/>
        </w:rPr>
        <w:footnoteRef/>
      </w:r>
      <w:r w:rsidRPr="00D24284">
        <w:t xml:space="preserve"> Consulting with referral authorities, such as the fire brigade, does not amount to an obligation to adopt th</w:t>
      </w:r>
      <w:r>
        <w:t xml:space="preserve">eir advice or recommendations. </w:t>
      </w:r>
    </w:p>
  </w:footnote>
  <w:footnote w:id="15">
    <w:p w:rsidR="001A3728" w:rsidRPr="00D24284" w:rsidRDefault="001A3728" w:rsidP="006875EC">
      <w:pPr>
        <w:pStyle w:val="FootnoteText"/>
        <w:rPr>
          <w:rFonts w:asciiTheme="minorHAnsi" w:hAnsiTheme="minorHAnsi" w:cstheme="minorHAnsi"/>
          <w:szCs w:val="16"/>
        </w:rPr>
      </w:pPr>
      <w:r w:rsidRPr="00D24284">
        <w:rPr>
          <w:rStyle w:val="FootnoteReference"/>
          <w:rFonts w:asciiTheme="minorHAnsi" w:hAnsiTheme="minorHAnsi" w:cstheme="minorHAnsi"/>
          <w:szCs w:val="16"/>
        </w:rPr>
        <w:footnoteRef/>
      </w:r>
      <w:r w:rsidRPr="00D24284">
        <w:rPr>
          <w:rFonts w:asciiTheme="minorHAnsi" w:hAnsiTheme="minorHAnsi" w:cstheme="minorHAnsi"/>
          <w:szCs w:val="16"/>
        </w:rPr>
        <w:t xml:space="preserve"> Western Australian Building Regulations (2012) Part 3, Clause 18B</w:t>
      </w:r>
      <w:r>
        <w:rPr>
          <w:rFonts w:asciiTheme="minorHAnsi" w:hAnsiTheme="minorHAnsi" w:cstheme="minorHAnsi"/>
          <w:szCs w:val="16"/>
        </w:rPr>
        <w:t xml:space="preserve"> for Class 2- 9 buildings</w:t>
      </w:r>
      <w:r w:rsidRPr="00D24284">
        <w:rPr>
          <w:rFonts w:asciiTheme="minorHAnsi" w:hAnsiTheme="minorHAnsi" w:cstheme="minorHAnsi"/>
          <w:szCs w:val="16"/>
        </w:rPr>
        <w:t>.</w:t>
      </w:r>
    </w:p>
  </w:footnote>
  <w:footnote w:id="16">
    <w:p w:rsidR="001A3728" w:rsidRPr="00BE4C17" w:rsidRDefault="001A3728" w:rsidP="006875EC">
      <w:pPr>
        <w:pStyle w:val="FootnoteText"/>
        <w:rPr>
          <w:lang w:val="en-US"/>
        </w:rPr>
      </w:pPr>
      <w:r>
        <w:rPr>
          <w:rStyle w:val="FootnoteReference"/>
        </w:rPr>
        <w:footnoteRef/>
      </w:r>
      <w:r>
        <w:t xml:space="preserve"> </w:t>
      </w:r>
      <w:r>
        <w:rPr>
          <w:lang w:val="en-US"/>
        </w:rPr>
        <w:t xml:space="preserve">Ibid, Clause 4, Section 68A. </w:t>
      </w:r>
    </w:p>
  </w:footnote>
  <w:footnote w:id="17">
    <w:p w:rsidR="001A3728" w:rsidRPr="00BE4C17" w:rsidRDefault="001A3728" w:rsidP="006875EC">
      <w:pPr>
        <w:pStyle w:val="FootnoteText"/>
        <w:rPr>
          <w:lang w:val="en-US"/>
        </w:rPr>
      </w:pPr>
      <w:r>
        <w:rPr>
          <w:rStyle w:val="FootnoteReference"/>
        </w:rPr>
        <w:footnoteRef/>
      </w:r>
      <w:r>
        <w:t xml:space="preserve"> </w:t>
      </w:r>
      <w:r>
        <w:rPr>
          <w:lang w:val="en-US"/>
        </w:rPr>
        <w:t xml:space="preserve">Queensland Building Act (1975) Chapter 3, Section 26. </w:t>
      </w:r>
    </w:p>
  </w:footnote>
  <w:footnote w:id="18">
    <w:p w:rsidR="001A3728" w:rsidRPr="00C3091E" w:rsidRDefault="001A3728" w:rsidP="006875EC">
      <w:pPr>
        <w:pStyle w:val="FootnoteText"/>
        <w:rPr>
          <w:rFonts w:asciiTheme="minorHAnsi" w:hAnsiTheme="minorHAnsi" w:cstheme="minorHAnsi"/>
        </w:rPr>
      </w:pPr>
      <w:r w:rsidRPr="00D24284">
        <w:rPr>
          <w:rStyle w:val="FootnoteReference"/>
          <w:rFonts w:asciiTheme="minorHAnsi" w:hAnsiTheme="minorHAnsi" w:cstheme="minorHAnsi"/>
          <w:szCs w:val="16"/>
        </w:rPr>
        <w:footnoteRef/>
      </w:r>
      <w:r w:rsidRPr="00D24284">
        <w:rPr>
          <w:rFonts w:asciiTheme="minorHAnsi" w:hAnsiTheme="minorHAnsi" w:cstheme="minorHAnsi"/>
          <w:szCs w:val="16"/>
        </w:rPr>
        <w:t xml:space="preserve"> Victorian Building Regulations (2018) Clause 38 and Clause 124.</w:t>
      </w:r>
    </w:p>
  </w:footnote>
  <w:footnote w:id="19">
    <w:p w:rsidR="001A3728" w:rsidRPr="003B1B5C" w:rsidRDefault="001A3728" w:rsidP="006875EC">
      <w:pPr>
        <w:pStyle w:val="FootnoteText"/>
        <w:rPr>
          <w:lang w:val="en-US"/>
        </w:rPr>
      </w:pPr>
      <w:r>
        <w:rPr>
          <w:rStyle w:val="FootnoteReference"/>
        </w:rPr>
        <w:footnoteRef/>
      </w:r>
      <w:r>
        <w:t xml:space="preserve"> NSW (2000) Environmental Planning and Assessment Regulations. Clause 130 and 144A. </w:t>
      </w:r>
    </w:p>
  </w:footnote>
  <w:footnote w:id="20">
    <w:p w:rsidR="001A3728" w:rsidRPr="003B1B5C" w:rsidRDefault="001A3728" w:rsidP="006875EC">
      <w:pPr>
        <w:pStyle w:val="FootnoteText"/>
        <w:rPr>
          <w:lang w:val="en-US"/>
        </w:rPr>
      </w:pPr>
      <w:r>
        <w:rPr>
          <w:rStyle w:val="FootnoteReference"/>
        </w:rPr>
        <w:footnoteRef/>
      </w:r>
      <w:r>
        <w:t xml:space="preserve"> </w:t>
      </w:r>
      <w:r>
        <w:rPr>
          <w:lang w:val="en-US"/>
        </w:rPr>
        <w:t xml:space="preserve">Disability Standards for Accessible Public Transport (2002) Part 33.5. </w:t>
      </w:r>
    </w:p>
  </w:footnote>
  <w:footnote w:id="21">
    <w:p w:rsidR="001A3728" w:rsidRPr="00BB1498" w:rsidRDefault="001A3728" w:rsidP="006875EC">
      <w:pPr>
        <w:pStyle w:val="FootnoteText"/>
        <w:rPr>
          <w:lang w:val="en-US"/>
        </w:rPr>
      </w:pPr>
      <w:r>
        <w:rPr>
          <w:rStyle w:val="FootnoteReference"/>
        </w:rPr>
        <w:footnoteRef/>
      </w:r>
      <w:r>
        <w:t xml:space="preserve"> </w:t>
      </w:r>
      <w:r>
        <w:rPr>
          <w:lang w:val="en-US"/>
        </w:rPr>
        <w:t>Australian Building Codes Board Intergovernmental Agreement (IGA), (2019)</w:t>
      </w:r>
    </w:p>
  </w:footnote>
  <w:footnote w:id="22">
    <w:p w:rsidR="001A3728" w:rsidRPr="00D24284" w:rsidRDefault="001A3728" w:rsidP="006875EC">
      <w:pPr>
        <w:pStyle w:val="FootnoteText"/>
        <w:rPr>
          <w:rFonts w:asciiTheme="minorHAnsi" w:hAnsiTheme="minorHAnsi" w:cstheme="minorHAnsi"/>
          <w:szCs w:val="16"/>
        </w:rPr>
      </w:pPr>
      <w:r w:rsidRPr="00D24284">
        <w:rPr>
          <w:rStyle w:val="FootnoteReference"/>
          <w:rFonts w:asciiTheme="minorHAnsi" w:hAnsiTheme="minorHAnsi" w:cstheme="minorHAnsi"/>
          <w:szCs w:val="16"/>
        </w:rPr>
        <w:footnoteRef/>
      </w:r>
      <w:r w:rsidRPr="00D24284">
        <w:rPr>
          <w:rFonts w:asciiTheme="minorHAnsi" w:hAnsiTheme="minorHAnsi" w:cstheme="minorHAnsi"/>
          <w:szCs w:val="16"/>
        </w:rPr>
        <w:t xml:space="preserve"> National Construction Code Volume One (2019) Section A2.2 (2).</w:t>
      </w:r>
    </w:p>
  </w:footnote>
  <w:footnote w:id="23">
    <w:p w:rsidR="001A3728" w:rsidRPr="00D24284" w:rsidRDefault="001A3728" w:rsidP="006875EC">
      <w:pPr>
        <w:pStyle w:val="FootnoteText"/>
        <w:rPr>
          <w:rFonts w:asciiTheme="minorHAnsi" w:hAnsiTheme="minorHAnsi" w:cstheme="minorHAnsi"/>
          <w:szCs w:val="16"/>
        </w:rPr>
      </w:pPr>
      <w:r w:rsidRPr="00D24284">
        <w:rPr>
          <w:rStyle w:val="FootnoteReference"/>
          <w:rFonts w:asciiTheme="minorHAnsi" w:hAnsiTheme="minorHAnsi" w:cstheme="minorHAnsi"/>
          <w:szCs w:val="16"/>
        </w:rPr>
        <w:footnoteRef/>
      </w:r>
      <w:r w:rsidRPr="00D24284">
        <w:rPr>
          <w:rFonts w:asciiTheme="minorHAnsi" w:hAnsiTheme="minorHAnsi" w:cstheme="minorHAnsi"/>
          <w:szCs w:val="16"/>
        </w:rPr>
        <w:t xml:space="preserve"> National Construction Code Volume One (2019) Section A5.1(1).</w:t>
      </w:r>
    </w:p>
  </w:footnote>
  <w:footnote w:id="24">
    <w:p w:rsidR="001A3728" w:rsidRPr="00D24284" w:rsidRDefault="001A3728" w:rsidP="006875EC">
      <w:pPr>
        <w:pStyle w:val="FootnoteText"/>
        <w:rPr>
          <w:rFonts w:asciiTheme="minorHAnsi" w:hAnsiTheme="minorHAnsi" w:cstheme="minorHAnsi"/>
          <w:szCs w:val="16"/>
        </w:rPr>
      </w:pPr>
      <w:r w:rsidRPr="00D24284">
        <w:rPr>
          <w:rStyle w:val="FootnoteReference"/>
          <w:rFonts w:asciiTheme="minorHAnsi" w:hAnsiTheme="minorHAnsi" w:cstheme="minorHAnsi"/>
          <w:szCs w:val="16"/>
        </w:rPr>
        <w:footnoteRef/>
      </w:r>
      <w:r w:rsidRPr="00D24284">
        <w:rPr>
          <w:rFonts w:asciiTheme="minorHAnsi" w:hAnsiTheme="minorHAnsi" w:cstheme="minorHAnsi"/>
          <w:szCs w:val="16"/>
        </w:rPr>
        <w:t xml:space="preserve"> Weir. B Shergold. P (2018) Building Confidence Report. </w:t>
      </w:r>
      <w:r>
        <w:rPr>
          <w:rFonts w:asciiTheme="minorHAnsi" w:hAnsiTheme="minorHAnsi" w:cstheme="minorHAnsi"/>
          <w:szCs w:val="16"/>
        </w:rPr>
        <w:t xml:space="preserve">Page </w:t>
      </w:r>
      <w:r w:rsidRPr="00D24284">
        <w:rPr>
          <w:rFonts w:asciiTheme="minorHAnsi" w:hAnsiTheme="minorHAnsi" w:cstheme="minorHAnsi"/>
          <w:szCs w:val="16"/>
        </w:rPr>
        <w:t>30</w:t>
      </w:r>
      <w:r>
        <w:rPr>
          <w:rFonts w:asciiTheme="minorHAnsi" w:hAnsiTheme="minorHAnsi" w:cstheme="minorHAnsi"/>
          <w:szCs w:val="16"/>
        </w:rPr>
        <w:t>.</w:t>
      </w:r>
    </w:p>
  </w:footnote>
  <w:footnote w:id="25">
    <w:p w:rsidR="001A3728" w:rsidRPr="00D24284" w:rsidRDefault="001A3728" w:rsidP="006875EC">
      <w:pPr>
        <w:pStyle w:val="FootnoteText"/>
        <w:rPr>
          <w:rFonts w:asciiTheme="minorHAnsi" w:hAnsiTheme="minorHAnsi" w:cstheme="minorHAnsi"/>
          <w:szCs w:val="16"/>
        </w:rPr>
      </w:pPr>
      <w:r w:rsidRPr="00D24284">
        <w:rPr>
          <w:rFonts w:asciiTheme="minorHAnsi" w:hAnsiTheme="minorHAnsi" w:cstheme="minorHAnsi"/>
          <w:szCs w:val="16"/>
          <w:vertAlign w:val="superscript"/>
        </w:rPr>
        <w:footnoteRef/>
      </w:r>
      <w:r w:rsidRPr="00D24284">
        <w:rPr>
          <w:rFonts w:asciiTheme="minorHAnsi" w:hAnsiTheme="minorHAnsi" w:cstheme="minorHAnsi"/>
          <w:szCs w:val="16"/>
        </w:rPr>
        <w:t xml:space="preserve"> W</w:t>
      </w:r>
      <w:r>
        <w:rPr>
          <w:rFonts w:asciiTheme="minorHAnsi" w:hAnsiTheme="minorHAnsi" w:cstheme="minorHAnsi"/>
          <w:szCs w:val="16"/>
        </w:rPr>
        <w:t xml:space="preserve">estern </w:t>
      </w:r>
      <w:r w:rsidRPr="00D24284">
        <w:rPr>
          <w:rFonts w:asciiTheme="minorHAnsi" w:hAnsiTheme="minorHAnsi" w:cstheme="minorHAnsi"/>
          <w:szCs w:val="16"/>
        </w:rPr>
        <w:t>A</w:t>
      </w:r>
      <w:r>
        <w:rPr>
          <w:rFonts w:asciiTheme="minorHAnsi" w:hAnsiTheme="minorHAnsi" w:cstheme="minorHAnsi"/>
          <w:szCs w:val="16"/>
        </w:rPr>
        <w:t>ustralian</w:t>
      </w:r>
      <w:r w:rsidRPr="00D24284">
        <w:rPr>
          <w:rFonts w:asciiTheme="minorHAnsi" w:hAnsiTheme="minorHAnsi" w:cstheme="minorHAnsi"/>
          <w:szCs w:val="16"/>
        </w:rPr>
        <w:t xml:space="preserve"> C</w:t>
      </w:r>
      <w:r>
        <w:rPr>
          <w:rFonts w:asciiTheme="minorHAnsi" w:hAnsiTheme="minorHAnsi" w:cstheme="minorHAnsi"/>
          <w:szCs w:val="16"/>
        </w:rPr>
        <w:t xml:space="preserve">onsultation RIS - </w:t>
      </w:r>
      <w:r w:rsidRPr="00D24284">
        <w:rPr>
          <w:rFonts w:asciiTheme="minorHAnsi" w:hAnsiTheme="minorHAnsi" w:cstheme="minorHAnsi"/>
          <w:szCs w:val="16"/>
        </w:rPr>
        <w:t xml:space="preserve">Reforms to the building approval process. </w:t>
      </w:r>
      <w:r>
        <w:rPr>
          <w:rFonts w:asciiTheme="minorHAnsi" w:hAnsiTheme="minorHAnsi" w:cstheme="minorHAnsi"/>
          <w:szCs w:val="16"/>
        </w:rPr>
        <w:t>(</w:t>
      </w:r>
      <w:r w:rsidRPr="00D24284">
        <w:rPr>
          <w:rFonts w:asciiTheme="minorHAnsi" w:hAnsiTheme="minorHAnsi" w:cstheme="minorHAnsi"/>
          <w:szCs w:val="16"/>
        </w:rPr>
        <w:t>2019</w:t>
      </w:r>
      <w:r>
        <w:rPr>
          <w:rFonts w:asciiTheme="minorHAnsi" w:hAnsiTheme="minorHAnsi" w:cstheme="minorHAnsi"/>
          <w:szCs w:val="16"/>
        </w:rPr>
        <w:t>) Page 16</w:t>
      </w:r>
      <w:r w:rsidRPr="00D24284">
        <w:rPr>
          <w:rFonts w:asciiTheme="minorHAnsi" w:hAnsiTheme="minorHAnsi" w:cstheme="minorHAnsi"/>
          <w:szCs w:val="16"/>
        </w:rPr>
        <w:t xml:space="preserve">. </w:t>
      </w:r>
    </w:p>
  </w:footnote>
  <w:footnote w:id="26">
    <w:p w:rsidR="001A3728" w:rsidRPr="00D24284" w:rsidRDefault="001A3728" w:rsidP="006875EC">
      <w:pPr>
        <w:pStyle w:val="FootnoteText"/>
        <w:rPr>
          <w:rFonts w:asciiTheme="minorHAnsi" w:hAnsiTheme="minorHAnsi" w:cstheme="minorHAnsi"/>
          <w:szCs w:val="16"/>
        </w:rPr>
      </w:pPr>
      <w:r w:rsidRPr="00D24284">
        <w:rPr>
          <w:rStyle w:val="FootnoteReference"/>
          <w:rFonts w:asciiTheme="minorHAnsi" w:hAnsiTheme="minorHAnsi" w:cstheme="minorHAnsi"/>
          <w:szCs w:val="16"/>
        </w:rPr>
        <w:footnoteRef/>
      </w:r>
      <w:r w:rsidRPr="00D24284">
        <w:rPr>
          <w:rFonts w:asciiTheme="minorHAnsi" w:hAnsiTheme="minorHAnsi" w:cstheme="minorHAnsi"/>
          <w:szCs w:val="16"/>
        </w:rPr>
        <w:t xml:space="preserve"> I</w:t>
      </w:r>
      <w:r>
        <w:rPr>
          <w:rFonts w:asciiTheme="minorHAnsi" w:hAnsiTheme="minorHAnsi" w:cstheme="minorHAnsi"/>
          <w:szCs w:val="16"/>
        </w:rPr>
        <w:t xml:space="preserve">nternational </w:t>
      </w:r>
      <w:r w:rsidRPr="00D24284">
        <w:rPr>
          <w:rFonts w:asciiTheme="minorHAnsi" w:hAnsiTheme="minorHAnsi" w:cstheme="minorHAnsi"/>
          <w:szCs w:val="16"/>
        </w:rPr>
        <w:t>F</w:t>
      </w:r>
      <w:r>
        <w:rPr>
          <w:rFonts w:asciiTheme="minorHAnsi" w:hAnsiTheme="minorHAnsi" w:cstheme="minorHAnsi"/>
          <w:szCs w:val="16"/>
        </w:rPr>
        <w:t xml:space="preserve">ire </w:t>
      </w:r>
      <w:r w:rsidRPr="00D24284">
        <w:rPr>
          <w:rFonts w:asciiTheme="minorHAnsi" w:hAnsiTheme="minorHAnsi" w:cstheme="minorHAnsi"/>
          <w:szCs w:val="16"/>
        </w:rPr>
        <w:t>E</w:t>
      </w:r>
      <w:r>
        <w:rPr>
          <w:rFonts w:asciiTheme="minorHAnsi" w:hAnsiTheme="minorHAnsi" w:cstheme="minorHAnsi"/>
          <w:szCs w:val="16"/>
        </w:rPr>
        <w:t xml:space="preserve">ngineering </w:t>
      </w:r>
      <w:r w:rsidRPr="00D24284">
        <w:rPr>
          <w:rFonts w:asciiTheme="minorHAnsi" w:hAnsiTheme="minorHAnsi" w:cstheme="minorHAnsi"/>
          <w:szCs w:val="16"/>
        </w:rPr>
        <w:t>G</w:t>
      </w:r>
      <w:r>
        <w:rPr>
          <w:rFonts w:asciiTheme="minorHAnsi" w:hAnsiTheme="minorHAnsi" w:cstheme="minorHAnsi"/>
          <w:szCs w:val="16"/>
        </w:rPr>
        <w:t xml:space="preserve">uidelines (2005). </w:t>
      </w:r>
    </w:p>
  </w:footnote>
  <w:footnote w:id="27">
    <w:p w:rsidR="001A3728" w:rsidRPr="00DC0647" w:rsidRDefault="001A3728" w:rsidP="006875EC">
      <w:pPr>
        <w:pStyle w:val="FootnoteText"/>
        <w:rPr>
          <w:rFonts w:asciiTheme="minorHAnsi" w:hAnsiTheme="minorHAnsi" w:cstheme="minorHAnsi"/>
        </w:rPr>
      </w:pPr>
      <w:r w:rsidRPr="00D24284">
        <w:rPr>
          <w:rStyle w:val="FootnoteReference"/>
          <w:rFonts w:asciiTheme="minorHAnsi" w:hAnsiTheme="minorHAnsi" w:cstheme="minorHAnsi"/>
          <w:szCs w:val="16"/>
        </w:rPr>
        <w:footnoteRef/>
      </w:r>
      <w:r w:rsidRPr="00D24284">
        <w:rPr>
          <w:rFonts w:asciiTheme="minorHAnsi" w:hAnsiTheme="minorHAnsi" w:cstheme="minorHAnsi"/>
          <w:szCs w:val="16"/>
        </w:rPr>
        <w:t xml:space="preserve"> </w:t>
      </w:r>
      <w:r>
        <w:rPr>
          <w:rFonts w:asciiTheme="minorHAnsi" w:hAnsiTheme="minorHAnsi" w:cstheme="minorHAnsi"/>
          <w:szCs w:val="16"/>
        </w:rPr>
        <w:t xml:space="preserve">Inter-jurisdictional Regulatory Collaboration Committee (1998) </w:t>
      </w:r>
      <w:r w:rsidRPr="009E3468">
        <w:rPr>
          <w:rFonts w:asciiTheme="minorHAnsi" w:hAnsiTheme="minorHAnsi" w:cstheme="minorHAnsi"/>
          <w:szCs w:val="16"/>
        </w:rPr>
        <w:t>Performance Based Bu</w:t>
      </w:r>
      <w:r>
        <w:rPr>
          <w:rFonts w:asciiTheme="minorHAnsi" w:hAnsiTheme="minorHAnsi" w:cstheme="minorHAnsi"/>
          <w:szCs w:val="16"/>
        </w:rPr>
        <w:t>ilding Regulations, Discussion P</w:t>
      </w:r>
      <w:r w:rsidRPr="009E3468">
        <w:rPr>
          <w:rFonts w:asciiTheme="minorHAnsi" w:hAnsiTheme="minorHAnsi" w:cstheme="minorHAnsi"/>
          <w:szCs w:val="16"/>
        </w:rPr>
        <w:t>aper</w:t>
      </w:r>
      <w:r>
        <w:rPr>
          <w:rFonts w:asciiTheme="minorHAnsi" w:hAnsiTheme="minorHAnsi" w:cstheme="minorHAnsi"/>
          <w:szCs w:val="16"/>
        </w:rPr>
        <w:t xml:space="preserve">. Page </w:t>
      </w:r>
      <w:r w:rsidRPr="00D24284">
        <w:rPr>
          <w:rFonts w:asciiTheme="minorHAnsi" w:hAnsiTheme="minorHAnsi" w:cstheme="minorHAnsi"/>
          <w:szCs w:val="16"/>
        </w:rPr>
        <w:t>90</w:t>
      </w:r>
      <w:r>
        <w:rPr>
          <w:rFonts w:asciiTheme="minorHAnsi" w:hAnsiTheme="minorHAnsi" w:cstheme="minorHAnsi"/>
          <w:szCs w:val="16"/>
        </w:rPr>
        <w:t xml:space="preserve">. </w:t>
      </w:r>
      <w:r w:rsidRPr="006460AC">
        <w:rPr>
          <w:rFonts w:asciiTheme="minorHAnsi" w:hAnsiTheme="minorHAnsi" w:cstheme="minorHAnsi"/>
          <w:sz w:val="22"/>
          <w:szCs w:val="22"/>
          <w:highlight w:val="yellow"/>
        </w:rPr>
        <w:t xml:space="preserve"> </w:t>
      </w:r>
    </w:p>
  </w:footnote>
  <w:footnote w:id="28">
    <w:p w:rsidR="001A3728" w:rsidRPr="009E3468" w:rsidRDefault="001A3728" w:rsidP="006875EC">
      <w:pPr>
        <w:pStyle w:val="FootnoteText"/>
        <w:rPr>
          <w:rFonts w:asciiTheme="minorHAnsi" w:hAnsiTheme="minorHAnsi" w:cstheme="minorHAnsi"/>
          <w:szCs w:val="16"/>
        </w:rPr>
      </w:pPr>
      <w:r w:rsidRPr="009E3468">
        <w:rPr>
          <w:rStyle w:val="FootnoteReference"/>
          <w:rFonts w:asciiTheme="minorHAnsi" w:hAnsiTheme="minorHAnsi" w:cstheme="minorHAnsi"/>
          <w:szCs w:val="16"/>
        </w:rPr>
        <w:footnoteRef/>
      </w:r>
      <w:r w:rsidRPr="009E3468">
        <w:rPr>
          <w:rFonts w:asciiTheme="minorHAnsi" w:hAnsiTheme="minorHAnsi" w:cstheme="minorHAnsi"/>
          <w:szCs w:val="16"/>
        </w:rPr>
        <w:t xml:space="preserve"> </w:t>
      </w:r>
      <w:r w:rsidRPr="00D24284">
        <w:rPr>
          <w:rFonts w:asciiTheme="minorHAnsi" w:hAnsiTheme="minorHAnsi" w:cstheme="minorHAnsi"/>
          <w:szCs w:val="16"/>
        </w:rPr>
        <w:t>Weir. B Shergold. P (2018) Building Confidence Report.</w:t>
      </w:r>
      <w:r>
        <w:rPr>
          <w:rFonts w:asciiTheme="minorHAnsi" w:hAnsiTheme="minorHAnsi" w:cstheme="minorHAnsi"/>
          <w:szCs w:val="16"/>
        </w:rPr>
        <w:t xml:space="preserve"> Page 9</w:t>
      </w:r>
      <w:r w:rsidRPr="009E3468">
        <w:rPr>
          <w:rFonts w:asciiTheme="minorHAnsi" w:hAnsiTheme="minorHAnsi" w:cstheme="minorHAnsi"/>
          <w:szCs w:val="16"/>
        </w:rPr>
        <w:t xml:space="preserve">. </w:t>
      </w:r>
      <w:r>
        <w:rPr>
          <w:rFonts w:asciiTheme="minorHAnsi" w:hAnsiTheme="minorHAnsi" w:cstheme="minorHAnsi"/>
          <w:szCs w:val="16"/>
        </w:rPr>
        <w:t>(</w:t>
      </w:r>
      <w:r w:rsidRPr="009E3468">
        <w:rPr>
          <w:rFonts w:asciiTheme="minorHAnsi" w:hAnsiTheme="minorHAnsi" w:cstheme="minorHAnsi"/>
          <w:szCs w:val="16"/>
        </w:rPr>
        <w:t>Reference to meeting the Performanc</w:t>
      </w:r>
      <w:r>
        <w:rPr>
          <w:rFonts w:asciiTheme="minorHAnsi" w:hAnsiTheme="minorHAnsi" w:cstheme="minorHAnsi"/>
          <w:szCs w:val="16"/>
        </w:rPr>
        <w:t>e Requirements in this context</w:t>
      </w:r>
      <w:r w:rsidRPr="009E3468">
        <w:rPr>
          <w:rFonts w:asciiTheme="minorHAnsi" w:hAnsiTheme="minorHAnsi" w:cstheme="minorHAnsi"/>
          <w:szCs w:val="16"/>
        </w:rPr>
        <w:t xml:space="preserve"> is unlikely to be referring to just Performance Solutions, but a general compliance with the NCC of all solutions.</w:t>
      </w:r>
      <w:r>
        <w:rPr>
          <w:rFonts w:asciiTheme="minorHAnsi" w:hAnsiTheme="minorHAnsi" w:cstheme="minorHAnsi"/>
          <w:szCs w:val="16"/>
        </w:rPr>
        <w:t>)</w:t>
      </w:r>
    </w:p>
  </w:footnote>
  <w:footnote w:id="29">
    <w:p w:rsidR="001A3728" w:rsidRDefault="001A3728" w:rsidP="006875EC">
      <w:pPr>
        <w:pStyle w:val="FootnoteText"/>
      </w:pPr>
      <w:r w:rsidRPr="009E3468">
        <w:rPr>
          <w:rStyle w:val="FootnoteReference"/>
          <w:rFonts w:asciiTheme="minorHAnsi" w:hAnsiTheme="minorHAnsi" w:cstheme="minorHAnsi"/>
          <w:szCs w:val="16"/>
        </w:rPr>
        <w:footnoteRef/>
      </w:r>
      <w:r w:rsidRPr="009E3468">
        <w:rPr>
          <w:rFonts w:asciiTheme="minorHAnsi" w:hAnsiTheme="minorHAnsi" w:cstheme="minorHAnsi"/>
          <w:szCs w:val="16"/>
        </w:rPr>
        <w:t xml:space="preserve"> </w:t>
      </w:r>
      <w:r>
        <w:rPr>
          <w:rFonts w:asciiTheme="minorHAnsi" w:hAnsiTheme="minorHAnsi" w:cstheme="minorHAnsi"/>
          <w:szCs w:val="16"/>
        </w:rPr>
        <w:t xml:space="preserve">Victorian Cladding Taskforce (2019) Report from the Co-Chairs. Page 32.  See: </w:t>
      </w:r>
      <w:hyperlink r:id="rId7" w:history="1">
        <w:r w:rsidRPr="009E3468">
          <w:rPr>
            <w:rStyle w:val="Hyperlink"/>
            <w:rFonts w:asciiTheme="minorHAnsi" w:hAnsiTheme="minorHAnsi" w:cstheme="minorHAnsi"/>
            <w:szCs w:val="16"/>
          </w:rPr>
          <w:t>https://www.planning.vic.gov.au/__data/assets/pdf_file/0019/426034/DELWP0124_Victorian_Cladding_Taskforce_Final_Report_July_2019_v9.pdf</w:t>
        </w:r>
      </w:hyperlink>
      <w:r w:rsidRPr="009E3468">
        <w:rPr>
          <w:rFonts w:asciiTheme="minorHAnsi" w:hAnsiTheme="minorHAnsi" w:cstheme="minorHAnsi"/>
          <w:szCs w:val="16"/>
        </w:rPr>
        <w:t xml:space="preserve"> </w:t>
      </w:r>
    </w:p>
  </w:footnote>
  <w:footnote w:id="30">
    <w:p w:rsidR="001A3728" w:rsidRPr="00445E18" w:rsidRDefault="001A3728" w:rsidP="006875EC">
      <w:pPr>
        <w:spacing w:after="0" w:line="240" w:lineRule="auto"/>
        <w:jc w:val="left"/>
        <w:rPr>
          <w:rFonts w:asciiTheme="minorHAnsi" w:hAnsiTheme="minorHAnsi" w:cstheme="minorHAnsi"/>
          <w:sz w:val="16"/>
          <w:szCs w:val="16"/>
        </w:rPr>
      </w:pPr>
      <w:r w:rsidRPr="00445E18">
        <w:rPr>
          <w:rStyle w:val="FootnoteReference"/>
          <w:rFonts w:asciiTheme="minorHAnsi" w:hAnsiTheme="minorHAnsi" w:cstheme="minorHAnsi"/>
          <w:sz w:val="16"/>
          <w:szCs w:val="16"/>
        </w:rPr>
        <w:footnoteRef/>
      </w:r>
      <w:r w:rsidRPr="00445E18">
        <w:rPr>
          <w:rFonts w:asciiTheme="minorHAnsi" w:hAnsiTheme="minorHAnsi" w:cstheme="minorHAnsi"/>
          <w:sz w:val="16"/>
          <w:szCs w:val="16"/>
        </w:rPr>
        <w:t xml:space="preserve"> </w:t>
      </w:r>
      <w:r w:rsidRPr="00C204FE">
        <w:rPr>
          <w:rFonts w:asciiTheme="minorHAnsi" w:hAnsiTheme="minorHAnsi" w:cstheme="minorHAnsi"/>
          <w:sz w:val="16"/>
          <w:szCs w:val="16"/>
        </w:rPr>
        <w:t xml:space="preserve">The recommendations of the BCR report are a result of widespread and targeted consultation with industry and government and are part of a broader package of reform still to be delivered. The Building Ministers’ Forum recently agreed to the establishment of an ABCB implementation team to assist in developing a consistent approach to implementation of the BCR recommendations. </w:t>
      </w:r>
    </w:p>
  </w:footnote>
  <w:footnote w:id="31">
    <w:p w:rsidR="001A3728" w:rsidRPr="00445E18" w:rsidRDefault="001A3728" w:rsidP="006875EC">
      <w:pPr>
        <w:pStyle w:val="FootnoteText"/>
        <w:rPr>
          <w:rFonts w:asciiTheme="minorHAnsi" w:hAnsiTheme="minorHAnsi" w:cstheme="minorHAnsi"/>
          <w:szCs w:val="16"/>
        </w:rPr>
      </w:pPr>
      <w:r w:rsidRPr="00445E18">
        <w:rPr>
          <w:rFonts w:asciiTheme="minorHAnsi" w:hAnsiTheme="minorHAnsi" w:cstheme="minorHAnsi"/>
          <w:szCs w:val="16"/>
          <w:vertAlign w:val="superscript"/>
        </w:rPr>
        <w:footnoteRef/>
      </w:r>
      <w:r w:rsidRPr="00445E18">
        <w:rPr>
          <w:rFonts w:asciiTheme="minorHAnsi" w:hAnsiTheme="minorHAnsi" w:cstheme="minorHAnsi"/>
          <w:szCs w:val="16"/>
          <w:vertAlign w:val="superscript"/>
        </w:rPr>
        <w:t xml:space="preserve"> </w:t>
      </w:r>
      <w:r w:rsidRPr="00D24284">
        <w:rPr>
          <w:rFonts w:asciiTheme="minorHAnsi" w:hAnsiTheme="minorHAnsi" w:cstheme="minorHAnsi"/>
          <w:szCs w:val="16"/>
        </w:rPr>
        <w:t>Weir. B Shergold. P</w:t>
      </w:r>
      <w:r>
        <w:rPr>
          <w:rFonts w:asciiTheme="minorHAnsi" w:hAnsiTheme="minorHAnsi" w:cstheme="minorHAnsi"/>
          <w:szCs w:val="16"/>
        </w:rPr>
        <w:t>,</w:t>
      </w:r>
      <w:r w:rsidRPr="00D24284">
        <w:rPr>
          <w:rFonts w:asciiTheme="minorHAnsi" w:hAnsiTheme="minorHAnsi" w:cstheme="minorHAnsi"/>
          <w:szCs w:val="16"/>
        </w:rPr>
        <w:t xml:space="preserve"> (2018) Building Confidence Report. </w:t>
      </w:r>
      <w:r>
        <w:rPr>
          <w:rFonts w:asciiTheme="minorHAnsi" w:hAnsiTheme="minorHAnsi" w:cstheme="minorHAnsi"/>
          <w:szCs w:val="16"/>
        </w:rPr>
        <w:t xml:space="preserve">Page </w:t>
      </w:r>
      <w:r w:rsidRPr="00D24284">
        <w:rPr>
          <w:rFonts w:asciiTheme="minorHAnsi" w:hAnsiTheme="minorHAnsi" w:cstheme="minorHAnsi"/>
          <w:szCs w:val="16"/>
        </w:rPr>
        <w:t>30</w:t>
      </w:r>
      <w:r>
        <w:rPr>
          <w:rFonts w:asciiTheme="minorHAnsi" w:hAnsiTheme="minorHAnsi" w:cstheme="minorHAnsi"/>
          <w:szCs w:val="16"/>
        </w:rPr>
        <w:t>.</w:t>
      </w:r>
    </w:p>
  </w:footnote>
  <w:footnote w:id="32">
    <w:p w:rsidR="001A3728" w:rsidRPr="00445E18" w:rsidRDefault="001A3728" w:rsidP="006875EC">
      <w:pPr>
        <w:pStyle w:val="FootnoteText"/>
        <w:rPr>
          <w:rFonts w:asciiTheme="minorHAnsi" w:hAnsiTheme="minorHAnsi" w:cstheme="minorHAnsi"/>
          <w:szCs w:val="16"/>
        </w:rPr>
      </w:pPr>
      <w:r w:rsidRPr="00445E18">
        <w:rPr>
          <w:rFonts w:asciiTheme="minorHAnsi" w:hAnsiTheme="minorHAnsi" w:cstheme="minorHAnsi"/>
          <w:szCs w:val="16"/>
          <w:vertAlign w:val="superscript"/>
        </w:rPr>
        <w:footnoteRef/>
      </w:r>
      <w:r w:rsidRPr="00445E18">
        <w:rPr>
          <w:rFonts w:asciiTheme="minorHAnsi" w:hAnsiTheme="minorHAnsi" w:cstheme="minorHAnsi"/>
          <w:szCs w:val="16"/>
        </w:rPr>
        <w:t xml:space="preserve"> Review of the Building Act 1975 and building certifi</w:t>
      </w:r>
      <w:r>
        <w:rPr>
          <w:rFonts w:asciiTheme="minorHAnsi" w:hAnsiTheme="minorHAnsi" w:cstheme="minorHAnsi"/>
          <w:szCs w:val="16"/>
        </w:rPr>
        <w:t xml:space="preserve">cation in Queensland, [1311] Page </w:t>
      </w:r>
      <w:r w:rsidRPr="00445E18">
        <w:rPr>
          <w:rFonts w:asciiTheme="minorHAnsi" w:hAnsiTheme="minorHAnsi" w:cstheme="minorHAnsi"/>
          <w:szCs w:val="16"/>
        </w:rPr>
        <w:t xml:space="preserve">71. </w:t>
      </w:r>
    </w:p>
  </w:footnote>
  <w:footnote w:id="33">
    <w:p w:rsidR="001A3728" w:rsidRPr="00445E18" w:rsidRDefault="001A3728" w:rsidP="006875EC">
      <w:pPr>
        <w:pStyle w:val="FootnoteText"/>
        <w:rPr>
          <w:rFonts w:asciiTheme="minorHAnsi" w:hAnsiTheme="minorHAnsi" w:cstheme="minorHAnsi"/>
          <w:szCs w:val="16"/>
        </w:rPr>
      </w:pPr>
      <w:r w:rsidRPr="00445E18">
        <w:rPr>
          <w:rFonts w:asciiTheme="minorHAnsi" w:hAnsiTheme="minorHAnsi" w:cstheme="minorHAnsi"/>
          <w:szCs w:val="16"/>
          <w:vertAlign w:val="superscript"/>
        </w:rPr>
        <w:footnoteRef/>
      </w:r>
      <w:r w:rsidRPr="00445E18">
        <w:rPr>
          <w:rFonts w:asciiTheme="minorHAnsi" w:hAnsiTheme="minorHAnsi" w:cstheme="minorHAnsi"/>
          <w:szCs w:val="16"/>
        </w:rPr>
        <w:t xml:space="preserve"> Outcome sought by the proposed reforms</w:t>
      </w:r>
      <w:r>
        <w:rPr>
          <w:rFonts w:asciiTheme="minorHAnsi" w:hAnsiTheme="minorHAnsi" w:cstheme="minorHAnsi"/>
          <w:szCs w:val="16"/>
        </w:rPr>
        <w:t xml:space="preserve">. </w:t>
      </w:r>
      <w:r w:rsidRPr="00445E18">
        <w:rPr>
          <w:rFonts w:asciiTheme="minorHAnsi" w:hAnsiTheme="minorHAnsi" w:cstheme="minorHAnsi"/>
          <w:szCs w:val="16"/>
        </w:rPr>
        <w:t xml:space="preserve">Independent Review of the Building Professionals Act </w:t>
      </w:r>
      <w:r>
        <w:rPr>
          <w:rFonts w:asciiTheme="minorHAnsi" w:hAnsiTheme="minorHAnsi" w:cstheme="minorHAnsi"/>
          <w:szCs w:val="16"/>
        </w:rPr>
        <w:t>(</w:t>
      </w:r>
      <w:r w:rsidRPr="00445E18">
        <w:rPr>
          <w:rFonts w:asciiTheme="minorHAnsi" w:hAnsiTheme="minorHAnsi" w:cstheme="minorHAnsi"/>
          <w:szCs w:val="16"/>
        </w:rPr>
        <w:t>2005</w:t>
      </w:r>
      <w:r>
        <w:rPr>
          <w:rFonts w:asciiTheme="minorHAnsi" w:hAnsiTheme="minorHAnsi" w:cstheme="minorHAnsi"/>
          <w:szCs w:val="16"/>
        </w:rPr>
        <w:t>)</w:t>
      </w:r>
      <w:r w:rsidRPr="00445E18">
        <w:rPr>
          <w:rFonts w:asciiTheme="minorHAnsi" w:hAnsiTheme="minorHAnsi" w:cstheme="minorHAnsi"/>
          <w:szCs w:val="16"/>
        </w:rPr>
        <w:t xml:space="preserve"> – Final Report.</w:t>
      </w:r>
    </w:p>
  </w:footnote>
  <w:footnote w:id="34">
    <w:p w:rsidR="001A3728" w:rsidRPr="00445E18" w:rsidRDefault="001A3728" w:rsidP="006875EC">
      <w:pPr>
        <w:pStyle w:val="FootnoteText"/>
        <w:rPr>
          <w:rFonts w:asciiTheme="minorHAnsi" w:hAnsiTheme="minorHAnsi" w:cstheme="minorHAnsi"/>
          <w:szCs w:val="16"/>
        </w:rPr>
      </w:pPr>
      <w:r w:rsidRPr="00445E18">
        <w:rPr>
          <w:rFonts w:asciiTheme="minorHAnsi" w:hAnsiTheme="minorHAnsi" w:cstheme="minorHAnsi"/>
          <w:szCs w:val="16"/>
          <w:vertAlign w:val="superscript"/>
        </w:rPr>
        <w:footnoteRef/>
      </w:r>
      <w:r w:rsidRPr="00445E18">
        <w:rPr>
          <w:rFonts w:asciiTheme="minorHAnsi" w:hAnsiTheme="minorHAnsi" w:cstheme="minorHAnsi"/>
          <w:szCs w:val="16"/>
        </w:rPr>
        <w:t xml:space="preserve"> Victorian Auditor-General, Compliance with Building Permits, Victoria</w:t>
      </w:r>
      <w:r>
        <w:rPr>
          <w:rFonts w:asciiTheme="minorHAnsi" w:hAnsiTheme="minorHAnsi" w:cstheme="minorHAnsi"/>
          <w:szCs w:val="16"/>
        </w:rPr>
        <w:t xml:space="preserve">n Government Printer (2011) </w:t>
      </w:r>
      <w:r w:rsidRPr="00445E18">
        <w:rPr>
          <w:rFonts w:asciiTheme="minorHAnsi" w:hAnsiTheme="minorHAnsi" w:cstheme="minorHAnsi"/>
          <w:szCs w:val="16"/>
        </w:rPr>
        <w:t>Victorian Auditor-General, Victoria’s Consumer Protection Framework for Building Construction</w:t>
      </w:r>
      <w:r>
        <w:rPr>
          <w:rFonts w:asciiTheme="minorHAnsi" w:hAnsiTheme="minorHAnsi" w:cstheme="minorHAnsi"/>
          <w:szCs w:val="16"/>
        </w:rPr>
        <w:t xml:space="preserve">, Victorian Government Printer (2015), </w:t>
      </w:r>
      <w:r w:rsidRPr="00445E18">
        <w:rPr>
          <w:rFonts w:asciiTheme="minorHAnsi" w:hAnsiTheme="minorHAnsi" w:cstheme="minorHAnsi"/>
          <w:szCs w:val="16"/>
        </w:rPr>
        <w:t>Melbourne</w:t>
      </w:r>
      <w:r>
        <w:rPr>
          <w:rFonts w:asciiTheme="minorHAnsi" w:hAnsiTheme="minorHAnsi" w:cstheme="minorHAnsi"/>
          <w:szCs w:val="16"/>
        </w:rPr>
        <w:t>. Page</w:t>
      </w:r>
      <w:r w:rsidRPr="00445E18">
        <w:rPr>
          <w:rFonts w:asciiTheme="minorHAnsi" w:hAnsiTheme="minorHAnsi" w:cstheme="minorHAnsi"/>
          <w:szCs w:val="16"/>
        </w:rPr>
        <w:t xml:space="preserve"> 24. </w:t>
      </w:r>
    </w:p>
  </w:footnote>
  <w:footnote w:id="35">
    <w:p w:rsidR="001A3728" w:rsidRPr="008D3852" w:rsidRDefault="001A3728" w:rsidP="006875EC">
      <w:pPr>
        <w:pStyle w:val="FootnoteText"/>
        <w:rPr>
          <w:rFonts w:asciiTheme="minorHAnsi" w:hAnsiTheme="minorHAnsi" w:cstheme="minorHAnsi"/>
        </w:rPr>
      </w:pPr>
      <w:r w:rsidRPr="00445E18">
        <w:rPr>
          <w:rStyle w:val="FootnoteReference"/>
          <w:rFonts w:asciiTheme="minorHAnsi" w:hAnsiTheme="minorHAnsi" w:cstheme="minorHAnsi"/>
          <w:szCs w:val="16"/>
        </w:rPr>
        <w:footnoteRef/>
      </w:r>
      <w:r w:rsidRPr="00445E18">
        <w:rPr>
          <w:rFonts w:asciiTheme="minorHAnsi" w:hAnsiTheme="minorHAnsi" w:cstheme="minorHAnsi"/>
          <w:szCs w:val="16"/>
        </w:rPr>
        <w:t xml:space="preserve"> The following recommendations though relevant are </w:t>
      </w:r>
      <w:r w:rsidRPr="00445E18">
        <w:rPr>
          <w:rFonts w:asciiTheme="minorHAnsi" w:hAnsiTheme="minorHAnsi" w:cstheme="minorHAnsi"/>
          <w:iCs/>
          <w:szCs w:val="16"/>
        </w:rPr>
        <w:t xml:space="preserve">wider ranging and rely on other recommendations of BCR report: </w:t>
      </w:r>
      <w:r w:rsidRPr="00445E18">
        <w:rPr>
          <w:rFonts w:asciiTheme="minorHAnsi" w:hAnsiTheme="minorHAnsi" w:cstheme="minorHAnsi"/>
          <w:szCs w:val="16"/>
        </w:rPr>
        <w:t xml:space="preserve">6.1.15, 6.28, 6.5.8, 7.4.2 of the Lambert </w:t>
      </w:r>
      <w:r>
        <w:rPr>
          <w:rFonts w:asciiTheme="minorHAnsi" w:hAnsiTheme="minorHAnsi" w:cstheme="minorHAnsi"/>
          <w:szCs w:val="16"/>
        </w:rPr>
        <w:t>R</w:t>
      </w:r>
      <w:r w:rsidRPr="00445E18">
        <w:rPr>
          <w:rFonts w:asciiTheme="minorHAnsi" w:hAnsiTheme="minorHAnsi" w:cstheme="minorHAnsi"/>
          <w:szCs w:val="16"/>
        </w:rPr>
        <w:t>eview.</w:t>
      </w:r>
    </w:p>
  </w:footnote>
  <w:footnote w:id="36">
    <w:p w:rsidR="001A3728" w:rsidRPr="007A65CC" w:rsidRDefault="001A3728" w:rsidP="006875EC">
      <w:pPr>
        <w:pStyle w:val="FootnoteText"/>
        <w:rPr>
          <w:rFonts w:asciiTheme="minorHAnsi" w:hAnsiTheme="minorHAnsi" w:cstheme="minorHAnsi"/>
          <w:szCs w:val="16"/>
        </w:rPr>
      </w:pPr>
      <w:r w:rsidRPr="007A65CC">
        <w:rPr>
          <w:rStyle w:val="FootnoteReference"/>
          <w:rFonts w:asciiTheme="minorHAnsi" w:hAnsiTheme="minorHAnsi" w:cstheme="minorHAnsi"/>
          <w:szCs w:val="16"/>
        </w:rPr>
        <w:footnoteRef/>
      </w:r>
      <w:r w:rsidRPr="007A65CC">
        <w:rPr>
          <w:rFonts w:asciiTheme="minorHAnsi" w:hAnsiTheme="minorHAnsi" w:cstheme="minorHAnsi"/>
          <w:szCs w:val="16"/>
        </w:rPr>
        <w:t xml:space="preserve"> 6% of survey respondents identified plumbing as the sector where they predominantly involved in the development of Performance Solutions. </w:t>
      </w:r>
    </w:p>
  </w:footnote>
  <w:footnote w:id="37">
    <w:p w:rsidR="001A3728" w:rsidRDefault="001A3728" w:rsidP="006875EC">
      <w:pPr>
        <w:pStyle w:val="FootnoteText"/>
      </w:pPr>
      <w:r w:rsidRPr="007A65CC">
        <w:rPr>
          <w:rStyle w:val="FootnoteReference"/>
          <w:rFonts w:asciiTheme="minorHAnsi" w:hAnsiTheme="minorHAnsi" w:cstheme="minorHAnsi"/>
          <w:szCs w:val="16"/>
        </w:rPr>
        <w:footnoteRef/>
      </w:r>
      <w:r w:rsidRPr="007A65CC">
        <w:rPr>
          <w:rFonts w:asciiTheme="minorHAnsi" w:hAnsiTheme="minorHAnsi" w:cstheme="minorHAnsi"/>
          <w:szCs w:val="16"/>
        </w:rPr>
        <w:t xml:space="preserve"> The CIE (2014) Report on the benefits of a </w:t>
      </w:r>
      <w:r>
        <w:rPr>
          <w:rFonts w:asciiTheme="minorHAnsi" w:hAnsiTheme="minorHAnsi" w:cstheme="minorHAnsi"/>
          <w:szCs w:val="16"/>
        </w:rPr>
        <w:t>Performance-based</w:t>
      </w:r>
      <w:r w:rsidRPr="007A65CC">
        <w:rPr>
          <w:rFonts w:asciiTheme="minorHAnsi" w:hAnsiTheme="minorHAnsi" w:cstheme="minorHAnsi"/>
          <w:szCs w:val="16"/>
        </w:rPr>
        <w:t xml:space="preserve"> NCC.</w:t>
      </w:r>
    </w:p>
  </w:footnote>
  <w:footnote w:id="38">
    <w:p w:rsidR="001A3728" w:rsidRDefault="001A3728" w:rsidP="006875EC">
      <w:pPr>
        <w:pStyle w:val="FootnoteText"/>
      </w:pPr>
      <w:r>
        <w:rPr>
          <w:rStyle w:val="FootnoteReference"/>
        </w:rPr>
        <w:footnoteRef/>
      </w:r>
      <w:r>
        <w:t xml:space="preserve"> The Verification Method was subject to amendment in NCC 2019 to address its inappropriate use in some cases. See: </w:t>
      </w:r>
      <w:hyperlink r:id="rId8" w:history="1">
        <w:r w:rsidRPr="00AD71F5">
          <w:rPr>
            <w:rStyle w:val="Hyperlink"/>
          </w:rPr>
          <w:t>https://www.commerce.wa.gov.au/sites/default/files/atoms/files/ib_89_0.pdf</w:t>
        </w:r>
      </w:hyperlink>
      <w:r>
        <w:t xml:space="preserve"> </w:t>
      </w:r>
    </w:p>
  </w:footnote>
  <w:footnote w:id="39">
    <w:p w:rsidR="001A3728" w:rsidRDefault="001A3728" w:rsidP="006875EC">
      <w:pPr>
        <w:pStyle w:val="FootnoteText"/>
      </w:pPr>
      <w:r>
        <w:rPr>
          <w:rStyle w:val="FootnoteReference"/>
        </w:rPr>
        <w:footnoteRef/>
      </w:r>
      <w:r>
        <w:t xml:space="preserve"> </w:t>
      </w:r>
      <w:r w:rsidRPr="000024AE">
        <w:t>An ABCB survey of practitioners in 2013 revealed relatively low levels of understanding that Performance Solutions were needed to satisfy FP1.4, despite this being the only avenue for compliance for many cladding systems in Class 2-9 buildings</w:t>
      </w:r>
    </w:p>
  </w:footnote>
  <w:footnote w:id="40">
    <w:p w:rsidR="001A3728" w:rsidRDefault="001A3728" w:rsidP="006875EC">
      <w:pPr>
        <w:pStyle w:val="FootnoteText"/>
      </w:pPr>
      <w:r>
        <w:rPr>
          <w:rStyle w:val="FootnoteReference"/>
        </w:rPr>
        <w:footnoteRef/>
      </w:r>
      <w:r>
        <w:t xml:space="preserve"> </w:t>
      </w:r>
      <w:r w:rsidRPr="00FB0E0C">
        <w:rPr>
          <w:rFonts w:asciiTheme="minorHAnsi" w:hAnsiTheme="minorHAnsi" w:cstheme="minorHAnsi"/>
        </w:rPr>
        <w:t>May, P.</w:t>
      </w:r>
      <w:r>
        <w:rPr>
          <w:rFonts w:asciiTheme="minorHAnsi" w:hAnsiTheme="minorHAnsi" w:cstheme="minorHAnsi"/>
        </w:rPr>
        <w:t xml:space="preserve"> </w:t>
      </w:r>
      <w:r w:rsidRPr="00FB0E0C">
        <w:rPr>
          <w:rFonts w:asciiTheme="minorHAnsi" w:hAnsiTheme="minorHAnsi" w:cstheme="minorHAnsi"/>
        </w:rPr>
        <w:t>LAW &amp; POLICY, Vol. 25, No. 4,</w:t>
      </w:r>
      <w:r w:rsidRPr="00FE37D3">
        <w:rPr>
          <w:rFonts w:asciiTheme="minorHAnsi" w:hAnsiTheme="minorHAnsi" w:cstheme="minorHAnsi"/>
        </w:rPr>
        <w:t xml:space="preserve"> </w:t>
      </w:r>
      <w:r>
        <w:rPr>
          <w:rFonts w:asciiTheme="minorHAnsi" w:hAnsiTheme="minorHAnsi" w:cstheme="minorHAnsi"/>
        </w:rPr>
        <w:t>(2003) Performance-b</w:t>
      </w:r>
      <w:r w:rsidRPr="00FB0E0C">
        <w:rPr>
          <w:rFonts w:asciiTheme="minorHAnsi" w:hAnsiTheme="minorHAnsi" w:cstheme="minorHAnsi"/>
        </w:rPr>
        <w:t xml:space="preserve">ased Regulation and Regulatory Regimes: </w:t>
      </w:r>
      <w:r>
        <w:rPr>
          <w:rFonts w:asciiTheme="minorHAnsi" w:hAnsiTheme="minorHAnsi" w:cstheme="minorHAnsi"/>
        </w:rPr>
        <w:t>The Saga of Leaky Buildings.</w:t>
      </w:r>
    </w:p>
  </w:footnote>
  <w:footnote w:id="41">
    <w:p w:rsidR="001A3728" w:rsidRPr="0012012E" w:rsidRDefault="001A3728" w:rsidP="006875EC">
      <w:pPr>
        <w:pStyle w:val="FootnoteText"/>
      </w:pPr>
      <w:r w:rsidRPr="0012012E">
        <w:rPr>
          <w:rStyle w:val="FootnoteReference"/>
          <w:rFonts w:asciiTheme="minorHAnsi" w:hAnsiTheme="minorHAnsi" w:cstheme="minorHAnsi"/>
          <w:szCs w:val="16"/>
        </w:rPr>
        <w:footnoteRef/>
      </w:r>
      <w:r w:rsidRPr="0012012E">
        <w:t xml:space="preserve"> NSW Land and Environmental Court</w:t>
      </w:r>
      <w:r w:rsidR="00014DD8">
        <w:t>. See:</w:t>
      </w:r>
      <w:r w:rsidRPr="0012012E">
        <w:t xml:space="preserve"> </w:t>
      </w:r>
      <w:hyperlink r:id="rId9" w:history="1">
        <w:r w:rsidRPr="0012012E">
          <w:rPr>
            <w:rStyle w:val="Hyperlink"/>
            <w:rFonts w:asciiTheme="minorHAnsi" w:hAnsiTheme="minorHAnsi" w:cstheme="minorHAnsi"/>
            <w:szCs w:val="16"/>
          </w:rPr>
          <w:t>http://www.lec.justice.nsw.gov.au/</w:t>
        </w:r>
      </w:hyperlink>
      <w:r w:rsidRPr="0012012E">
        <w:t xml:space="preserve"> </w:t>
      </w:r>
    </w:p>
  </w:footnote>
  <w:footnote w:id="42">
    <w:p w:rsidR="001A3728" w:rsidRPr="0012012E" w:rsidRDefault="001A3728" w:rsidP="006875EC">
      <w:pPr>
        <w:pStyle w:val="FootnoteText"/>
        <w:rPr>
          <w:rFonts w:eastAsia="Times New Roman"/>
          <w:color w:val="0563C1"/>
          <w:lang w:eastAsia="en-AU"/>
        </w:rPr>
      </w:pPr>
      <w:r w:rsidRPr="0012012E">
        <w:rPr>
          <w:rStyle w:val="FootnoteReference"/>
          <w:rFonts w:asciiTheme="minorHAnsi" w:hAnsiTheme="minorHAnsi" w:cstheme="minorHAnsi"/>
          <w:szCs w:val="16"/>
        </w:rPr>
        <w:footnoteRef/>
      </w:r>
      <w:r w:rsidRPr="0012012E">
        <w:t xml:space="preserve"> Victorian Buildings Appeals Board</w:t>
      </w:r>
      <w:r w:rsidR="00014DD8">
        <w:t>. See:</w:t>
      </w:r>
      <w:r w:rsidRPr="0012012E">
        <w:t xml:space="preserve"> </w:t>
      </w:r>
      <w:hyperlink r:id="rId10" w:history="1">
        <w:r w:rsidRPr="0012012E">
          <w:rPr>
            <w:rStyle w:val="Hyperlink"/>
            <w:rFonts w:asciiTheme="minorHAnsi" w:hAnsiTheme="minorHAnsi" w:cstheme="minorHAnsi"/>
            <w:szCs w:val="16"/>
          </w:rPr>
          <w:t>https://www.buildingappeals.vic.gov.au/decisions-and-statistics</w:t>
        </w:r>
      </w:hyperlink>
    </w:p>
  </w:footnote>
  <w:footnote w:id="43">
    <w:p w:rsidR="001A3728" w:rsidRDefault="001A3728" w:rsidP="006875EC">
      <w:pPr>
        <w:pStyle w:val="FootnoteText"/>
      </w:pPr>
      <w:r w:rsidRPr="0012012E">
        <w:rPr>
          <w:rStyle w:val="FootnoteReference"/>
          <w:rFonts w:asciiTheme="minorHAnsi" w:hAnsiTheme="minorHAnsi" w:cstheme="minorHAnsi"/>
          <w:szCs w:val="16"/>
        </w:rPr>
        <w:footnoteRef/>
      </w:r>
      <w:r w:rsidRPr="0012012E">
        <w:t xml:space="preserve"> ACT Civil and Administrative Tribunal</w:t>
      </w:r>
      <w:r w:rsidR="00014DD8">
        <w:t xml:space="preserve">. See: </w:t>
      </w:r>
      <w:r w:rsidRPr="0012012E">
        <w:t xml:space="preserve"> </w:t>
      </w:r>
      <w:hyperlink r:id="rId11" w:history="1">
        <w:r w:rsidRPr="0012012E">
          <w:rPr>
            <w:rStyle w:val="Hyperlink"/>
            <w:rFonts w:asciiTheme="minorHAnsi" w:hAnsiTheme="minorHAnsi" w:cstheme="minorHAnsi"/>
            <w:szCs w:val="16"/>
          </w:rPr>
          <w:t>http://www8.austlii.edu.au/au/act/</w:t>
        </w:r>
      </w:hyperlink>
      <w:r>
        <w:t xml:space="preserve"> </w:t>
      </w:r>
    </w:p>
  </w:footnote>
  <w:footnote w:id="44">
    <w:p w:rsidR="001A3728" w:rsidRDefault="001A3728" w:rsidP="006875EC">
      <w:pPr>
        <w:pStyle w:val="FootnoteText"/>
      </w:pPr>
      <w:r>
        <w:rPr>
          <w:rStyle w:val="FootnoteReference"/>
        </w:rPr>
        <w:footnoteRef/>
      </w:r>
      <w:r>
        <w:t xml:space="preserve"> Meacham, B. et. el. (2012) Fire Safety Challenges of Green Buildings. </w:t>
      </w:r>
      <w:r w:rsidR="00014DD8">
        <w:t xml:space="preserve">See: </w:t>
      </w:r>
      <w:hyperlink r:id="rId12" w:history="1">
        <w:r w:rsidRPr="00FB0E0C">
          <w:rPr>
            <w:rStyle w:val="Hyperlink"/>
            <w:rFonts w:asciiTheme="minorHAnsi" w:hAnsiTheme="minorHAnsi" w:cstheme="minorHAnsi"/>
          </w:rPr>
          <w:t>https://www.nfpa.org/-/media/Files/News-and-Research/Fire-statistics-and-reports/Building-and-life-safety/rffiresafetygreenbuildings-(2).ashx?la=en</w:t>
        </w:r>
      </w:hyperlink>
    </w:p>
  </w:footnote>
  <w:footnote w:id="45">
    <w:p w:rsidR="001A3728" w:rsidRDefault="001A3728" w:rsidP="006875EC">
      <w:pPr>
        <w:pStyle w:val="FootnoteText"/>
      </w:pPr>
      <w:r>
        <w:rPr>
          <w:rStyle w:val="FootnoteReference"/>
        </w:rPr>
        <w:footnoteRef/>
      </w:r>
      <w:r>
        <w:t xml:space="preserve"> Of the total solutions ranked, fire safety (Fire Separation, Safe Movement and Egress) solutions constituted 60 per cent in Commercial buildings.</w:t>
      </w:r>
    </w:p>
  </w:footnote>
  <w:footnote w:id="46">
    <w:p w:rsidR="001A3728" w:rsidRPr="00455BC5" w:rsidRDefault="001A3728" w:rsidP="006875EC">
      <w:pPr>
        <w:pStyle w:val="FootnoteText"/>
        <w:rPr>
          <w:rFonts w:asciiTheme="minorHAnsi" w:hAnsiTheme="minorHAnsi" w:cstheme="minorHAnsi"/>
          <w:szCs w:val="16"/>
        </w:rPr>
      </w:pPr>
      <w:r w:rsidRPr="00D83524">
        <w:rPr>
          <w:rStyle w:val="FootnoteReference"/>
          <w:rFonts w:asciiTheme="minorHAnsi" w:hAnsiTheme="minorHAnsi" w:cstheme="minorHAnsi"/>
          <w:szCs w:val="16"/>
        </w:rPr>
        <w:footnoteRef/>
      </w:r>
      <w:r w:rsidRPr="00455BC5">
        <w:rPr>
          <w:rFonts w:asciiTheme="minorHAnsi" w:hAnsiTheme="minorHAnsi" w:cstheme="minorHAnsi"/>
          <w:szCs w:val="16"/>
        </w:rPr>
        <w:t xml:space="preserve"> A five year average of total completions for new houses between 2014 and 2018 has been taken.</w:t>
      </w:r>
    </w:p>
  </w:footnote>
  <w:footnote w:id="47">
    <w:p w:rsidR="001A3728" w:rsidRPr="00FE37D3" w:rsidRDefault="001A3728" w:rsidP="00FE37D3">
      <w:pPr>
        <w:pStyle w:val="ListBullet"/>
        <w:numPr>
          <w:ilvl w:val="0"/>
          <w:numId w:val="0"/>
        </w:numPr>
        <w:spacing w:before="120" w:after="0" w:line="276" w:lineRule="auto"/>
        <w:jc w:val="left"/>
        <w:rPr>
          <w:rFonts w:asciiTheme="minorHAnsi" w:hAnsiTheme="minorHAnsi" w:cstheme="minorHAnsi"/>
          <w:sz w:val="20"/>
          <w:szCs w:val="16"/>
        </w:rPr>
      </w:pPr>
      <w:r w:rsidRPr="00283C97">
        <w:rPr>
          <w:rStyle w:val="FootnoteReference"/>
          <w:sz w:val="20"/>
        </w:rPr>
        <w:footnoteRef/>
      </w:r>
      <w:r>
        <w:rPr>
          <w:sz w:val="16"/>
          <w:szCs w:val="16"/>
        </w:rPr>
        <w:t xml:space="preserve"> </w:t>
      </w:r>
      <w:r w:rsidRPr="00FE37D3">
        <w:rPr>
          <w:rFonts w:asciiTheme="minorHAnsi" w:hAnsiTheme="minorHAnsi" w:cstheme="minorHAnsi"/>
          <w:sz w:val="20"/>
          <w:szCs w:val="16"/>
        </w:rPr>
        <w:t xml:space="preserve">According to stakeholder opinion, the number of solutions was under-reported by the Consultation RIS, particularly in commercial buildings.  The final analysis assumes </w:t>
      </w:r>
      <w:r>
        <w:rPr>
          <w:rFonts w:asciiTheme="minorHAnsi" w:hAnsiTheme="minorHAnsi" w:cstheme="minorHAnsi"/>
          <w:sz w:val="20"/>
          <w:szCs w:val="16"/>
        </w:rPr>
        <w:t>multiple</w:t>
      </w:r>
      <w:r w:rsidRPr="00FE37D3">
        <w:rPr>
          <w:rFonts w:asciiTheme="minorHAnsi" w:hAnsiTheme="minorHAnsi" w:cstheme="minorHAnsi"/>
          <w:sz w:val="20"/>
          <w:szCs w:val="16"/>
        </w:rPr>
        <w:t xml:space="preserve"> solutions may be present in commercial buildings </w:t>
      </w:r>
      <w:r>
        <w:rPr>
          <w:rFonts w:asciiTheme="minorHAnsi" w:hAnsiTheme="minorHAnsi" w:cstheme="minorHAnsi"/>
          <w:sz w:val="20"/>
          <w:szCs w:val="16"/>
        </w:rPr>
        <w:t xml:space="preserve">(a higher </w:t>
      </w:r>
      <w:r w:rsidRPr="00FE37D3">
        <w:rPr>
          <w:rFonts w:asciiTheme="minorHAnsi" w:hAnsiTheme="minorHAnsi" w:cstheme="minorHAnsi"/>
          <w:sz w:val="20"/>
          <w:szCs w:val="16"/>
        </w:rPr>
        <w:t>concentration</w:t>
      </w:r>
      <w:r>
        <w:rPr>
          <w:rFonts w:asciiTheme="minorHAnsi" w:hAnsiTheme="minorHAnsi" w:cstheme="minorHAnsi"/>
          <w:sz w:val="20"/>
          <w:szCs w:val="16"/>
        </w:rPr>
        <w:t>)</w:t>
      </w:r>
      <w:r w:rsidRPr="00FE37D3">
        <w:rPr>
          <w:rFonts w:asciiTheme="minorHAnsi" w:hAnsiTheme="minorHAnsi" w:cstheme="minorHAnsi"/>
          <w:sz w:val="20"/>
          <w:szCs w:val="16"/>
        </w:rPr>
        <w:t>.</w:t>
      </w:r>
    </w:p>
  </w:footnote>
  <w:footnote w:id="48">
    <w:p w:rsidR="001A3728" w:rsidRPr="00455BC5" w:rsidRDefault="001A3728" w:rsidP="006875EC">
      <w:pPr>
        <w:pStyle w:val="FootnoteText"/>
      </w:pPr>
      <w:r w:rsidRPr="00D83524">
        <w:rPr>
          <w:rStyle w:val="FootnoteReference"/>
          <w:rFonts w:asciiTheme="minorHAnsi" w:hAnsiTheme="minorHAnsi" w:cstheme="minorHAnsi"/>
          <w:szCs w:val="16"/>
        </w:rPr>
        <w:footnoteRef/>
      </w:r>
      <w:r w:rsidRPr="00D83524">
        <w:rPr>
          <w:rStyle w:val="FootnoteReference"/>
        </w:rPr>
        <w:t xml:space="preserve"> </w:t>
      </w:r>
      <w:r w:rsidRPr="00455BC5">
        <w:t xml:space="preserve">A five year average of total completions ABS (2014-2018) Building Activity, Catalogue 8752.0. Table 37.  </w:t>
      </w:r>
    </w:p>
  </w:footnote>
  <w:footnote w:id="49">
    <w:p w:rsidR="001A3728" w:rsidRPr="00455BC5" w:rsidRDefault="001A3728" w:rsidP="006875EC">
      <w:pPr>
        <w:pStyle w:val="FootnoteText"/>
      </w:pPr>
      <w:r w:rsidRPr="00455BC5">
        <w:rPr>
          <w:rStyle w:val="FootnoteReference"/>
          <w:rFonts w:asciiTheme="minorHAnsi" w:hAnsiTheme="minorHAnsi" w:cstheme="minorHAnsi"/>
          <w:szCs w:val="16"/>
        </w:rPr>
        <w:footnoteRef/>
      </w:r>
      <w:r w:rsidRPr="00455BC5">
        <w:t xml:space="preserve"> The annual number of commercial building approvals is not collecte</w:t>
      </w:r>
      <w:r>
        <w:t xml:space="preserve">d nationally. Estimate based on: </w:t>
      </w:r>
      <w:hyperlink r:id="rId13" w:history="1">
        <w:r w:rsidRPr="005F32D7">
          <w:rPr>
            <w:rStyle w:val="Hyperlink"/>
            <w:rFonts w:asciiTheme="minorHAnsi" w:eastAsia="Times New Roman" w:hAnsiTheme="minorHAnsi" w:cstheme="minorHAnsi"/>
            <w:szCs w:val="16"/>
            <w:lang w:eastAsia="en-AU"/>
          </w:rPr>
          <w:t>https://www.commerce.wa.gov.au/sites/default/files/atoms/files/final_report_security_of_payment_reform_in_the_wa_building_and_construction_industry.pdf</w:t>
        </w:r>
      </w:hyperlink>
      <w:r w:rsidRPr="00455BC5">
        <w:rPr>
          <w:rStyle w:val="Hyperlink"/>
          <w:rFonts w:asciiTheme="minorHAnsi" w:eastAsia="Times New Roman" w:hAnsiTheme="minorHAnsi" w:cstheme="minorHAnsi"/>
          <w:szCs w:val="16"/>
          <w:lang w:eastAsia="en-AU"/>
        </w:rPr>
        <w:t xml:space="preserve">  </w:t>
      </w:r>
      <w:r w:rsidRPr="00455BC5">
        <w:t>P</w:t>
      </w:r>
      <w:r>
        <w:t>age 341. E</w:t>
      </w:r>
      <w:r w:rsidRPr="00455BC5">
        <w:t>xtrapolated using ABS (2019) Building Activity, Catalogue 8752.0. Table 71.</w:t>
      </w:r>
      <w:r>
        <w:t>multi-residential buildings are included in commercial building category.</w:t>
      </w:r>
    </w:p>
  </w:footnote>
  <w:footnote w:id="50">
    <w:p w:rsidR="001A3728" w:rsidRPr="00455BC5" w:rsidRDefault="001A3728" w:rsidP="006875EC">
      <w:pPr>
        <w:pStyle w:val="FootnoteText"/>
      </w:pPr>
      <w:r w:rsidRPr="00455BC5">
        <w:rPr>
          <w:rStyle w:val="FootnoteReference"/>
          <w:rFonts w:asciiTheme="minorHAnsi" w:hAnsiTheme="minorHAnsi" w:cstheme="minorHAnsi"/>
          <w:szCs w:val="16"/>
        </w:rPr>
        <w:footnoteRef/>
      </w:r>
      <w:r>
        <w:t xml:space="preserve"> </w:t>
      </w:r>
      <w:r>
        <w:rPr>
          <w:lang w:val="en"/>
        </w:rPr>
        <w:t xml:space="preserve">ABCB Survey Results (2019) </w:t>
      </w:r>
      <w:r w:rsidRPr="00D83524">
        <w:rPr>
          <w:lang w:val="en"/>
        </w:rPr>
        <w:t xml:space="preserve">approximately </w:t>
      </w:r>
      <w:r>
        <w:rPr>
          <w:lang w:val="en"/>
        </w:rPr>
        <w:t xml:space="preserve">50% of respondents identified an </w:t>
      </w:r>
      <w:r w:rsidRPr="00D83524">
        <w:rPr>
          <w:lang w:val="en"/>
        </w:rPr>
        <w:t xml:space="preserve">increase in professional fees. </w:t>
      </w:r>
      <w:r>
        <w:rPr>
          <w:lang w:val="en"/>
        </w:rPr>
        <w:t>The average increase in professional fees was approximately 8% this is applied to the proportion inadequately undertaking a step. The 108% increase is applied to the proportion not currently undertaking a step in the process, in recognition that no cost is currently incurred for that step.</w:t>
      </w:r>
    </w:p>
  </w:footnote>
  <w:footnote w:id="51">
    <w:p w:rsidR="001A3728" w:rsidRPr="001F1F3F" w:rsidRDefault="001A3728" w:rsidP="006875EC">
      <w:pPr>
        <w:pStyle w:val="FootnoteText"/>
        <w:rPr>
          <w:rFonts w:asciiTheme="minorHAnsi" w:hAnsiTheme="minorHAnsi" w:cstheme="minorHAnsi"/>
          <w:color w:val="111111"/>
          <w:szCs w:val="16"/>
          <w:lang w:val="en"/>
        </w:rPr>
      </w:pPr>
      <w:r w:rsidRPr="001F1F3F">
        <w:rPr>
          <w:rStyle w:val="FootnoteReference"/>
          <w:rFonts w:asciiTheme="minorHAnsi" w:hAnsiTheme="minorHAnsi" w:cstheme="minorHAnsi"/>
          <w:szCs w:val="16"/>
        </w:rPr>
        <w:footnoteRef/>
      </w:r>
      <w:r>
        <w:rPr>
          <w:rStyle w:val="FootnoteReference"/>
        </w:rPr>
        <w:t xml:space="preserve"> </w:t>
      </w:r>
      <w:r w:rsidRPr="001F1F3F">
        <w:rPr>
          <w:rFonts w:asciiTheme="minorHAnsi" w:hAnsiTheme="minorHAnsi" w:cstheme="minorHAnsi"/>
          <w:color w:val="111111"/>
          <w:szCs w:val="16"/>
          <w:lang w:val="en"/>
        </w:rPr>
        <w:t xml:space="preserve">This is the sum of </w:t>
      </w:r>
      <w:r>
        <w:rPr>
          <w:rFonts w:asciiTheme="minorHAnsi" w:hAnsiTheme="minorHAnsi" w:cstheme="minorHAnsi"/>
          <w:color w:val="111111"/>
          <w:szCs w:val="16"/>
          <w:lang w:val="en"/>
        </w:rPr>
        <w:t xml:space="preserve">the </w:t>
      </w:r>
      <w:r w:rsidRPr="001F1F3F">
        <w:rPr>
          <w:rFonts w:asciiTheme="minorHAnsi" w:hAnsiTheme="minorHAnsi" w:cstheme="minorHAnsi"/>
          <w:color w:val="111111"/>
          <w:szCs w:val="16"/>
          <w:lang w:val="en"/>
        </w:rPr>
        <w:t>total annual costs in Tables 1</w:t>
      </w:r>
      <w:r>
        <w:rPr>
          <w:rFonts w:asciiTheme="minorHAnsi" w:hAnsiTheme="minorHAnsi" w:cstheme="minorHAnsi"/>
          <w:color w:val="111111"/>
          <w:szCs w:val="16"/>
          <w:lang w:val="en"/>
        </w:rPr>
        <w:t>0</w:t>
      </w:r>
      <w:r w:rsidRPr="001F1F3F">
        <w:rPr>
          <w:rFonts w:asciiTheme="minorHAnsi" w:hAnsiTheme="minorHAnsi" w:cstheme="minorHAnsi"/>
          <w:color w:val="111111"/>
          <w:szCs w:val="16"/>
          <w:lang w:val="en"/>
        </w:rPr>
        <w:t xml:space="preserve"> and 1</w:t>
      </w:r>
      <w:r>
        <w:rPr>
          <w:rFonts w:asciiTheme="minorHAnsi" w:hAnsiTheme="minorHAnsi" w:cstheme="minorHAnsi"/>
          <w:color w:val="111111"/>
          <w:szCs w:val="16"/>
          <w:lang w:val="en"/>
        </w:rPr>
        <w:t>1</w:t>
      </w:r>
      <w:r w:rsidRPr="001F1F3F">
        <w:rPr>
          <w:rFonts w:asciiTheme="minorHAnsi" w:hAnsiTheme="minorHAnsi" w:cstheme="minorHAnsi"/>
          <w:color w:val="111111"/>
          <w:szCs w:val="16"/>
          <w:lang w:val="en"/>
        </w:rPr>
        <w:t xml:space="preserve">. </w:t>
      </w:r>
    </w:p>
  </w:footnote>
  <w:footnote w:id="52">
    <w:p w:rsidR="001A3728" w:rsidRDefault="001A3728" w:rsidP="006875EC">
      <w:pPr>
        <w:pStyle w:val="FootnoteText"/>
      </w:pPr>
      <w:r w:rsidRPr="001F1F3F">
        <w:rPr>
          <w:rStyle w:val="FootnoteReference"/>
          <w:rFonts w:asciiTheme="minorHAnsi" w:hAnsiTheme="minorHAnsi" w:cstheme="minorHAnsi"/>
          <w:szCs w:val="16"/>
        </w:rPr>
        <w:footnoteRef/>
      </w:r>
      <w:r>
        <w:rPr>
          <w:rFonts w:asciiTheme="minorHAnsi" w:hAnsiTheme="minorHAnsi" w:cstheme="minorHAnsi"/>
          <w:color w:val="111111"/>
          <w:szCs w:val="16"/>
          <w:lang w:val="en"/>
        </w:rPr>
        <w:t xml:space="preserve"> </w:t>
      </w:r>
      <w:r w:rsidRPr="001F1F3F">
        <w:rPr>
          <w:rFonts w:asciiTheme="minorHAnsi" w:hAnsiTheme="minorHAnsi" w:cstheme="minorHAnsi"/>
          <w:color w:val="111111"/>
          <w:szCs w:val="16"/>
          <w:lang w:val="en"/>
        </w:rPr>
        <w:t>This is the sum of</w:t>
      </w:r>
      <w:r>
        <w:rPr>
          <w:rFonts w:asciiTheme="minorHAnsi" w:hAnsiTheme="minorHAnsi" w:cstheme="minorHAnsi"/>
          <w:color w:val="111111"/>
          <w:szCs w:val="16"/>
          <w:lang w:val="en"/>
        </w:rPr>
        <w:t xml:space="preserve"> the</w:t>
      </w:r>
      <w:r w:rsidRPr="001F1F3F">
        <w:rPr>
          <w:rFonts w:asciiTheme="minorHAnsi" w:hAnsiTheme="minorHAnsi" w:cstheme="minorHAnsi"/>
          <w:color w:val="111111"/>
          <w:szCs w:val="16"/>
          <w:lang w:val="en"/>
        </w:rPr>
        <w:t xml:space="preserve"> total Present Value Costs in Tables 1</w:t>
      </w:r>
      <w:r>
        <w:rPr>
          <w:rFonts w:asciiTheme="minorHAnsi" w:hAnsiTheme="minorHAnsi" w:cstheme="minorHAnsi"/>
          <w:color w:val="111111"/>
          <w:szCs w:val="16"/>
          <w:lang w:val="en"/>
        </w:rPr>
        <w:t>0</w:t>
      </w:r>
      <w:r w:rsidRPr="001F1F3F">
        <w:rPr>
          <w:rFonts w:asciiTheme="minorHAnsi" w:hAnsiTheme="minorHAnsi" w:cstheme="minorHAnsi"/>
          <w:color w:val="111111"/>
          <w:szCs w:val="16"/>
          <w:lang w:val="en"/>
        </w:rPr>
        <w:t xml:space="preserve"> and 1</w:t>
      </w:r>
      <w:r>
        <w:rPr>
          <w:rFonts w:asciiTheme="minorHAnsi" w:hAnsiTheme="minorHAnsi" w:cstheme="minorHAnsi"/>
          <w:color w:val="111111"/>
          <w:szCs w:val="16"/>
          <w:lang w:val="en"/>
        </w:rPr>
        <w:t>1</w:t>
      </w:r>
      <w:r w:rsidRPr="001F1F3F">
        <w:rPr>
          <w:rFonts w:asciiTheme="minorHAnsi" w:hAnsiTheme="minorHAnsi" w:cstheme="minorHAnsi"/>
          <w:color w:val="111111"/>
          <w:szCs w:val="16"/>
          <w:lang w:val="en"/>
        </w:rPr>
        <w:t>.</w:t>
      </w:r>
      <w:r>
        <w:t xml:space="preserve"> </w:t>
      </w:r>
    </w:p>
  </w:footnote>
  <w:footnote w:id="53">
    <w:p w:rsidR="001A3728" w:rsidRDefault="001A3728" w:rsidP="006875EC">
      <w:pPr>
        <w:pStyle w:val="FootnoteText"/>
      </w:pPr>
      <w:r w:rsidRPr="00D83524">
        <w:rPr>
          <w:rStyle w:val="FootnoteReference"/>
          <w:rFonts w:asciiTheme="minorHAnsi" w:hAnsiTheme="minorHAnsi" w:cstheme="minorHAnsi"/>
          <w:szCs w:val="16"/>
        </w:rPr>
        <w:footnoteRef/>
      </w:r>
      <w:r>
        <w:t xml:space="preserve"> </w:t>
      </w:r>
      <w:r w:rsidRPr="00D83524">
        <w:rPr>
          <w:rFonts w:asciiTheme="minorHAnsi" w:hAnsiTheme="minorHAnsi" w:cstheme="minorHAnsi"/>
          <w:szCs w:val="16"/>
        </w:rPr>
        <w:t>Australian Financial Review (2019) Federal government must lead on building insurance crisis, PCA says.</w:t>
      </w:r>
      <w:r>
        <w:t xml:space="preserve"> </w:t>
      </w:r>
      <w:r w:rsidRPr="00D83524">
        <w:rPr>
          <w:rFonts w:asciiTheme="minorHAnsi" w:hAnsiTheme="minorHAnsi" w:cstheme="minorHAnsi"/>
          <w:szCs w:val="16"/>
        </w:rPr>
        <w:t>See:</w:t>
      </w:r>
      <w:r>
        <w:t xml:space="preserve"> </w:t>
      </w:r>
      <w:hyperlink r:id="rId14" w:history="1">
        <w:r w:rsidRPr="005F32D7">
          <w:rPr>
            <w:rStyle w:val="Hyperlink"/>
            <w:rFonts w:asciiTheme="minorHAnsi" w:hAnsiTheme="minorHAnsi" w:cstheme="minorHAnsi"/>
            <w:szCs w:val="16"/>
            <w:lang w:val="en"/>
          </w:rPr>
          <w:t>https://www.afr.com/property/commercial/federal-government-must-lead-on-building-insurance-crisis-pca-says-20190628-p5227l</w:t>
        </w:r>
      </w:hyperlink>
      <w:r>
        <w:rPr>
          <w:rFonts w:asciiTheme="minorHAnsi" w:hAnsiTheme="minorHAnsi" w:cstheme="minorHAnsi"/>
          <w:color w:val="111111"/>
          <w:szCs w:val="16"/>
          <w:lang w:val="en"/>
        </w:rPr>
        <w:t xml:space="preserve"> </w:t>
      </w:r>
    </w:p>
  </w:footnote>
  <w:footnote w:id="54">
    <w:p w:rsidR="001A3728" w:rsidRPr="00910E4B" w:rsidRDefault="001A3728" w:rsidP="006875EC">
      <w:pPr>
        <w:pStyle w:val="FootnoteText"/>
        <w:rPr>
          <w:lang w:val="en-US"/>
        </w:rPr>
      </w:pPr>
      <w:r>
        <w:rPr>
          <w:rStyle w:val="FootnoteReference"/>
        </w:rPr>
        <w:footnoteRef/>
      </w:r>
      <w:r>
        <w:t xml:space="preserve"> </w:t>
      </w:r>
      <w:r>
        <w:rPr>
          <w:lang w:val="en-US"/>
        </w:rPr>
        <w:t xml:space="preserve">These costs were not as a result of an inadequate Performance Solution, but could be considered indicative. </w:t>
      </w:r>
    </w:p>
  </w:footnote>
  <w:footnote w:id="55">
    <w:p w:rsidR="001A3728" w:rsidRPr="00EF022B" w:rsidRDefault="001A3728" w:rsidP="006875EC">
      <w:pPr>
        <w:pStyle w:val="FootnoteText"/>
        <w:rPr>
          <w:lang w:val="en-US"/>
        </w:rPr>
      </w:pPr>
      <w:r>
        <w:rPr>
          <w:rStyle w:val="FootnoteReference"/>
        </w:rPr>
        <w:footnoteRef/>
      </w:r>
      <w:r>
        <w:t xml:space="preserve"> </w:t>
      </w:r>
      <w:r>
        <w:rPr>
          <w:lang w:val="en-US"/>
        </w:rPr>
        <w:t xml:space="preserve">Australian Broadcast Corporation (2020) </w:t>
      </w:r>
      <w:r w:rsidRPr="00EF022B">
        <w:rPr>
          <w:i/>
          <w:iCs/>
          <w:lang w:val="en-US"/>
        </w:rPr>
        <w:t>Mascot Towers repair bill to hit $53 million prompting owners to consider selling</w:t>
      </w:r>
      <w:r>
        <w:rPr>
          <w:i/>
          <w:iCs/>
          <w:lang w:val="en-US"/>
        </w:rPr>
        <w:t xml:space="preserve">. </w:t>
      </w:r>
      <w:hyperlink r:id="rId15" w:history="1">
        <w:r w:rsidRPr="00F63594">
          <w:rPr>
            <w:rStyle w:val="Hyperlink"/>
            <w:lang w:val="en-US"/>
          </w:rPr>
          <w:t>Accessed 24 April 2020</w:t>
        </w:r>
      </w:hyperlink>
      <w:r>
        <w:rPr>
          <w:lang w:val="en-US"/>
        </w:rPr>
        <w:t>. &gt;</w:t>
      </w:r>
      <w:r w:rsidRPr="00EF022B">
        <w:rPr>
          <w:lang w:val="en-US"/>
        </w:rPr>
        <w:t>https://www.abc.net.au/news/2020-04-16/mascot-towers-repair-bill-from-cracks-hits-53-million-dollars/12153368</w:t>
      </w:r>
      <w:r>
        <w:rPr>
          <w:lang w:val="en-US"/>
        </w:rPr>
        <w:t>&lt;</w:t>
      </w:r>
    </w:p>
  </w:footnote>
  <w:footnote w:id="56">
    <w:p w:rsidR="001A3728" w:rsidRPr="00FE37D3" w:rsidRDefault="001A3728" w:rsidP="006875EC">
      <w:pPr>
        <w:pStyle w:val="FootnoteText"/>
        <w:rPr>
          <w:lang w:val="en-US"/>
        </w:rPr>
      </w:pPr>
      <w:r>
        <w:rPr>
          <w:rStyle w:val="FootnoteReference"/>
        </w:rPr>
        <w:footnoteRef/>
      </w:r>
      <w:r>
        <w:t xml:space="preserve"> Johnson N. and S. Reid (2019) </w:t>
      </w:r>
      <w:r w:rsidRPr="00FE37D3">
        <w:rPr>
          <w:iCs/>
        </w:rPr>
        <w:t>An examination of building defects in residential multi-owned properties</w:t>
      </w:r>
      <w:r w:rsidRPr="00FE37D3">
        <w:t>.</w:t>
      </w:r>
    </w:p>
  </w:footnote>
  <w:footnote w:id="57">
    <w:p w:rsidR="001A3728" w:rsidRDefault="001A3728" w:rsidP="006875EC">
      <w:pPr>
        <w:pStyle w:val="FootnoteText"/>
      </w:pPr>
      <w:r>
        <w:rPr>
          <w:rStyle w:val="FootnoteReference"/>
        </w:rPr>
        <w:footnoteRef/>
      </w:r>
      <w:r>
        <w:t xml:space="preserve"> The number of solutions for Option 3 is not further inflated. The model adopts a simplifying assumption that Performance solutions under Option 3 impose </w:t>
      </w:r>
      <w:r w:rsidRPr="0054381F">
        <w:t>6</w:t>
      </w:r>
      <w:r w:rsidRPr="00D83682">
        <w:t>0%</w:t>
      </w:r>
      <w:r>
        <w:t xml:space="preserve"> of the costs of Option 2. However, the predominant scope of Option 3 in commercial buildings is fire safety and is covered by current state regulations, the current assumptions are considered conservative.</w:t>
      </w:r>
    </w:p>
  </w:footnote>
  <w:footnote w:id="58">
    <w:p w:rsidR="001A3728" w:rsidRPr="00D83524" w:rsidRDefault="001A3728" w:rsidP="006875EC">
      <w:pPr>
        <w:pStyle w:val="FootnoteText"/>
        <w:rPr>
          <w:rFonts w:asciiTheme="minorHAnsi" w:hAnsiTheme="minorHAnsi" w:cstheme="minorHAnsi"/>
          <w:color w:val="111111"/>
          <w:szCs w:val="16"/>
          <w:lang w:val="en"/>
        </w:rPr>
      </w:pPr>
      <w:r w:rsidRPr="00D83524">
        <w:rPr>
          <w:rStyle w:val="FootnoteReference"/>
          <w:szCs w:val="16"/>
        </w:rPr>
        <w:footnoteRef/>
      </w:r>
      <w:r w:rsidRPr="00D83524">
        <w:rPr>
          <w:rStyle w:val="FootnoteReference"/>
          <w:szCs w:val="16"/>
        </w:rPr>
        <w:t xml:space="preserve"> </w:t>
      </w:r>
      <w:r w:rsidRPr="00D83524">
        <w:rPr>
          <w:rFonts w:asciiTheme="minorHAnsi" w:hAnsiTheme="minorHAnsi" w:cstheme="minorHAnsi"/>
          <w:color w:val="111111"/>
          <w:szCs w:val="16"/>
          <w:lang w:val="en"/>
        </w:rPr>
        <w:t xml:space="preserve">Enforcement is a function of state and territories and generally delegated to private certifiers. </w:t>
      </w:r>
    </w:p>
  </w:footnote>
  <w:footnote w:id="59">
    <w:p w:rsidR="001A3728" w:rsidRDefault="001A3728" w:rsidP="006875EC">
      <w:pPr>
        <w:pStyle w:val="FootnoteText"/>
      </w:pPr>
      <w:r>
        <w:rPr>
          <w:rStyle w:val="FootnoteReference"/>
        </w:rPr>
        <w:footnoteRef/>
      </w:r>
      <w:r>
        <w:t xml:space="preserve"> This has been calculated by annualising the Present Value of Option 2 in accordance with the RBM framework. </w:t>
      </w:r>
    </w:p>
  </w:footnote>
  <w:footnote w:id="60">
    <w:p w:rsidR="001A3728" w:rsidRDefault="001A3728" w:rsidP="006875EC">
      <w:pPr>
        <w:pStyle w:val="FootnoteText"/>
      </w:pPr>
      <w:r>
        <w:rPr>
          <w:rStyle w:val="FootnoteReference"/>
        </w:rPr>
        <w:footnoteRef/>
      </w:r>
      <w:r>
        <w:t xml:space="preserve"> This has been calculated by dividing the annual burden by the Commonwealth’s contribution to the decision (1/9</w:t>
      </w:r>
      <w:r w:rsidRPr="00283C97">
        <w:rPr>
          <w:vertAlign w:val="superscript"/>
        </w:rPr>
        <w:t>th</w:t>
      </w:r>
      <w:r>
        <w:t xml:space="preserve">). </w:t>
      </w:r>
    </w:p>
  </w:footnote>
  <w:footnote w:id="61">
    <w:p w:rsidR="001A3728" w:rsidRPr="00FB0E0C" w:rsidRDefault="001A3728" w:rsidP="006875EC">
      <w:pPr>
        <w:pStyle w:val="FootnoteText"/>
        <w:rPr>
          <w:rFonts w:asciiTheme="minorHAnsi" w:hAnsiTheme="minorHAnsi" w:cstheme="minorHAnsi"/>
        </w:rPr>
      </w:pPr>
      <w:r w:rsidRPr="00D83524">
        <w:rPr>
          <w:rStyle w:val="FootnoteReference"/>
          <w:szCs w:val="16"/>
        </w:rPr>
        <w:footnoteRef/>
      </w:r>
      <w:r w:rsidRPr="00FB0E0C">
        <w:rPr>
          <w:rFonts w:asciiTheme="minorHAnsi" w:hAnsiTheme="minorHAnsi" w:cstheme="minorHAnsi"/>
        </w:rPr>
        <w:t xml:space="preserve"> </w:t>
      </w:r>
      <w:r w:rsidRPr="00D83524">
        <w:rPr>
          <w:rFonts w:asciiTheme="minorHAnsi" w:hAnsiTheme="minorHAnsi" w:cstheme="minorHAnsi"/>
          <w:color w:val="111111"/>
          <w:szCs w:val="16"/>
          <w:lang w:val="en"/>
        </w:rPr>
        <w:t>The extent Performance Solution process followed is dependent on enforcement.</w:t>
      </w:r>
      <w:r w:rsidRPr="00FB0E0C">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728" w:rsidRPr="002A3465" w:rsidRDefault="001A3728" w:rsidP="00180764">
    <w:pPr>
      <w:pStyle w:val="Header"/>
      <w:ind w:right="-2"/>
      <w:jc w:val="right"/>
      <w:rPr>
        <w:b/>
        <w:sz w:val="20"/>
        <w:szCs w:val="20"/>
      </w:rPr>
    </w:pPr>
    <w:r>
      <w:rPr>
        <w:b/>
        <w:sz w:val="20"/>
        <w:szCs w:val="20"/>
      </w:rPr>
      <w:t>Decision RIS</w:t>
    </w:r>
    <w:r w:rsidRPr="002A3465">
      <w:rPr>
        <w:b/>
        <w:sz w:val="20"/>
        <w:szCs w:val="20"/>
      </w:rPr>
      <w:t>: Process for the Development of Performance Solutions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F2AEE6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14CDD9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5E02C9D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CA0666"/>
    <w:multiLevelType w:val="hybridMultilevel"/>
    <w:tmpl w:val="6FA8005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02634039"/>
    <w:multiLevelType w:val="hybridMultilevel"/>
    <w:tmpl w:val="245661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231EFA"/>
    <w:multiLevelType w:val="hybridMultilevel"/>
    <w:tmpl w:val="36DC11F8"/>
    <w:lvl w:ilvl="0" w:tplc="0C090003">
      <w:start w:val="1"/>
      <w:numFmt w:val="bullet"/>
      <w:lvlText w:val="o"/>
      <w:lvlJc w:val="left"/>
      <w:pPr>
        <w:ind w:left="1647" w:hanging="360"/>
      </w:pPr>
      <w:rPr>
        <w:rFonts w:ascii="Courier New" w:hAnsi="Courier New" w:cs="Courier New"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cs="Wingdings" w:hint="default"/>
      </w:rPr>
    </w:lvl>
    <w:lvl w:ilvl="3" w:tplc="0C090001" w:tentative="1">
      <w:start w:val="1"/>
      <w:numFmt w:val="bullet"/>
      <w:lvlText w:val=""/>
      <w:lvlJc w:val="left"/>
      <w:pPr>
        <w:ind w:left="3807" w:hanging="360"/>
      </w:pPr>
      <w:rPr>
        <w:rFonts w:ascii="Symbol" w:hAnsi="Symbol" w:cs="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cs="Wingdings" w:hint="default"/>
      </w:rPr>
    </w:lvl>
    <w:lvl w:ilvl="6" w:tplc="0C090001" w:tentative="1">
      <w:start w:val="1"/>
      <w:numFmt w:val="bullet"/>
      <w:lvlText w:val=""/>
      <w:lvlJc w:val="left"/>
      <w:pPr>
        <w:ind w:left="5967" w:hanging="360"/>
      </w:pPr>
      <w:rPr>
        <w:rFonts w:ascii="Symbol" w:hAnsi="Symbol" w:cs="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cs="Wingdings" w:hint="default"/>
      </w:rPr>
    </w:lvl>
  </w:abstractNum>
  <w:abstractNum w:abstractNumId="6" w15:restartNumberingAfterBreak="0">
    <w:nsid w:val="0D651535"/>
    <w:multiLevelType w:val="hybridMultilevel"/>
    <w:tmpl w:val="3DE28752"/>
    <w:lvl w:ilvl="0" w:tplc="01345E76">
      <w:start w:val="1"/>
      <w:numFmt w:val="decimal"/>
      <w:lvlText w:val="(%1)"/>
      <w:lvlJc w:val="left"/>
      <w:pPr>
        <w:ind w:left="1080" w:hanging="490"/>
      </w:pPr>
      <w:rPr>
        <w:rFonts w:ascii="Arial" w:eastAsia="Arial" w:hAnsi="Arial" w:cs="Arial" w:hint="default"/>
        <w:color w:val="262526"/>
        <w:spacing w:val="-12"/>
        <w:w w:val="100"/>
        <w:sz w:val="20"/>
        <w:szCs w:val="20"/>
        <w:lang w:val="en-US" w:eastAsia="en-US" w:bidi="en-US"/>
      </w:rPr>
    </w:lvl>
    <w:lvl w:ilvl="1" w:tplc="EAC65BF6">
      <w:start w:val="1"/>
      <w:numFmt w:val="lowerLetter"/>
      <w:lvlText w:val="(%2)"/>
      <w:lvlJc w:val="left"/>
      <w:pPr>
        <w:ind w:left="1512" w:hanging="490"/>
      </w:pPr>
      <w:rPr>
        <w:rFonts w:ascii="Arial" w:eastAsia="Arial" w:hAnsi="Arial" w:cs="Arial" w:hint="default"/>
        <w:i w:val="0"/>
        <w:color w:val="006600"/>
        <w:spacing w:val="-1"/>
        <w:w w:val="100"/>
        <w:sz w:val="20"/>
        <w:szCs w:val="20"/>
        <w:lang w:val="en-US" w:eastAsia="en-US" w:bidi="en-US"/>
      </w:rPr>
    </w:lvl>
    <w:lvl w:ilvl="2" w:tplc="CB68FFD6">
      <w:start w:val="1"/>
      <w:numFmt w:val="lowerRoman"/>
      <w:lvlText w:val="(%3)"/>
      <w:lvlJc w:val="left"/>
      <w:pPr>
        <w:ind w:left="1944" w:hanging="490"/>
      </w:pPr>
      <w:rPr>
        <w:rFonts w:ascii="Arial" w:eastAsia="Arial" w:hAnsi="Arial" w:cs="Arial" w:hint="default"/>
        <w:color w:val="006600"/>
        <w:spacing w:val="-8"/>
        <w:w w:val="100"/>
        <w:sz w:val="20"/>
        <w:szCs w:val="20"/>
        <w:lang w:val="en-US" w:eastAsia="en-US" w:bidi="en-US"/>
      </w:rPr>
    </w:lvl>
    <w:lvl w:ilvl="3" w:tplc="29F05922">
      <w:numFmt w:val="bullet"/>
      <w:lvlText w:val="•"/>
      <w:lvlJc w:val="left"/>
      <w:pPr>
        <w:ind w:left="3185" w:hanging="490"/>
      </w:pPr>
      <w:rPr>
        <w:rFonts w:hint="default"/>
        <w:lang w:val="en-US" w:eastAsia="en-US" w:bidi="en-US"/>
      </w:rPr>
    </w:lvl>
    <w:lvl w:ilvl="4" w:tplc="E53019B2">
      <w:numFmt w:val="bullet"/>
      <w:lvlText w:val="•"/>
      <w:lvlJc w:val="left"/>
      <w:pPr>
        <w:ind w:left="4431" w:hanging="490"/>
      </w:pPr>
      <w:rPr>
        <w:rFonts w:hint="default"/>
        <w:lang w:val="en-US" w:eastAsia="en-US" w:bidi="en-US"/>
      </w:rPr>
    </w:lvl>
    <w:lvl w:ilvl="5" w:tplc="05CA876E">
      <w:numFmt w:val="bullet"/>
      <w:lvlText w:val="•"/>
      <w:lvlJc w:val="left"/>
      <w:pPr>
        <w:ind w:left="5677" w:hanging="490"/>
      </w:pPr>
      <w:rPr>
        <w:rFonts w:hint="default"/>
        <w:lang w:val="en-US" w:eastAsia="en-US" w:bidi="en-US"/>
      </w:rPr>
    </w:lvl>
    <w:lvl w:ilvl="6" w:tplc="ED0683DA">
      <w:numFmt w:val="bullet"/>
      <w:lvlText w:val="•"/>
      <w:lvlJc w:val="left"/>
      <w:pPr>
        <w:ind w:left="6922" w:hanging="490"/>
      </w:pPr>
      <w:rPr>
        <w:rFonts w:hint="default"/>
        <w:lang w:val="en-US" w:eastAsia="en-US" w:bidi="en-US"/>
      </w:rPr>
    </w:lvl>
    <w:lvl w:ilvl="7" w:tplc="DC043150">
      <w:numFmt w:val="bullet"/>
      <w:lvlText w:val="•"/>
      <w:lvlJc w:val="left"/>
      <w:pPr>
        <w:ind w:left="8168" w:hanging="490"/>
      </w:pPr>
      <w:rPr>
        <w:rFonts w:hint="default"/>
        <w:lang w:val="en-US" w:eastAsia="en-US" w:bidi="en-US"/>
      </w:rPr>
    </w:lvl>
    <w:lvl w:ilvl="8" w:tplc="1BC0FFD0">
      <w:numFmt w:val="bullet"/>
      <w:lvlText w:val="•"/>
      <w:lvlJc w:val="left"/>
      <w:pPr>
        <w:ind w:left="9414" w:hanging="490"/>
      </w:pPr>
      <w:rPr>
        <w:rFonts w:hint="default"/>
        <w:lang w:val="en-US" w:eastAsia="en-US" w:bidi="en-US"/>
      </w:rPr>
    </w:lvl>
  </w:abstractNum>
  <w:abstractNum w:abstractNumId="7" w15:restartNumberingAfterBreak="0">
    <w:nsid w:val="129A56C0"/>
    <w:multiLevelType w:val="hybridMultilevel"/>
    <w:tmpl w:val="A0323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3353BA"/>
    <w:multiLevelType w:val="hybridMultilevel"/>
    <w:tmpl w:val="B8A41CE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1DC3068E"/>
    <w:multiLevelType w:val="hybridMultilevel"/>
    <w:tmpl w:val="2FD44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1D5DFB"/>
    <w:multiLevelType w:val="hybridMultilevel"/>
    <w:tmpl w:val="4A787414"/>
    <w:lvl w:ilvl="0" w:tplc="7E90F1CE">
      <w:start w:val="1"/>
      <w:numFmt w:val="decimal"/>
      <w:lvlText w:val="(%1)"/>
      <w:lvlJc w:val="left"/>
      <w:pPr>
        <w:ind w:left="1080" w:hanging="490"/>
      </w:pPr>
      <w:rPr>
        <w:rFonts w:ascii="Arial" w:eastAsia="Arial" w:hAnsi="Arial" w:cs="Arial" w:hint="default"/>
        <w:color w:val="262526"/>
        <w:spacing w:val="-12"/>
        <w:w w:val="100"/>
        <w:sz w:val="20"/>
        <w:szCs w:val="20"/>
        <w:lang w:val="en-US" w:eastAsia="en-US" w:bidi="en-US"/>
      </w:rPr>
    </w:lvl>
    <w:lvl w:ilvl="1" w:tplc="76AC36F4">
      <w:start w:val="1"/>
      <w:numFmt w:val="lowerLetter"/>
      <w:lvlText w:val="(%2)"/>
      <w:lvlJc w:val="left"/>
      <w:pPr>
        <w:ind w:left="1512" w:hanging="490"/>
      </w:pPr>
      <w:rPr>
        <w:rFonts w:ascii="Arial" w:eastAsia="Arial" w:hAnsi="Arial" w:cs="Arial" w:hint="default"/>
        <w:i w:val="0"/>
        <w:color w:val="262526"/>
        <w:spacing w:val="-1"/>
        <w:w w:val="100"/>
        <w:sz w:val="20"/>
        <w:szCs w:val="20"/>
        <w:lang w:val="en-US" w:eastAsia="en-US" w:bidi="en-US"/>
      </w:rPr>
    </w:lvl>
    <w:lvl w:ilvl="2" w:tplc="916448C8">
      <w:start w:val="1"/>
      <w:numFmt w:val="lowerRoman"/>
      <w:lvlText w:val="(%3)"/>
      <w:lvlJc w:val="left"/>
      <w:pPr>
        <w:ind w:left="1944" w:hanging="490"/>
      </w:pPr>
      <w:rPr>
        <w:rFonts w:ascii="Arial" w:eastAsia="Arial" w:hAnsi="Arial" w:cs="Arial" w:hint="default"/>
        <w:color w:val="auto"/>
        <w:spacing w:val="-8"/>
        <w:w w:val="100"/>
        <w:sz w:val="20"/>
        <w:szCs w:val="20"/>
        <w:lang w:val="en-US" w:eastAsia="en-US" w:bidi="en-US"/>
      </w:rPr>
    </w:lvl>
    <w:lvl w:ilvl="3" w:tplc="29F05922">
      <w:numFmt w:val="bullet"/>
      <w:lvlText w:val="•"/>
      <w:lvlJc w:val="left"/>
      <w:pPr>
        <w:ind w:left="3185" w:hanging="490"/>
      </w:pPr>
      <w:rPr>
        <w:rFonts w:hint="default"/>
        <w:lang w:val="en-US" w:eastAsia="en-US" w:bidi="en-US"/>
      </w:rPr>
    </w:lvl>
    <w:lvl w:ilvl="4" w:tplc="E53019B2">
      <w:numFmt w:val="bullet"/>
      <w:lvlText w:val="•"/>
      <w:lvlJc w:val="left"/>
      <w:pPr>
        <w:ind w:left="4431" w:hanging="490"/>
      </w:pPr>
      <w:rPr>
        <w:rFonts w:hint="default"/>
        <w:lang w:val="en-US" w:eastAsia="en-US" w:bidi="en-US"/>
      </w:rPr>
    </w:lvl>
    <w:lvl w:ilvl="5" w:tplc="05CA876E">
      <w:numFmt w:val="bullet"/>
      <w:lvlText w:val="•"/>
      <w:lvlJc w:val="left"/>
      <w:pPr>
        <w:ind w:left="5677" w:hanging="490"/>
      </w:pPr>
      <w:rPr>
        <w:rFonts w:hint="default"/>
        <w:lang w:val="en-US" w:eastAsia="en-US" w:bidi="en-US"/>
      </w:rPr>
    </w:lvl>
    <w:lvl w:ilvl="6" w:tplc="ED0683DA">
      <w:numFmt w:val="bullet"/>
      <w:lvlText w:val="•"/>
      <w:lvlJc w:val="left"/>
      <w:pPr>
        <w:ind w:left="6922" w:hanging="490"/>
      </w:pPr>
      <w:rPr>
        <w:rFonts w:hint="default"/>
        <w:lang w:val="en-US" w:eastAsia="en-US" w:bidi="en-US"/>
      </w:rPr>
    </w:lvl>
    <w:lvl w:ilvl="7" w:tplc="DC043150">
      <w:numFmt w:val="bullet"/>
      <w:lvlText w:val="•"/>
      <w:lvlJc w:val="left"/>
      <w:pPr>
        <w:ind w:left="8168" w:hanging="490"/>
      </w:pPr>
      <w:rPr>
        <w:rFonts w:hint="default"/>
        <w:lang w:val="en-US" w:eastAsia="en-US" w:bidi="en-US"/>
      </w:rPr>
    </w:lvl>
    <w:lvl w:ilvl="8" w:tplc="1BC0FFD0">
      <w:numFmt w:val="bullet"/>
      <w:lvlText w:val="•"/>
      <w:lvlJc w:val="left"/>
      <w:pPr>
        <w:ind w:left="9414" w:hanging="490"/>
      </w:pPr>
      <w:rPr>
        <w:rFonts w:hint="default"/>
        <w:lang w:val="en-US" w:eastAsia="en-US" w:bidi="en-US"/>
      </w:rPr>
    </w:lvl>
  </w:abstractNum>
  <w:abstractNum w:abstractNumId="11" w15:restartNumberingAfterBreak="0">
    <w:nsid w:val="21B966FD"/>
    <w:multiLevelType w:val="hybridMultilevel"/>
    <w:tmpl w:val="2E421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5263D9"/>
    <w:multiLevelType w:val="hybridMultilevel"/>
    <w:tmpl w:val="7D5E226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3" w15:restartNumberingAfterBreak="0">
    <w:nsid w:val="31776B19"/>
    <w:multiLevelType w:val="hybridMultilevel"/>
    <w:tmpl w:val="AEA8F7E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59F499D"/>
    <w:multiLevelType w:val="multilevel"/>
    <w:tmpl w:val="7256DDAE"/>
    <w:lvl w:ilvl="0">
      <w:start w:val="1"/>
      <w:numFmt w:val="bullet"/>
      <w:pStyle w:val="Multileve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79B684C"/>
    <w:multiLevelType w:val="hybridMultilevel"/>
    <w:tmpl w:val="FFAE3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FB3C5B"/>
    <w:multiLevelType w:val="hybridMultilevel"/>
    <w:tmpl w:val="AD841DF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9FD6050"/>
    <w:multiLevelType w:val="hybridMultilevel"/>
    <w:tmpl w:val="5E568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A65AAB"/>
    <w:multiLevelType w:val="hybridMultilevel"/>
    <w:tmpl w:val="1C9A8D2C"/>
    <w:lvl w:ilvl="0" w:tplc="0C090003">
      <w:start w:val="1"/>
      <w:numFmt w:val="bullet"/>
      <w:lvlText w:val="o"/>
      <w:lvlJc w:val="left"/>
      <w:pPr>
        <w:ind w:left="1647" w:hanging="360"/>
      </w:pPr>
      <w:rPr>
        <w:rFonts w:ascii="Courier New" w:hAnsi="Courier New" w:cs="Courier New"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cs="Wingdings" w:hint="default"/>
      </w:rPr>
    </w:lvl>
    <w:lvl w:ilvl="3" w:tplc="0C090001" w:tentative="1">
      <w:start w:val="1"/>
      <w:numFmt w:val="bullet"/>
      <w:lvlText w:val=""/>
      <w:lvlJc w:val="left"/>
      <w:pPr>
        <w:ind w:left="3807" w:hanging="360"/>
      </w:pPr>
      <w:rPr>
        <w:rFonts w:ascii="Symbol" w:hAnsi="Symbol" w:cs="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cs="Wingdings" w:hint="default"/>
      </w:rPr>
    </w:lvl>
    <w:lvl w:ilvl="6" w:tplc="0C090001" w:tentative="1">
      <w:start w:val="1"/>
      <w:numFmt w:val="bullet"/>
      <w:lvlText w:val=""/>
      <w:lvlJc w:val="left"/>
      <w:pPr>
        <w:ind w:left="5967" w:hanging="360"/>
      </w:pPr>
      <w:rPr>
        <w:rFonts w:ascii="Symbol" w:hAnsi="Symbol" w:cs="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cs="Wingdings" w:hint="default"/>
      </w:rPr>
    </w:lvl>
  </w:abstractNum>
  <w:abstractNum w:abstractNumId="19" w15:restartNumberingAfterBreak="0">
    <w:nsid w:val="3D854644"/>
    <w:multiLevelType w:val="hybridMultilevel"/>
    <w:tmpl w:val="AE207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6E5989"/>
    <w:multiLevelType w:val="hybridMultilevel"/>
    <w:tmpl w:val="4068462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440C4276"/>
    <w:multiLevelType w:val="hybridMultilevel"/>
    <w:tmpl w:val="D84A2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2203EB"/>
    <w:multiLevelType w:val="hybridMultilevel"/>
    <w:tmpl w:val="127C8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F97034"/>
    <w:multiLevelType w:val="hybridMultilevel"/>
    <w:tmpl w:val="10E0D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11642E"/>
    <w:multiLevelType w:val="hybridMultilevel"/>
    <w:tmpl w:val="25688BA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62F08A9"/>
    <w:multiLevelType w:val="hybridMultilevel"/>
    <w:tmpl w:val="D9CE6FAA"/>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D0A0429"/>
    <w:multiLevelType w:val="hybridMultilevel"/>
    <w:tmpl w:val="ACC0F5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A86695C"/>
    <w:multiLevelType w:val="hybridMultilevel"/>
    <w:tmpl w:val="ACC0F5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B64798"/>
    <w:multiLevelType w:val="hybridMultilevel"/>
    <w:tmpl w:val="B560B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C5423D"/>
    <w:multiLevelType w:val="multilevel"/>
    <w:tmpl w:val="B31A591C"/>
    <w:lvl w:ilvl="0">
      <w:start w:val="1"/>
      <w:numFmt w:val="decimal"/>
      <w:pStyle w:val="Multi-levelNumbered"/>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31E1605"/>
    <w:multiLevelType w:val="hybridMultilevel"/>
    <w:tmpl w:val="0C0EB51E"/>
    <w:styleLink w:val="Multi-levelnumbere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7049F0"/>
    <w:multiLevelType w:val="hybridMultilevel"/>
    <w:tmpl w:val="6F8A8A34"/>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2" w15:restartNumberingAfterBreak="0">
    <w:nsid w:val="793654BF"/>
    <w:multiLevelType w:val="hybridMultilevel"/>
    <w:tmpl w:val="CF687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4"/>
  </w:num>
  <w:num w:numId="4">
    <w:abstractNumId w:val="30"/>
  </w:num>
  <w:num w:numId="5">
    <w:abstractNumId w:val="29"/>
  </w:num>
  <w:num w:numId="6">
    <w:abstractNumId w:val="4"/>
  </w:num>
  <w:num w:numId="7">
    <w:abstractNumId w:val="21"/>
  </w:num>
  <w:num w:numId="8">
    <w:abstractNumId w:val="26"/>
  </w:num>
  <w:num w:numId="9">
    <w:abstractNumId w:val="27"/>
  </w:num>
  <w:num w:numId="10">
    <w:abstractNumId w:val="10"/>
  </w:num>
  <w:num w:numId="11">
    <w:abstractNumId w:val="6"/>
  </w:num>
  <w:num w:numId="12">
    <w:abstractNumId w:val="10"/>
    <w:lvlOverride w:ilvl="0">
      <w:lvl w:ilvl="0" w:tplc="7E90F1CE">
        <w:start w:val="1"/>
        <w:numFmt w:val="decimal"/>
        <w:lvlText w:val="(%1)"/>
        <w:lvlJc w:val="left"/>
        <w:pPr>
          <w:ind w:left="1080" w:hanging="490"/>
        </w:pPr>
        <w:rPr>
          <w:rFonts w:ascii="Arial" w:hAnsi="Arial" w:cs="Arial" w:hint="default"/>
          <w:color w:val="006600"/>
          <w:spacing w:val="-12"/>
          <w:w w:val="100"/>
          <w:sz w:val="20"/>
          <w:szCs w:val="20"/>
        </w:rPr>
      </w:lvl>
    </w:lvlOverride>
    <w:lvlOverride w:ilvl="1">
      <w:lvl w:ilvl="1" w:tplc="76AC36F4">
        <w:start w:val="1"/>
        <w:numFmt w:val="lowerLetter"/>
        <w:lvlText w:val="(%2)"/>
        <w:lvlJc w:val="left"/>
        <w:pPr>
          <w:ind w:left="1512" w:hanging="490"/>
        </w:pPr>
        <w:rPr>
          <w:rFonts w:ascii="Arial" w:eastAsia="Arial" w:hAnsi="Arial" w:cs="Arial" w:hint="default"/>
          <w:i w:val="0"/>
          <w:color w:val="262526"/>
          <w:spacing w:val="-1"/>
          <w:w w:val="100"/>
          <w:sz w:val="20"/>
          <w:szCs w:val="20"/>
        </w:rPr>
      </w:lvl>
    </w:lvlOverride>
    <w:lvlOverride w:ilvl="2">
      <w:lvl w:ilvl="2" w:tplc="916448C8">
        <w:start w:val="1"/>
        <w:numFmt w:val="lowerRoman"/>
        <w:lvlText w:val="(%3)"/>
        <w:lvlJc w:val="left"/>
        <w:pPr>
          <w:ind w:left="1944" w:hanging="490"/>
        </w:pPr>
        <w:rPr>
          <w:rFonts w:ascii="Arial" w:eastAsia="Arial" w:hAnsi="Arial" w:cs="Arial" w:hint="default"/>
          <w:color w:val="006600"/>
          <w:spacing w:val="-8"/>
          <w:w w:val="100"/>
          <w:sz w:val="20"/>
          <w:szCs w:val="20"/>
        </w:rPr>
      </w:lvl>
    </w:lvlOverride>
    <w:lvlOverride w:ilvl="3">
      <w:lvl w:ilvl="3" w:tplc="29F05922">
        <w:numFmt w:val="bullet"/>
        <w:lvlText w:val="•"/>
        <w:lvlJc w:val="left"/>
        <w:pPr>
          <w:ind w:left="3185" w:hanging="490"/>
        </w:pPr>
        <w:rPr>
          <w:rFonts w:hint="default"/>
        </w:rPr>
      </w:lvl>
    </w:lvlOverride>
    <w:lvlOverride w:ilvl="4">
      <w:lvl w:ilvl="4" w:tplc="E53019B2">
        <w:numFmt w:val="bullet"/>
        <w:lvlText w:val="•"/>
        <w:lvlJc w:val="left"/>
        <w:pPr>
          <w:ind w:left="4431" w:hanging="490"/>
        </w:pPr>
        <w:rPr>
          <w:rFonts w:hint="default"/>
        </w:rPr>
      </w:lvl>
    </w:lvlOverride>
    <w:lvlOverride w:ilvl="5">
      <w:lvl w:ilvl="5" w:tplc="05CA876E">
        <w:numFmt w:val="bullet"/>
        <w:lvlText w:val="•"/>
        <w:lvlJc w:val="left"/>
        <w:pPr>
          <w:ind w:left="5677" w:hanging="490"/>
        </w:pPr>
        <w:rPr>
          <w:rFonts w:hint="default"/>
        </w:rPr>
      </w:lvl>
    </w:lvlOverride>
    <w:lvlOverride w:ilvl="6">
      <w:lvl w:ilvl="6" w:tplc="ED0683DA">
        <w:numFmt w:val="bullet"/>
        <w:lvlText w:val="•"/>
        <w:lvlJc w:val="left"/>
        <w:pPr>
          <w:ind w:left="6922" w:hanging="490"/>
        </w:pPr>
        <w:rPr>
          <w:rFonts w:hint="default"/>
        </w:rPr>
      </w:lvl>
    </w:lvlOverride>
    <w:lvlOverride w:ilvl="7">
      <w:lvl w:ilvl="7" w:tplc="DC043150">
        <w:numFmt w:val="bullet"/>
        <w:lvlText w:val="•"/>
        <w:lvlJc w:val="left"/>
        <w:pPr>
          <w:ind w:left="8168" w:hanging="490"/>
        </w:pPr>
        <w:rPr>
          <w:rFonts w:hint="default"/>
        </w:rPr>
      </w:lvl>
    </w:lvlOverride>
    <w:lvlOverride w:ilvl="8">
      <w:lvl w:ilvl="8" w:tplc="1BC0FFD0">
        <w:numFmt w:val="bullet"/>
        <w:lvlText w:val="•"/>
        <w:lvlJc w:val="left"/>
        <w:pPr>
          <w:ind w:left="9414" w:hanging="490"/>
        </w:pPr>
        <w:rPr>
          <w:rFonts w:hint="default"/>
        </w:rPr>
      </w:lvl>
    </w:lvlOverride>
  </w:num>
  <w:num w:numId="13">
    <w:abstractNumId w:val="9"/>
  </w:num>
  <w:num w:numId="14">
    <w:abstractNumId w:val="0"/>
  </w:num>
  <w:num w:numId="15">
    <w:abstractNumId w:val="23"/>
  </w:num>
  <w:num w:numId="16">
    <w:abstractNumId w:val="25"/>
  </w:num>
  <w:num w:numId="17">
    <w:abstractNumId w:val="17"/>
  </w:num>
  <w:num w:numId="18">
    <w:abstractNumId w:val="11"/>
  </w:num>
  <w:num w:numId="19">
    <w:abstractNumId w:val="13"/>
  </w:num>
  <w:num w:numId="20">
    <w:abstractNumId w:val="16"/>
  </w:num>
  <w:num w:numId="21">
    <w:abstractNumId w:val="22"/>
  </w:num>
  <w:num w:numId="22">
    <w:abstractNumId w:val="20"/>
  </w:num>
  <w:num w:numId="23">
    <w:abstractNumId w:val="24"/>
  </w:num>
  <w:num w:numId="24">
    <w:abstractNumId w:val="8"/>
  </w:num>
  <w:num w:numId="25">
    <w:abstractNumId w:val="3"/>
  </w:num>
  <w:num w:numId="26">
    <w:abstractNumId w:val="31"/>
  </w:num>
  <w:num w:numId="27">
    <w:abstractNumId w:val="28"/>
  </w:num>
  <w:num w:numId="28">
    <w:abstractNumId w:val="32"/>
  </w:num>
  <w:num w:numId="29">
    <w:abstractNumId w:val="15"/>
  </w:num>
  <w:num w:numId="30">
    <w:abstractNumId w:val="12"/>
  </w:num>
  <w:num w:numId="31">
    <w:abstractNumId w:val="7"/>
  </w:num>
  <w:num w:numId="32">
    <w:abstractNumId w:val="5"/>
  </w:num>
  <w:num w:numId="33">
    <w:abstractNumId w:val="18"/>
  </w:num>
  <w:num w:numId="34">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92"/>
    <w:rsid w:val="00000DF7"/>
    <w:rsid w:val="00001C62"/>
    <w:rsid w:val="000024AE"/>
    <w:rsid w:val="00002778"/>
    <w:rsid w:val="00002E96"/>
    <w:rsid w:val="00005631"/>
    <w:rsid w:val="000079FC"/>
    <w:rsid w:val="00012753"/>
    <w:rsid w:val="00014105"/>
    <w:rsid w:val="00014DD8"/>
    <w:rsid w:val="0001635C"/>
    <w:rsid w:val="000166C1"/>
    <w:rsid w:val="000173D3"/>
    <w:rsid w:val="000174C7"/>
    <w:rsid w:val="00021BF6"/>
    <w:rsid w:val="000249F9"/>
    <w:rsid w:val="00025F2D"/>
    <w:rsid w:val="000303C1"/>
    <w:rsid w:val="000312F4"/>
    <w:rsid w:val="00036B48"/>
    <w:rsid w:val="0004073C"/>
    <w:rsid w:val="0004186D"/>
    <w:rsid w:val="00046B84"/>
    <w:rsid w:val="00046F9E"/>
    <w:rsid w:val="00054A01"/>
    <w:rsid w:val="00056590"/>
    <w:rsid w:val="00057397"/>
    <w:rsid w:val="000652F6"/>
    <w:rsid w:val="00066178"/>
    <w:rsid w:val="00071BE1"/>
    <w:rsid w:val="0007214C"/>
    <w:rsid w:val="0007311D"/>
    <w:rsid w:val="00073D16"/>
    <w:rsid w:val="00073FAC"/>
    <w:rsid w:val="00074E89"/>
    <w:rsid w:val="00077487"/>
    <w:rsid w:val="00081099"/>
    <w:rsid w:val="0008275B"/>
    <w:rsid w:val="00082BD5"/>
    <w:rsid w:val="00083572"/>
    <w:rsid w:val="000839D9"/>
    <w:rsid w:val="00083D8F"/>
    <w:rsid w:val="00084691"/>
    <w:rsid w:val="00085A32"/>
    <w:rsid w:val="000860BE"/>
    <w:rsid w:val="00087D8C"/>
    <w:rsid w:val="00090A5C"/>
    <w:rsid w:val="0009181A"/>
    <w:rsid w:val="0009270B"/>
    <w:rsid w:val="000962EF"/>
    <w:rsid w:val="0009690A"/>
    <w:rsid w:val="0009712C"/>
    <w:rsid w:val="000A0ED1"/>
    <w:rsid w:val="000A19E4"/>
    <w:rsid w:val="000A3ABA"/>
    <w:rsid w:val="000A64C5"/>
    <w:rsid w:val="000B08BC"/>
    <w:rsid w:val="000B1EAC"/>
    <w:rsid w:val="000B6CBB"/>
    <w:rsid w:val="000B7B82"/>
    <w:rsid w:val="000C182C"/>
    <w:rsid w:val="000C1D3A"/>
    <w:rsid w:val="000C1FC1"/>
    <w:rsid w:val="000C22E3"/>
    <w:rsid w:val="000C2854"/>
    <w:rsid w:val="000C49AB"/>
    <w:rsid w:val="000D0AEE"/>
    <w:rsid w:val="000D0FFC"/>
    <w:rsid w:val="000D5397"/>
    <w:rsid w:val="000E18C5"/>
    <w:rsid w:val="000E22EB"/>
    <w:rsid w:val="000E6B99"/>
    <w:rsid w:val="000F174A"/>
    <w:rsid w:val="000F59A7"/>
    <w:rsid w:val="000F6BFE"/>
    <w:rsid w:val="000F7ECC"/>
    <w:rsid w:val="001025CA"/>
    <w:rsid w:val="001039F0"/>
    <w:rsid w:val="001041AA"/>
    <w:rsid w:val="00105232"/>
    <w:rsid w:val="00105A55"/>
    <w:rsid w:val="00105D6F"/>
    <w:rsid w:val="00107E26"/>
    <w:rsid w:val="00113841"/>
    <w:rsid w:val="00115127"/>
    <w:rsid w:val="00117F7D"/>
    <w:rsid w:val="0012012E"/>
    <w:rsid w:val="0012141A"/>
    <w:rsid w:val="001226A8"/>
    <w:rsid w:val="00123EEF"/>
    <w:rsid w:val="00125139"/>
    <w:rsid w:val="0013058E"/>
    <w:rsid w:val="0013130A"/>
    <w:rsid w:val="00135735"/>
    <w:rsid w:val="00135DBB"/>
    <w:rsid w:val="001367B7"/>
    <w:rsid w:val="00140F05"/>
    <w:rsid w:val="00142535"/>
    <w:rsid w:val="001465E6"/>
    <w:rsid w:val="00146E18"/>
    <w:rsid w:val="001506C5"/>
    <w:rsid w:val="00153E23"/>
    <w:rsid w:val="001608FB"/>
    <w:rsid w:val="001609C8"/>
    <w:rsid w:val="00160D90"/>
    <w:rsid w:val="0016143F"/>
    <w:rsid w:val="00161AB2"/>
    <w:rsid w:val="00163110"/>
    <w:rsid w:val="0016341F"/>
    <w:rsid w:val="00164CBF"/>
    <w:rsid w:val="00165A27"/>
    <w:rsid w:val="001706AE"/>
    <w:rsid w:val="001731F0"/>
    <w:rsid w:val="00174FD9"/>
    <w:rsid w:val="00176ACE"/>
    <w:rsid w:val="00176EFB"/>
    <w:rsid w:val="00177020"/>
    <w:rsid w:val="00177662"/>
    <w:rsid w:val="00177DF4"/>
    <w:rsid w:val="001805AA"/>
    <w:rsid w:val="00180764"/>
    <w:rsid w:val="001813AC"/>
    <w:rsid w:val="0018310E"/>
    <w:rsid w:val="00183DA2"/>
    <w:rsid w:val="00190166"/>
    <w:rsid w:val="00190190"/>
    <w:rsid w:val="00191254"/>
    <w:rsid w:val="001913EE"/>
    <w:rsid w:val="00192D84"/>
    <w:rsid w:val="00194470"/>
    <w:rsid w:val="00195067"/>
    <w:rsid w:val="001A0E98"/>
    <w:rsid w:val="001A17E7"/>
    <w:rsid w:val="001A1AEF"/>
    <w:rsid w:val="001A1B10"/>
    <w:rsid w:val="001A3728"/>
    <w:rsid w:val="001A398B"/>
    <w:rsid w:val="001A3B86"/>
    <w:rsid w:val="001A43B1"/>
    <w:rsid w:val="001A4FF8"/>
    <w:rsid w:val="001A5EB9"/>
    <w:rsid w:val="001A6C48"/>
    <w:rsid w:val="001B048F"/>
    <w:rsid w:val="001B27F5"/>
    <w:rsid w:val="001B2AC7"/>
    <w:rsid w:val="001B2E88"/>
    <w:rsid w:val="001B3A9D"/>
    <w:rsid w:val="001B47E6"/>
    <w:rsid w:val="001B73C6"/>
    <w:rsid w:val="001B7A84"/>
    <w:rsid w:val="001C06C4"/>
    <w:rsid w:val="001C2A1E"/>
    <w:rsid w:val="001C377A"/>
    <w:rsid w:val="001C42FA"/>
    <w:rsid w:val="001C4FF0"/>
    <w:rsid w:val="001C5F16"/>
    <w:rsid w:val="001C6A93"/>
    <w:rsid w:val="001C6C73"/>
    <w:rsid w:val="001D0636"/>
    <w:rsid w:val="001D28CA"/>
    <w:rsid w:val="001D3E0C"/>
    <w:rsid w:val="001D5B52"/>
    <w:rsid w:val="001D6908"/>
    <w:rsid w:val="001D7F8C"/>
    <w:rsid w:val="001E2107"/>
    <w:rsid w:val="001E3443"/>
    <w:rsid w:val="001E6069"/>
    <w:rsid w:val="001E6300"/>
    <w:rsid w:val="001F0E1D"/>
    <w:rsid w:val="001F1F3F"/>
    <w:rsid w:val="001F261A"/>
    <w:rsid w:val="001F30AE"/>
    <w:rsid w:val="001F3C3C"/>
    <w:rsid w:val="001F70FB"/>
    <w:rsid w:val="0020060B"/>
    <w:rsid w:val="00201F9B"/>
    <w:rsid w:val="00202FEB"/>
    <w:rsid w:val="002047A3"/>
    <w:rsid w:val="00204E1B"/>
    <w:rsid w:val="002061DB"/>
    <w:rsid w:val="002066BB"/>
    <w:rsid w:val="00206F3A"/>
    <w:rsid w:val="00210D97"/>
    <w:rsid w:val="00210F56"/>
    <w:rsid w:val="00211E2A"/>
    <w:rsid w:val="002122BB"/>
    <w:rsid w:val="0021612F"/>
    <w:rsid w:val="00217A09"/>
    <w:rsid w:val="00217FFB"/>
    <w:rsid w:val="00220C2F"/>
    <w:rsid w:val="00221C57"/>
    <w:rsid w:val="00221FE9"/>
    <w:rsid w:val="002224ED"/>
    <w:rsid w:val="00222848"/>
    <w:rsid w:val="00222B27"/>
    <w:rsid w:val="00223544"/>
    <w:rsid w:val="00224C09"/>
    <w:rsid w:val="00225867"/>
    <w:rsid w:val="0023273E"/>
    <w:rsid w:val="0023292C"/>
    <w:rsid w:val="00234A22"/>
    <w:rsid w:val="00237B1F"/>
    <w:rsid w:val="00237EAA"/>
    <w:rsid w:val="00240CA1"/>
    <w:rsid w:val="00243B58"/>
    <w:rsid w:val="00243D5A"/>
    <w:rsid w:val="00244232"/>
    <w:rsid w:val="002544B8"/>
    <w:rsid w:val="00255550"/>
    <w:rsid w:val="00255A85"/>
    <w:rsid w:val="00256078"/>
    <w:rsid w:val="002565F3"/>
    <w:rsid w:val="002568CD"/>
    <w:rsid w:val="0025767B"/>
    <w:rsid w:val="0026072C"/>
    <w:rsid w:val="002630EB"/>
    <w:rsid w:val="0026534C"/>
    <w:rsid w:val="002669FA"/>
    <w:rsid w:val="00267460"/>
    <w:rsid w:val="0027249A"/>
    <w:rsid w:val="00275723"/>
    <w:rsid w:val="002765B2"/>
    <w:rsid w:val="00276912"/>
    <w:rsid w:val="002811E4"/>
    <w:rsid w:val="00282E4E"/>
    <w:rsid w:val="00283C97"/>
    <w:rsid w:val="0028526D"/>
    <w:rsid w:val="002876AA"/>
    <w:rsid w:val="002876EF"/>
    <w:rsid w:val="00287E0F"/>
    <w:rsid w:val="00290D94"/>
    <w:rsid w:val="002979F9"/>
    <w:rsid w:val="00297E49"/>
    <w:rsid w:val="002A003D"/>
    <w:rsid w:val="002A3465"/>
    <w:rsid w:val="002B29F1"/>
    <w:rsid w:val="002B3975"/>
    <w:rsid w:val="002B4B57"/>
    <w:rsid w:val="002B5F8A"/>
    <w:rsid w:val="002C0288"/>
    <w:rsid w:val="002C0AE8"/>
    <w:rsid w:val="002C0E0B"/>
    <w:rsid w:val="002C154B"/>
    <w:rsid w:val="002C1943"/>
    <w:rsid w:val="002C1AF0"/>
    <w:rsid w:val="002C22CF"/>
    <w:rsid w:val="002C4107"/>
    <w:rsid w:val="002C4DA5"/>
    <w:rsid w:val="002C4E02"/>
    <w:rsid w:val="002C6E19"/>
    <w:rsid w:val="002D1698"/>
    <w:rsid w:val="002D35E5"/>
    <w:rsid w:val="002D6616"/>
    <w:rsid w:val="002E2632"/>
    <w:rsid w:val="002E27A5"/>
    <w:rsid w:val="002F101C"/>
    <w:rsid w:val="002F192A"/>
    <w:rsid w:val="002F2E7D"/>
    <w:rsid w:val="002F4293"/>
    <w:rsid w:val="002F5663"/>
    <w:rsid w:val="002F589F"/>
    <w:rsid w:val="002F5E02"/>
    <w:rsid w:val="002F72E6"/>
    <w:rsid w:val="00301B70"/>
    <w:rsid w:val="00303BFB"/>
    <w:rsid w:val="0030406F"/>
    <w:rsid w:val="00306CA5"/>
    <w:rsid w:val="00307D42"/>
    <w:rsid w:val="00310FB2"/>
    <w:rsid w:val="00313302"/>
    <w:rsid w:val="0031567B"/>
    <w:rsid w:val="00315CC1"/>
    <w:rsid w:val="00321767"/>
    <w:rsid w:val="00321D30"/>
    <w:rsid w:val="00322427"/>
    <w:rsid w:val="00323739"/>
    <w:rsid w:val="00332205"/>
    <w:rsid w:val="00333F7A"/>
    <w:rsid w:val="0033440F"/>
    <w:rsid w:val="003344DE"/>
    <w:rsid w:val="00334ABD"/>
    <w:rsid w:val="003358E4"/>
    <w:rsid w:val="003364B3"/>
    <w:rsid w:val="00337EEB"/>
    <w:rsid w:val="00340BFA"/>
    <w:rsid w:val="00340C43"/>
    <w:rsid w:val="003419D1"/>
    <w:rsid w:val="00342F2B"/>
    <w:rsid w:val="00344BBF"/>
    <w:rsid w:val="00345DCE"/>
    <w:rsid w:val="00346658"/>
    <w:rsid w:val="00355B78"/>
    <w:rsid w:val="00360F6F"/>
    <w:rsid w:val="00361E5D"/>
    <w:rsid w:val="00363037"/>
    <w:rsid w:val="003640BE"/>
    <w:rsid w:val="0036602D"/>
    <w:rsid w:val="00367C3E"/>
    <w:rsid w:val="00370EE5"/>
    <w:rsid w:val="00371D3C"/>
    <w:rsid w:val="00373A4D"/>
    <w:rsid w:val="00373EF8"/>
    <w:rsid w:val="003756FF"/>
    <w:rsid w:val="00375CD3"/>
    <w:rsid w:val="0038057D"/>
    <w:rsid w:val="00380676"/>
    <w:rsid w:val="003807BE"/>
    <w:rsid w:val="0038344F"/>
    <w:rsid w:val="003834CD"/>
    <w:rsid w:val="003842F9"/>
    <w:rsid w:val="00385A4F"/>
    <w:rsid w:val="00390575"/>
    <w:rsid w:val="00391D27"/>
    <w:rsid w:val="0039268E"/>
    <w:rsid w:val="003929F8"/>
    <w:rsid w:val="003938C7"/>
    <w:rsid w:val="003A145E"/>
    <w:rsid w:val="003A22A1"/>
    <w:rsid w:val="003A47A0"/>
    <w:rsid w:val="003A6232"/>
    <w:rsid w:val="003A650C"/>
    <w:rsid w:val="003A7FC6"/>
    <w:rsid w:val="003B10EE"/>
    <w:rsid w:val="003B1B5C"/>
    <w:rsid w:val="003B66D2"/>
    <w:rsid w:val="003B7904"/>
    <w:rsid w:val="003C097D"/>
    <w:rsid w:val="003C1058"/>
    <w:rsid w:val="003C1421"/>
    <w:rsid w:val="003C2A0A"/>
    <w:rsid w:val="003C6BAF"/>
    <w:rsid w:val="003D0F91"/>
    <w:rsid w:val="003D111C"/>
    <w:rsid w:val="003D435D"/>
    <w:rsid w:val="003D68C9"/>
    <w:rsid w:val="003D72D3"/>
    <w:rsid w:val="003E1D17"/>
    <w:rsid w:val="003E3A1A"/>
    <w:rsid w:val="003E6535"/>
    <w:rsid w:val="003E6F28"/>
    <w:rsid w:val="003F0077"/>
    <w:rsid w:val="003F1732"/>
    <w:rsid w:val="003F4EFB"/>
    <w:rsid w:val="003F613C"/>
    <w:rsid w:val="003F74AA"/>
    <w:rsid w:val="003F7918"/>
    <w:rsid w:val="004004A4"/>
    <w:rsid w:val="00401F53"/>
    <w:rsid w:val="004046F9"/>
    <w:rsid w:val="00404DFA"/>
    <w:rsid w:val="0040765B"/>
    <w:rsid w:val="004138DE"/>
    <w:rsid w:val="0041469E"/>
    <w:rsid w:val="004146D1"/>
    <w:rsid w:val="0041563D"/>
    <w:rsid w:val="00424540"/>
    <w:rsid w:val="004302A0"/>
    <w:rsid w:val="0043093C"/>
    <w:rsid w:val="00430EC6"/>
    <w:rsid w:val="00431705"/>
    <w:rsid w:val="00431877"/>
    <w:rsid w:val="004338F0"/>
    <w:rsid w:val="00436384"/>
    <w:rsid w:val="00441C0B"/>
    <w:rsid w:val="0044256B"/>
    <w:rsid w:val="004429C5"/>
    <w:rsid w:val="00444109"/>
    <w:rsid w:val="0044485D"/>
    <w:rsid w:val="00444D13"/>
    <w:rsid w:val="00445E18"/>
    <w:rsid w:val="00446274"/>
    <w:rsid w:val="00447C76"/>
    <w:rsid w:val="004511E5"/>
    <w:rsid w:val="0045120D"/>
    <w:rsid w:val="00451D0B"/>
    <w:rsid w:val="00455181"/>
    <w:rsid w:val="0045590D"/>
    <w:rsid w:val="00455BC5"/>
    <w:rsid w:val="0046157E"/>
    <w:rsid w:val="00467D2B"/>
    <w:rsid w:val="00474FF0"/>
    <w:rsid w:val="0047795D"/>
    <w:rsid w:val="004811BB"/>
    <w:rsid w:val="004822D3"/>
    <w:rsid w:val="00486A3B"/>
    <w:rsid w:val="00487D74"/>
    <w:rsid w:val="004904FB"/>
    <w:rsid w:val="00490A03"/>
    <w:rsid w:val="00490DF9"/>
    <w:rsid w:val="004922C9"/>
    <w:rsid w:val="00492D11"/>
    <w:rsid w:val="00493105"/>
    <w:rsid w:val="004951B0"/>
    <w:rsid w:val="00496711"/>
    <w:rsid w:val="004967AF"/>
    <w:rsid w:val="00497C7F"/>
    <w:rsid w:val="00497F38"/>
    <w:rsid w:val="004A18BA"/>
    <w:rsid w:val="004A1E0F"/>
    <w:rsid w:val="004A2702"/>
    <w:rsid w:val="004A37E0"/>
    <w:rsid w:val="004A50A5"/>
    <w:rsid w:val="004A6297"/>
    <w:rsid w:val="004A6D3D"/>
    <w:rsid w:val="004A7324"/>
    <w:rsid w:val="004A79DC"/>
    <w:rsid w:val="004B2772"/>
    <w:rsid w:val="004B2D3B"/>
    <w:rsid w:val="004B4F7D"/>
    <w:rsid w:val="004B6216"/>
    <w:rsid w:val="004C04FD"/>
    <w:rsid w:val="004C165A"/>
    <w:rsid w:val="004C310A"/>
    <w:rsid w:val="004C3DE6"/>
    <w:rsid w:val="004C49EF"/>
    <w:rsid w:val="004C546F"/>
    <w:rsid w:val="004C6B41"/>
    <w:rsid w:val="004D132B"/>
    <w:rsid w:val="004D1E79"/>
    <w:rsid w:val="004D5902"/>
    <w:rsid w:val="004D75D9"/>
    <w:rsid w:val="004D78F9"/>
    <w:rsid w:val="004D7A75"/>
    <w:rsid w:val="004D7B61"/>
    <w:rsid w:val="004E2A78"/>
    <w:rsid w:val="004E35DB"/>
    <w:rsid w:val="004F660F"/>
    <w:rsid w:val="004F6B16"/>
    <w:rsid w:val="0050159C"/>
    <w:rsid w:val="005025B9"/>
    <w:rsid w:val="00504814"/>
    <w:rsid w:val="00505BAF"/>
    <w:rsid w:val="00505EC9"/>
    <w:rsid w:val="005110B3"/>
    <w:rsid w:val="00512372"/>
    <w:rsid w:val="00513A6D"/>
    <w:rsid w:val="00513B40"/>
    <w:rsid w:val="00513FC2"/>
    <w:rsid w:val="005150BD"/>
    <w:rsid w:val="0051629B"/>
    <w:rsid w:val="00521D7B"/>
    <w:rsid w:val="005220BC"/>
    <w:rsid w:val="005226A8"/>
    <w:rsid w:val="00522837"/>
    <w:rsid w:val="00522D6D"/>
    <w:rsid w:val="00522D91"/>
    <w:rsid w:val="005242FB"/>
    <w:rsid w:val="0052714B"/>
    <w:rsid w:val="005278E9"/>
    <w:rsid w:val="00527C43"/>
    <w:rsid w:val="00531CD7"/>
    <w:rsid w:val="005326CC"/>
    <w:rsid w:val="00532D29"/>
    <w:rsid w:val="00537FE2"/>
    <w:rsid w:val="0054381F"/>
    <w:rsid w:val="00544185"/>
    <w:rsid w:val="005443F8"/>
    <w:rsid w:val="00545A0E"/>
    <w:rsid w:val="00545E8D"/>
    <w:rsid w:val="0054638D"/>
    <w:rsid w:val="00551A93"/>
    <w:rsid w:val="0055567A"/>
    <w:rsid w:val="00555A3A"/>
    <w:rsid w:val="00557DDE"/>
    <w:rsid w:val="0056276A"/>
    <w:rsid w:val="00564921"/>
    <w:rsid w:val="00565BB9"/>
    <w:rsid w:val="00566F04"/>
    <w:rsid w:val="005674EC"/>
    <w:rsid w:val="0056755F"/>
    <w:rsid w:val="00582289"/>
    <w:rsid w:val="00582EA7"/>
    <w:rsid w:val="0058332E"/>
    <w:rsid w:val="00584F2B"/>
    <w:rsid w:val="00586114"/>
    <w:rsid w:val="005871D0"/>
    <w:rsid w:val="00587560"/>
    <w:rsid w:val="005931C7"/>
    <w:rsid w:val="00593295"/>
    <w:rsid w:val="005955CC"/>
    <w:rsid w:val="00595D0F"/>
    <w:rsid w:val="005966CC"/>
    <w:rsid w:val="00596F6D"/>
    <w:rsid w:val="00597D7B"/>
    <w:rsid w:val="00597F73"/>
    <w:rsid w:val="005A2F93"/>
    <w:rsid w:val="005A4F0F"/>
    <w:rsid w:val="005A6CEE"/>
    <w:rsid w:val="005B130E"/>
    <w:rsid w:val="005B19E5"/>
    <w:rsid w:val="005B1EEE"/>
    <w:rsid w:val="005B2E0F"/>
    <w:rsid w:val="005B2F0B"/>
    <w:rsid w:val="005B3AC7"/>
    <w:rsid w:val="005B3F81"/>
    <w:rsid w:val="005B7AFE"/>
    <w:rsid w:val="005C03EF"/>
    <w:rsid w:val="005C09B6"/>
    <w:rsid w:val="005C1FA7"/>
    <w:rsid w:val="005C2620"/>
    <w:rsid w:val="005C3EFD"/>
    <w:rsid w:val="005C44EE"/>
    <w:rsid w:val="005C6C75"/>
    <w:rsid w:val="005D03DD"/>
    <w:rsid w:val="005D0F78"/>
    <w:rsid w:val="005D1596"/>
    <w:rsid w:val="005D1B7F"/>
    <w:rsid w:val="005D335B"/>
    <w:rsid w:val="005D3CD9"/>
    <w:rsid w:val="005D7B7E"/>
    <w:rsid w:val="005E1DCB"/>
    <w:rsid w:val="005E43B7"/>
    <w:rsid w:val="005E4F05"/>
    <w:rsid w:val="005E5F6B"/>
    <w:rsid w:val="005E6DEA"/>
    <w:rsid w:val="005E7E63"/>
    <w:rsid w:val="005F19A1"/>
    <w:rsid w:val="005F53EE"/>
    <w:rsid w:val="005F5529"/>
    <w:rsid w:val="005F5608"/>
    <w:rsid w:val="005F5CB4"/>
    <w:rsid w:val="005F651A"/>
    <w:rsid w:val="005F69A7"/>
    <w:rsid w:val="005F78D8"/>
    <w:rsid w:val="0060426A"/>
    <w:rsid w:val="006058DE"/>
    <w:rsid w:val="00605C5E"/>
    <w:rsid w:val="00605EFC"/>
    <w:rsid w:val="0060640F"/>
    <w:rsid w:val="00606B73"/>
    <w:rsid w:val="00610607"/>
    <w:rsid w:val="00610762"/>
    <w:rsid w:val="00612B39"/>
    <w:rsid w:val="00617A88"/>
    <w:rsid w:val="006215C2"/>
    <w:rsid w:val="0062590B"/>
    <w:rsid w:val="006272C5"/>
    <w:rsid w:val="006311C7"/>
    <w:rsid w:val="0063120A"/>
    <w:rsid w:val="00634B50"/>
    <w:rsid w:val="00636A2E"/>
    <w:rsid w:val="006409AD"/>
    <w:rsid w:val="006429C2"/>
    <w:rsid w:val="00643119"/>
    <w:rsid w:val="00643765"/>
    <w:rsid w:val="00644026"/>
    <w:rsid w:val="00645B34"/>
    <w:rsid w:val="006460AC"/>
    <w:rsid w:val="006474B5"/>
    <w:rsid w:val="00647B70"/>
    <w:rsid w:val="00656581"/>
    <w:rsid w:val="00657003"/>
    <w:rsid w:val="006618F6"/>
    <w:rsid w:val="00662C0A"/>
    <w:rsid w:val="006641AE"/>
    <w:rsid w:val="006646F9"/>
    <w:rsid w:val="0066502F"/>
    <w:rsid w:val="00666929"/>
    <w:rsid w:val="00672E1A"/>
    <w:rsid w:val="00677D10"/>
    <w:rsid w:val="00681957"/>
    <w:rsid w:val="00683CC0"/>
    <w:rsid w:val="00684E3C"/>
    <w:rsid w:val="00685804"/>
    <w:rsid w:val="00687381"/>
    <w:rsid w:val="006875EC"/>
    <w:rsid w:val="00687D81"/>
    <w:rsid w:val="00690EAC"/>
    <w:rsid w:val="006940E3"/>
    <w:rsid w:val="00697ECF"/>
    <w:rsid w:val="006A0374"/>
    <w:rsid w:val="006A0EDE"/>
    <w:rsid w:val="006A1047"/>
    <w:rsid w:val="006A108A"/>
    <w:rsid w:val="006A1216"/>
    <w:rsid w:val="006A3CEF"/>
    <w:rsid w:val="006B1058"/>
    <w:rsid w:val="006B1133"/>
    <w:rsid w:val="006B67ED"/>
    <w:rsid w:val="006B76B8"/>
    <w:rsid w:val="006C2209"/>
    <w:rsid w:val="006C2872"/>
    <w:rsid w:val="006C3BB3"/>
    <w:rsid w:val="006C3D62"/>
    <w:rsid w:val="006C3DFE"/>
    <w:rsid w:val="006C4ED6"/>
    <w:rsid w:val="006C51A9"/>
    <w:rsid w:val="006C70B0"/>
    <w:rsid w:val="006D08B4"/>
    <w:rsid w:val="006E3E41"/>
    <w:rsid w:val="006E6831"/>
    <w:rsid w:val="006E7588"/>
    <w:rsid w:val="006E7C4D"/>
    <w:rsid w:val="006F01BF"/>
    <w:rsid w:val="006F2078"/>
    <w:rsid w:val="006F7D52"/>
    <w:rsid w:val="007033D9"/>
    <w:rsid w:val="00703E5F"/>
    <w:rsid w:val="00704214"/>
    <w:rsid w:val="00705579"/>
    <w:rsid w:val="00706A56"/>
    <w:rsid w:val="007079C0"/>
    <w:rsid w:val="00710163"/>
    <w:rsid w:val="0071127F"/>
    <w:rsid w:val="00712FF7"/>
    <w:rsid w:val="00713711"/>
    <w:rsid w:val="00715583"/>
    <w:rsid w:val="00715DC0"/>
    <w:rsid w:val="007161BA"/>
    <w:rsid w:val="007209E7"/>
    <w:rsid w:val="00724D77"/>
    <w:rsid w:val="00724F24"/>
    <w:rsid w:val="007255A9"/>
    <w:rsid w:val="007269A8"/>
    <w:rsid w:val="00731D93"/>
    <w:rsid w:val="00732BCC"/>
    <w:rsid w:val="00732CDC"/>
    <w:rsid w:val="00732FF8"/>
    <w:rsid w:val="0073378A"/>
    <w:rsid w:val="00733FB2"/>
    <w:rsid w:val="0073448F"/>
    <w:rsid w:val="00736D54"/>
    <w:rsid w:val="00736E86"/>
    <w:rsid w:val="00740C7E"/>
    <w:rsid w:val="00742A13"/>
    <w:rsid w:val="00743A93"/>
    <w:rsid w:val="007445A0"/>
    <w:rsid w:val="0074658B"/>
    <w:rsid w:val="00746FF4"/>
    <w:rsid w:val="00751144"/>
    <w:rsid w:val="00752BB7"/>
    <w:rsid w:val="00752BD0"/>
    <w:rsid w:val="0075383A"/>
    <w:rsid w:val="00753949"/>
    <w:rsid w:val="00755121"/>
    <w:rsid w:val="00755D18"/>
    <w:rsid w:val="00756131"/>
    <w:rsid w:val="007566FA"/>
    <w:rsid w:val="00757531"/>
    <w:rsid w:val="007601A7"/>
    <w:rsid w:val="0076282A"/>
    <w:rsid w:val="007645B5"/>
    <w:rsid w:val="0076686E"/>
    <w:rsid w:val="007676B1"/>
    <w:rsid w:val="0077443E"/>
    <w:rsid w:val="00776345"/>
    <w:rsid w:val="00777D11"/>
    <w:rsid w:val="00781BDB"/>
    <w:rsid w:val="00783689"/>
    <w:rsid w:val="00783AFC"/>
    <w:rsid w:val="007841C4"/>
    <w:rsid w:val="00784381"/>
    <w:rsid w:val="007844A5"/>
    <w:rsid w:val="00786F3C"/>
    <w:rsid w:val="007903D5"/>
    <w:rsid w:val="007913A3"/>
    <w:rsid w:val="00791DE8"/>
    <w:rsid w:val="00792ECA"/>
    <w:rsid w:val="00794042"/>
    <w:rsid w:val="007A07D2"/>
    <w:rsid w:val="007A09CD"/>
    <w:rsid w:val="007A1F64"/>
    <w:rsid w:val="007A2828"/>
    <w:rsid w:val="007A31CE"/>
    <w:rsid w:val="007A4220"/>
    <w:rsid w:val="007A4A47"/>
    <w:rsid w:val="007A60E0"/>
    <w:rsid w:val="007A65CC"/>
    <w:rsid w:val="007A6B1F"/>
    <w:rsid w:val="007A791F"/>
    <w:rsid w:val="007A7CD1"/>
    <w:rsid w:val="007B229F"/>
    <w:rsid w:val="007B2972"/>
    <w:rsid w:val="007B586B"/>
    <w:rsid w:val="007C112D"/>
    <w:rsid w:val="007C1445"/>
    <w:rsid w:val="007C2FD6"/>
    <w:rsid w:val="007C6057"/>
    <w:rsid w:val="007C6B3F"/>
    <w:rsid w:val="007D0A0F"/>
    <w:rsid w:val="007D3317"/>
    <w:rsid w:val="007D63E3"/>
    <w:rsid w:val="007D640B"/>
    <w:rsid w:val="007D699F"/>
    <w:rsid w:val="007E25BA"/>
    <w:rsid w:val="007E411F"/>
    <w:rsid w:val="007F09C5"/>
    <w:rsid w:val="007F11FC"/>
    <w:rsid w:val="007F3D62"/>
    <w:rsid w:val="007F42CB"/>
    <w:rsid w:val="008016CF"/>
    <w:rsid w:val="00802202"/>
    <w:rsid w:val="00802460"/>
    <w:rsid w:val="008035F5"/>
    <w:rsid w:val="00810E1A"/>
    <w:rsid w:val="00813815"/>
    <w:rsid w:val="00813A82"/>
    <w:rsid w:val="00813BC7"/>
    <w:rsid w:val="00814908"/>
    <w:rsid w:val="00814C9F"/>
    <w:rsid w:val="00816E16"/>
    <w:rsid w:val="00820453"/>
    <w:rsid w:val="0082087E"/>
    <w:rsid w:val="00823799"/>
    <w:rsid w:val="00824955"/>
    <w:rsid w:val="00826118"/>
    <w:rsid w:val="0082630C"/>
    <w:rsid w:val="00826E6E"/>
    <w:rsid w:val="008277D2"/>
    <w:rsid w:val="008307E2"/>
    <w:rsid w:val="008313BA"/>
    <w:rsid w:val="00831986"/>
    <w:rsid w:val="00832CEA"/>
    <w:rsid w:val="00834F25"/>
    <w:rsid w:val="0084560C"/>
    <w:rsid w:val="008461EC"/>
    <w:rsid w:val="00847BCA"/>
    <w:rsid w:val="008503CB"/>
    <w:rsid w:val="00852786"/>
    <w:rsid w:val="00852DEF"/>
    <w:rsid w:val="00853F47"/>
    <w:rsid w:val="00855B3B"/>
    <w:rsid w:val="0086080C"/>
    <w:rsid w:val="00860C9F"/>
    <w:rsid w:val="0086328A"/>
    <w:rsid w:val="00865E74"/>
    <w:rsid w:val="00865EFC"/>
    <w:rsid w:val="008713A9"/>
    <w:rsid w:val="00872638"/>
    <w:rsid w:val="008751D7"/>
    <w:rsid w:val="00876241"/>
    <w:rsid w:val="00876C26"/>
    <w:rsid w:val="00884936"/>
    <w:rsid w:val="00884CF1"/>
    <w:rsid w:val="008850BD"/>
    <w:rsid w:val="00885368"/>
    <w:rsid w:val="008860C9"/>
    <w:rsid w:val="00886E9C"/>
    <w:rsid w:val="0089155B"/>
    <w:rsid w:val="008921C3"/>
    <w:rsid w:val="0089291B"/>
    <w:rsid w:val="008932EA"/>
    <w:rsid w:val="00893971"/>
    <w:rsid w:val="00895C92"/>
    <w:rsid w:val="008967E8"/>
    <w:rsid w:val="00896CFA"/>
    <w:rsid w:val="008972BB"/>
    <w:rsid w:val="008A3B8F"/>
    <w:rsid w:val="008A4896"/>
    <w:rsid w:val="008A76F9"/>
    <w:rsid w:val="008B0B8F"/>
    <w:rsid w:val="008B202B"/>
    <w:rsid w:val="008B2143"/>
    <w:rsid w:val="008B5999"/>
    <w:rsid w:val="008B5B10"/>
    <w:rsid w:val="008B5FDF"/>
    <w:rsid w:val="008B6B07"/>
    <w:rsid w:val="008B7FEE"/>
    <w:rsid w:val="008D1B1F"/>
    <w:rsid w:val="008D1E76"/>
    <w:rsid w:val="008D3852"/>
    <w:rsid w:val="008D53B8"/>
    <w:rsid w:val="008D654B"/>
    <w:rsid w:val="008D655C"/>
    <w:rsid w:val="008D7513"/>
    <w:rsid w:val="008E01F8"/>
    <w:rsid w:val="008E0D88"/>
    <w:rsid w:val="008E7C8A"/>
    <w:rsid w:val="008F1D0A"/>
    <w:rsid w:val="008F4232"/>
    <w:rsid w:val="008F7345"/>
    <w:rsid w:val="008F75FF"/>
    <w:rsid w:val="008F7F30"/>
    <w:rsid w:val="00900958"/>
    <w:rsid w:val="00902D72"/>
    <w:rsid w:val="00904791"/>
    <w:rsid w:val="00904AEC"/>
    <w:rsid w:val="00904DAC"/>
    <w:rsid w:val="00907357"/>
    <w:rsid w:val="00910E4B"/>
    <w:rsid w:val="0091269F"/>
    <w:rsid w:val="00916592"/>
    <w:rsid w:val="0092361F"/>
    <w:rsid w:val="009240D0"/>
    <w:rsid w:val="00926E1B"/>
    <w:rsid w:val="00927117"/>
    <w:rsid w:val="00930CAA"/>
    <w:rsid w:val="00931133"/>
    <w:rsid w:val="00931F64"/>
    <w:rsid w:val="00932CCA"/>
    <w:rsid w:val="00932F7C"/>
    <w:rsid w:val="0093531B"/>
    <w:rsid w:val="0094052E"/>
    <w:rsid w:val="00940E86"/>
    <w:rsid w:val="0094445C"/>
    <w:rsid w:val="0094670F"/>
    <w:rsid w:val="00947334"/>
    <w:rsid w:val="00950AD1"/>
    <w:rsid w:val="00950AE1"/>
    <w:rsid w:val="0095269D"/>
    <w:rsid w:val="00954369"/>
    <w:rsid w:val="00956BC9"/>
    <w:rsid w:val="0095793C"/>
    <w:rsid w:val="0096157B"/>
    <w:rsid w:val="00962412"/>
    <w:rsid w:val="009625BB"/>
    <w:rsid w:val="00962BD1"/>
    <w:rsid w:val="00963CB0"/>
    <w:rsid w:val="00967B17"/>
    <w:rsid w:val="009711EE"/>
    <w:rsid w:val="00971D26"/>
    <w:rsid w:val="009726EA"/>
    <w:rsid w:val="00974198"/>
    <w:rsid w:val="00976DA7"/>
    <w:rsid w:val="00980655"/>
    <w:rsid w:val="0098118F"/>
    <w:rsid w:val="00981719"/>
    <w:rsid w:val="00983137"/>
    <w:rsid w:val="0098363C"/>
    <w:rsid w:val="00983AB1"/>
    <w:rsid w:val="00985378"/>
    <w:rsid w:val="00986732"/>
    <w:rsid w:val="0099574E"/>
    <w:rsid w:val="009A3C3A"/>
    <w:rsid w:val="009A4350"/>
    <w:rsid w:val="009A4E43"/>
    <w:rsid w:val="009A5284"/>
    <w:rsid w:val="009A5804"/>
    <w:rsid w:val="009A5B5F"/>
    <w:rsid w:val="009A5DF3"/>
    <w:rsid w:val="009A782C"/>
    <w:rsid w:val="009B072F"/>
    <w:rsid w:val="009B4EB5"/>
    <w:rsid w:val="009B749B"/>
    <w:rsid w:val="009C1808"/>
    <w:rsid w:val="009C1BEC"/>
    <w:rsid w:val="009C1E06"/>
    <w:rsid w:val="009C28A7"/>
    <w:rsid w:val="009C2E99"/>
    <w:rsid w:val="009C5DC2"/>
    <w:rsid w:val="009C5E23"/>
    <w:rsid w:val="009C667B"/>
    <w:rsid w:val="009C7357"/>
    <w:rsid w:val="009C7865"/>
    <w:rsid w:val="009C7892"/>
    <w:rsid w:val="009D0CA5"/>
    <w:rsid w:val="009D0E3E"/>
    <w:rsid w:val="009D13FD"/>
    <w:rsid w:val="009D6E5E"/>
    <w:rsid w:val="009E3468"/>
    <w:rsid w:val="009E4AF2"/>
    <w:rsid w:val="009F218B"/>
    <w:rsid w:val="009F315E"/>
    <w:rsid w:val="009F4D55"/>
    <w:rsid w:val="00A020E1"/>
    <w:rsid w:val="00A03F04"/>
    <w:rsid w:val="00A07DEA"/>
    <w:rsid w:val="00A07FCF"/>
    <w:rsid w:val="00A12B96"/>
    <w:rsid w:val="00A1490D"/>
    <w:rsid w:val="00A16238"/>
    <w:rsid w:val="00A2079D"/>
    <w:rsid w:val="00A2142A"/>
    <w:rsid w:val="00A22CFE"/>
    <w:rsid w:val="00A2475C"/>
    <w:rsid w:val="00A32334"/>
    <w:rsid w:val="00A32AEA"/>
    <w:rsid w:val="00A33B36"/>
    <w:rsid w:val="00A33FE1"/>
    <w:rsid w:val="00A35668"/>
    <w:rsid w:val="00A37613"/>
    <w:rsid w:val="00A37D5F"/>
    <w:rsid w:val="00A4124A"/>
    <w:rsid w:val="00A43D87"/>
    <w:rsid w:val="00A44A01"/>
    <w:rsid w:val="00A44CC1"/>
    <w:rsid w:val="00A4542A"/>
    <w:rsid w:val="00A45AD3"/>
    <w:rsid w:val="00A45B2B"/>
    <w:rsid w:val="00A50F43"/>
    <w:rsid w:val="00A5272B"/>
    <w:rsid w:val="00A579F4"/>
    <w:rsid w:val="00A6394A"/>
    <w:rsid w:val="00A64D5E"/>
    <w:rsid w:val="00A659D7"/>
    <w:rsid w:val="00A65AE2"/>
    <w:rsid w:val="00A66BE1"/>
    <w:rsid w:val="00A67348"/>
    <w:rsid w:val="00A74448"/>
    <w:rsid w:val="00A75611"/>
    <w:rsid w:val="00A75FB9"/>
    <w:rsid w:val="00A823CB"/>
    <w:rsid w:val="00A84568"/>
    <w:rsid w:val="00A86013"/>
    <w:rsid w:val="00A876B3"/>
    <w:rsid w:val="00A87B38"/>
    <w:rsid w:val="00A945EC"/>
    <w:rsid w:val="00A94E18"/>
    <w:rsid w:val="00A95E4B"/>
    <w:rsid w:val="00A96730"/>
    <w:rsid w:val="00A971A9"/>
    <w:rsid w:val="00AA0C38"/>
    <w:rsid w:val="00AA2DC2"/>
    <w:rsid w:val="00AA5661"/>
    <w:rsid w:val="00AA7CEC"/>
    <w:rsid w:val="00AB258B"/>
    <w:rsid w:val="00AB283E"/>
    <w:rsid w:val="00AB4812"/>
    <w:rsid w:val="00AC0AA5"/>
    <w:rsid w:val="00AC22BB"/>
    <w:rsid w:val="00AC3011"/>
    <w:rsid w:val="00AC3660"/>
    <w:rsid w:val="00AC4CBA"/>
    <w:rsid w:val="00AC6790"/>
    <w:rsid w:val="00AC6CE1"/>
    <w:rsid w:val="00AD03D3"/>
    <w:rsid w:val="00AD0C40"/>
    <w:rsid w:val="00AD1DAE"/>
    <w:rsid w:val="00AD460A"/>
    <w:rsid w:val="00AE1CA2"/>
    <w:rsid w:val="00AE1F7F"/>
    <w:rsid w:val="00AE22E1"/>
    <w:rsid w:val="00AE3872"/>
    <w:rsid w:val="00AE3C78"/>
    <w:rsid w:val="00AE58F2"/>
    <w:rsid w:val="00AE5CEA"/>
    <w:rsid w:val="00AF08D7"/>
    <w:rsid w:val="00AF24EA"/>
    <w:rsid w:val="00AF344C"/>
    <w:rsid w:val="00AF4424"/>
    <w:rsid w:val="00AF669F"/>
    <w:rsid w:val="00AF66C5"/>
    <w:rsid w:val="00AF7278"/>
    <w:rsid w:val="00B03F4D"/>
    <w:rsid w:val="00B03F87"/>
    <w:rsid w:val="00B05860"/>
    <w:rsid w:val="00B058E0"/>
    <w:rsid w:val="00B064E2"/>
    <w:rsid w:val="00B073D2"/>
    <w:rsid w:val="00B07913"/>
    <w:rsid w:val="00B11026"/>
    <w:rsid w:val="00B111A8"/>
    <w:rsid w:val="00B141DF"/>
    <w:rsid w:val="00B14707"/>
    <w:rsid w:val="00B2149A"/>
    <w:rsid w:val="00B22373"/>
    <w:rsid w:val="00B23DF3"/>
    <w:rsid w:val="00B24785"/>
    <w:rsid w:val="00B25EE6"/>
    <w:rsid w:val="00B276BC"/>
    <w:rsid w:val="00B30A81"/>
    <w:rsid w:val="00B3137B"/>
    <w:rsid w:val="00B32C56"/>
    <w:rsid w:val="00B32E18"/>
    <w:rsid w:val="00B331DB"/>
    <w:rsid w:val="00B36CF9"/>
    <w:rsid w:val="00B375E1"/>
    <w:rsid w:val="00B41A69"/>
    <w:rsid w:val="00B434BC"/>
    <w:rsid w:val="00B44E97"/>
    <w:rsid w:val="00B45557"/>
    <w:rsid w:val="00B4588D"/>
    <w:rsid w:val="00B46719"/>
    <w:rsid w:val="00B478DB"/>
    <w:rsid w:val="00B47E76"/>
    <w:rsid w:val="00B500C2"/>
    <w:rsid w:val="00B526A8"/>
    <w:rsid w:val="00B5490F"/>
    <w:rsid w:val="00B55200"/>
    <w:rsid w:val="00B55373"/>
    <w:rsid w:val="00B565A5"/>
    <w:rsid w:val="00B56CF8"/>
    <w:rsid w:val="00B5765F"/>
    <w:rsid w:val="00B57F8F"/>
    <w:rsid w:val="00B62674"/>
    <w:rsid w:val="00B6460B"/>
    <w:rsid w:val="00B647B2"/>
    <w:rsid w:val="00B64BFD"/>
    <w:rsid w:val="00B65984"/>
    <w:rsid w:val="00B670A4"/>
    <w:rsid w:val="00B67797"/>
    <w:rsid w:val="00B70246"/>
    <w:rsid w:val="00B715F0"/>
    <w:rsid w:val="00B71F65"/>
    <w:rsid w:val="00B73D51"/>
    <w:rsid w:val="00B74678"/>
    <w:rsid w:val="00B8031E"/>
    <w:rsid w:val="00B80463"/>
    <w:rsid w:val="00B91BA1"/>
    <w:rsid w:val="00B935B2"/>
    <w:rsid w:val="00B94F22"/>
    <w:rsid w:val="00B97355"/>
    <w:rsid w:val="00BA010D"/>
    <w:rsid w:val="00BA2556"/>
    <w:rsid w:val="00BA5A30"/>
    <w:rsid w:val="00BA5DE9"/>
    <w:rsid w:val="00BA677D"/>
    <w:rsid w:val="00BA737E"/>
    <w:rsid w:val="00BB1498"/>
    <w:rsid w:val="00BB5612"/>
    <w:rsid w:val="00BB616D"/>
    <w:rsid w:val="00BC239E"/>
    <w:rsid w:val="00BC2783"/>
    <w:rsid w:val="00BC2D1D"/>
    <w:rsid w:val="00BC5F98"/>
    <w:rsid w:val="00BC6B2A"/>
    <w:rsid w:val="00BC730D"/>
    <w:rsid w:val="00BC7831"/>
    <w:rsid w:val="00BD1C8E"/>
    <w:rsid w:val="00BD5584"/>
    <w:rsid w:val="00BD78B8"/>
    <w:rsid w:val="00BD7B01"/>
    <w:rsid w:val="00BE2E7D"/>
    <w:rsid w:val="00BE4C17"/>
    <w:rsid w:val="00BF02E4"/>
    <w:rsid w:val="00BF1DE3"/>
    <w:rsid w:val="00BF273C"/>
    <w:rsid w:val="00BF2FBA"/>
    <w:rsid w:val="00BF5C81"/>
    <w:rsid w:val="00BF6AE9"/>
    <w:rsid w:val="00BF756F"/>
    <w:rsid w:val="00C009AC"/>
    <w:rsid w:val="00C012E6"/>
    <w:rsid w:val="00C03293"/>
    <w:rsid w:val="00C04046"/>
    <w:rsid w:val="00C04069"/>
    <w:rsid w:val="00C055EA"/>
    <w:rsid w:val="00C06764"/>
    <w:rsid w:val="00C12E8A"/>
    <w:rsid w:val="00C14E87"/>
    <w:rsid w:val="00C170AA"/>
    <w:rsid w:val="00C1767A"/>
    <w:rsid w:val="00C204FE"/>
    <w:rsid w:val="00C20838"/>
    <w:rsid w:val="00C20904"/>
    <w:rsid w:val="00C20CAB"/>
    <w:rsid w:val="00C24CD5"/>
    <w:rsid w:val="00C24D77"/>
    <w:rsid w:val="00C26944"/>
    <w:rsid w:val="00C270CD"/>
    <w:rsid w:val="00C30439"/>
    <w:rsid w:val="00C3091E"/>
    <w:rsid w:val="00C3418F"/>
    <w:rsid w:val="00C3474E"/>
    <w:rsid w:val="00C3583C"/>
    <w:rsid w:val="00C36078"/>
    <w:rsid w:val="00C36FF6"/>
    <w:rsid w:val="00C40A58"/>
    <w:rsid w:val="00C41794"/>
    <w:rsid w:val="00C41F5F"/>
    <w:rsid w:val="00C439FC"/>
    <w:rsid w:val="00C45A45"/>
    <w:rsid w:val="00C4622B"/>
    <w:rsid w:val="00C476E5"/>
    <w:rsid w:val="00C528A9"/>
    <w:rsid w:val="00C52D71"/>
    <w:rsid w:val="00C55D82"/>
    <w:rsid w:val="00C60500"/>
    <w:rsid w:val="00C648D9"/>
    <w:rsid w:val="00C65623"/>
    <w:rsid w:val="00C67154"/>
    <w:rsid w:val="00C70073"/>
    <w:rsid w:val="00C72FF1"/>
    <w:rsid w:val="00C74B49"/>
    <w:rsid w:val="00C830B5"/>
    <w:rsid w:val="00C8367A"/>
    <w:rsid w:val="00C83AC8"/>
    <w:rsid w:val="00C83B6D"/>
    <w:rsid w:val="00C83D33"/>
    <w:rsid w:val="00C8532A"/>
    <w:rsid w:val="00C85D0D"/>
    <w:rsid w:val="00C86774"/>
    <w:rsid w:val="00C915B2"/>
    <w:rsid w:val="00C91A0F"/>
    <w:rsid w:val="00C93017"/>
    <w:rsid w:val="00C931B3"/>
    <w:rsid w:val="00C95D3A"/>
    <w:rsid w:val="00C9615A"/>
    <w:rsid w:val="00C96EB0"/>
    <w:rsid w:val="00CA68C4"/>
    <w:rsid w:val="00CB0F62"/>
    <w:rsid w:val="00CB13A6"/>
    <w:rsid w:val="00CB2395"/>
    <w:rsid w:val="00CB3E57"/>
    <w:rsid w:val="00CB613D"/>
    <w:rsid w:val="00CB618A"/>
    <w:rsid w:val="00CB6B48"/>
    <w:rsid w:val="00CC22AD"/>
    <w:rsid w:val="00CC3D63"/>
    <w:rsid w:val="00CC3ECA"/>
    <w:rsid w:val="00CC5D6C"/>
    <w:rsid w:val="00CC7A61"/>
    <w:rsid w:val="00CD2AB9"/>
    <w:rsid w:val="00CD2DF0"/>
    <w:rsid w:val="00CD3EEB"/>
    <w:rsid w:val="00CD4340"/>
    <w:rsid w:val="00CD5777"/>
    <w:rsid w:val="00CD5CBF"/>
    <w:rsid w:val="00CE0C62"/>
    <w:rsid w:val="00CE2355"/>
    <w:rsid w:val="00CF0F62"/>
    <w:rsid w:val="00CF14CC"/>
    <w:rsid w:val="00CF196B"/>
    <w:rsid w:val="00CF3BA2"/>
    <w:rsid w:val="00CF4F1A"/>
    <w:rsid w:val="00D03132"/>
    <w:rsid w:val="00D067A4"/>
    <w:rsid w:val="00D073B7"/>
    <w:rsid w:val="00D075F6"/>
    <w:rsid w:val="00D1263D"/>
    <w:rsid w:val="00D1443A"/>
    <w:rsid w:val="00D14A91"/>
    <w:rsid w:val="00D16880"/>
    <w:rsid w:val="00D216DC"/>
    <w:rsid w:val="00D24284"/>
    <w:rsid w:val="00D24F09"/>
    <w:rsid w:val="00D27FB1"/>
    <w:rsid w:val="00D30E5D"/>
    <w:rsid w:val="00D31268"/>
    <w:rsid w:val="00D34263"/>
    <w:rsid w:val="00D35E74"/>
    <w:rsid w:val="00D404C2"/>
    <w:rsid w:val="00D4074E"/>
    <w:rsid w:val="00D40F6B"/>
    <w:rsid w:val="00D417A3"/>
    <w:rsid w:val="00D46612"/>
    <w:rsid w:val="00D47EBD"/>
    <w:rsid w:val="00D515D0"/>
    <w:rsid w:val="00D52E8D"/>
    <w:rsid w:val="00D55923"/>
    <w:rsid w:val="00D6079C"/>
    <w:rsid w:val="00D61D9E"/>
    <w:rsid w:val="00D62E8A"/>
    <w:rsid w:val="00D64B68"/>
    <w:rsid w:val="00D64E0C"/>
    <w:rsid w:val="00D66192"/>
    <w:rsid w:val="00D7211C"/>
    <w:rsid w:val="00D73060"/>
    <w:rsid w:val="00D73ECD"/>
    <w:rsid w:val="00D75CE6"/>
    <w:rsid w:val="00D76F38"/>
    <w:rsid w:val="00D824F3"/>
    <w:rsid w:val="00D83524"/>
    <w:rsid w:val="00D83682"/>
    <w:rsid w:val="00D84735"/>
    <w:rsid w:val="00D853D2"/>
    <w:rsid w:val="00D86C77"/>
    <w:rsid w:val="00D9086D"/>
    <w:rsid w:val="00D911BA"/>
    <w:rsid w:val="00D91F4F"/>
    <w:rsid w:val="00D92F38"/>
    <w:rsid w:val="00D96773"/>
    <w:rsid w:val="00D96F03"/>
    <w:rsid w:val="00D97EEF"/>
    <w:rsid w:val="00DA100E"/>
    <w:rsid w:val="00DA18DA"/>
    <w:rsid w:val="00DA1ADD"/>
    <w:rsid w:val="00DA1C53"/>
    <w:rsid w:val="00DA3AF4"/>
    <w:rsid w:val="00DA46E2"/>
    <w:rsid w:val="00DA4FEF"/>
    <w:rsid w:val="00DA5FF4"/>
    <w:rsid w:val="00DB3411"/>
    <w:rsid w:val="00DB4891"/>
    <w:rsid w:val="00DC0647"/>
    <w:rsid w:val="00DC0873"/>
    <w:rsid w:val="00DC1586"/>
    <w:rsid w:val="00DC1C35"/>
    <w:rsid w:val="00DC1F0D"/>
    <w:rsid w:val="00DC3928"/>
    <w:rsid w:val="00DC3BAE"/>
    <w:rsid w:val="00DC3F43"/>
    <w:rsid w:val="00DC5716"/>
    <w:rsid w:val="00DC5BEE"/>
    <w:rsid w:val="00DC6560"/>
    <w:rsid w:val="00DC6A70"/>
    <w:rsid w:val="00DD0A71"/>
    <w:rsid w:val="00DD0FE6"/>
    <w:rsid w:val="00DD2D77"/>
    <w:rsid w:val="00DD4D9C"/>
    <w:rsid w:val="00DD6B0E"/>
    <w:rsid w:val="00DE00EF"/>
    <w:rsid w:val="00DE2303"/>
    <w:rsid w:val="00DE52CE"/>
    <w:rsid w:val="00DF01EB"/>
    <w:rsid w:val="00DF198A"/>
    <w:rsid w:val="00DF511B"/>
    <w:rsid w:val="00DF520C"/>
    <w:rsid w:val="00DF6C31"/>
    <w:rsid w:val="00DF7D0F"/>
    <w:rsid w:val="00E003B2"/>
    <w:rsid w:val="00E005A2"/>
    <w:rsid w:val="00E01CEB"/>
    <w:rsid w:val="00E024DB"/>
    <w:rsid w:val="00E0385F"/>
    <w:rsid w:val="00E04168"/>
    <w:rsid w:val="00E07BB3"/>
    <w:rsid w:val="00E07E71"/>
    <w:rsid w:val="00E123B5"/>
    <w:rsid w:val="00E13C4E"/>
    <w:rsid w:val="00E1623A"/>
    <w:rsid w:val="00E16EBE"/>
    <w:rsid w:val="00E17BF2"/>
    <w:rsid w:val="00E20987"/>
    <w:rsid w:val="00E22320"/>
    <w:rsid w:val="00E23E0C"/>
    <w:rsid w:val="00E242C5"/>
    <w:rsid w:val="00E249F0"/>
    <w:rsid w:val="00E263CB"/>
    <w:rsid w:val="00E2695F"/>
    <w:rsid w:val="00E3186B"/>
    <w:rsid w:val="00E34A30"/>
    <w:rsid w:val="00E367C8"/>
    <w:rsid w:val="00E3693C"/>
    <w:rsid w:val="00E40F7C"/>
    <w:rsid w:val="00E426B4"/>
    <w:rsid w:val="00E4494C"/>
    <w:rsid w:val="00E4642F"/>
    <w:rsid w:val="00E468D2"/>
    <w:rsid w:val="00E53974"/>
    <w:rsid w:val="00E54E58"/>
    <w:rsid w:val="00E554CF"/>
    <w:rsid w:val="00E55792"/>
    <w:rsid w:val="00E55960"/>
    <w:rsid w:val="00E5599B"/>
    <w:rsid w:val="00E55DD0"/>
    <w:rsid w:val="00E609A9"/>
    <w:rsid w:val="00E6269C"/>
    <w:rsid w:val="00E718F4"/>
    <w:rsid w:val="00E72799"/>
    <w:rsid w:val="00E737A7"/>
    <w:rsid w:val="00E7470E"/>
    <w:rsid w:val="00E74F05"/>
    <w:rsid w:val="00E77F99"/>
    <w:rsid w:val="00E81538"/>
    <w:rsid w:val="00E82268"/>
    <w:rsid w:val="00E823A7"/>
    <w:rsid w:val="00E86474"/>
    <w:rsid w:val="00E90CA5"/>
    <w:rsid w:val="00E92075"/>
    <w:rsid w:val="00E923A4"/>
    <w:rsid w:val="00E923DA"/>
    <w:rsid w:val="00E95329"/>
    <w:rsid w:val="00E95F85"/>
    <w:rsid w:val="00E9621B"/>
    <w:rsid w:val="00E9694D"/>
    <w:rsid w:val="00E96C35"/>
    <w:rsid w:val="00E9776B"/>
    <w:rsid w:val="00EA02C3"/>
    <w:rsid w:val="00EA1B00"/>
    <w:rsid w:val="00EA1DCE"/>
    <w:rsid w:val="00EA2795"/>
    <w:rsid w:val="00EA2B1A"/>
    <w:rsid w:val="00EA33AC"/>
    <w:rsid w:val="00EA3C2F"/>
    <w:rsid w:val="00EA4D6F"/>
    <w:rsid w:val="00EA5C10"/>
    <w:rsid w:val="00EA6ABA"/>
    <w:rsid w:val="00EB02B0"/>
    <w:rsid w:val="00EB580A"/>
    <w:rsid w:val="00EB5CB9"/>
    <w:rsid w:val="00EB5D95"/>
    <w:rsid w:val="00EB6152"/>
    <w:rsid w:val="00EB6406"/>
    <w:rsid w:val="00EC063C"/>
    <w:rsid w:val="00EC0938"/>
    <w:rsid w:val="00EC1C6E"/>
    <w:rsid w:val="00EC226B"/>
    <w:rsid w:val="00EC53F5"/>
    <w:rsid w:val="00EC7BA0"/>
    <w:rsid w:val="00ED08A5"/>
    <w:rsid w:val="00ED2BF4"/>
    <w:rsid w:val="00ED3264"/>
    <w:rsid w:val="00ED3B52"/>
    <w:rsid w:val="00EE29F4"/>
    <w:rsid w:val="00EE359A"/>
    <w:rsid w:val="00EE3BE9"/>
    <w:rsid w:val="00EF022B"/>
    <w:rsid w:val="00EF208A"/>
    <w:rsid w:val="00EF4680"/>
    <w:rsid w:val="00F02722"/>
    <w:rsid w:val="00F02E1E"/>
    <w:rsid w:val="00F0369F"/>
    <w:rsid w:val="00F05540"/>
    <w:rsid w:val="00F06407"/>
    <w:rsid w:val="00F06C41"/>
    <w:rsid w:val="00F10413"/>
    <w:rsid w:val="00F10CF0"/>
    <w:rsid w:val="00F1276F"/>
    <w:rsid w:val="00F141FF"/>
    <w:rsid w:val="00F14886"/>
    <w:rsid w:val="00F214B0"/>
    <w:rsid w:val="00F23F7E"/>
    <w:rsid w:val="00F247F2"/>
    <w:rsid w:val="00F27696"/>
    <w:rsid w:val="00F27E73"/>
    <w:rsid w:val="00F333E3"/>
    <w:rsid w:val="00F3655F"/>
    <w:rsid w:val="00F367B7"/>
    <w:rsid w:val="00F4332E"/>
    <w:rsid w:val="00F4343B"/>
    <w:rsid w:val="00F455BD"/>
    <w:rsid w:val="00F47581"/>
    <w:rsid w:val="00F47B4D"/>
    <w:rsid w:val="00F5333D"/>
    <w:rsid w:val="00F56855"/>
    <w:rsid w:val="00F63514"/>
    <w:rsid w:val="00F63982"/>
    <w:rsid w:val="00F65A69"/>
    <w:rsid w:val="00F6673B"/>
    <w:rsid w:val="00F669D1"/>
    <w:rsid w:val="00F70C8E"/>
    <w:rsid w:val="00F70F7F"/>
    <w:rsid w:val="00F72272"/>
    <w:rsid w:val="00F722BC"/>
    <w:rsid w:val="00F77695"/>
    <w:rsid w:val="00F80F98"/>
    <w:rsid w:val="00F81A39"/>
    <w:rsid w:val="00F83AAE"/>
    <w:rsid w:val="00F93981"/>
    <w:rsid w:val="00F93C0A"/>
    <w:rsid w:val="00F94938"/>
    <w:rsid w:val="00F94E1B"/>
    <w:rsid w:val="00F963CE"/>
    <w:rsid w:val="00F9787F"/>
    <w:rsid w:val="00F97F19"/>
    <w:rsid w:val="00FA03B3"/>
    <w:rsid w:val="00FA06B4"/>
    <w:rsid w:val="00FA099C"/>
    <w:rsid w:val="00FA73FA"/>
    <w:rsid w:val="00FB0E0C"/>
    <w:rsid w:val="00FB5510"/>
    <w:rsid w:val="00FB6DD7"/>
    <w:rsid w:val="00FC04DB"/>
    <w:rsid w:val="00FC205C"/>
    <w:rsid w:val="00FC27C8"/>
    <w:rsid w:val="00FC3078"/>
    <w:rsid w:val="00FC534A"/>
    <w:rsid w:val="00FC7AD5"/>
    <w:rsid w:val="00FD037F"/>
    <w:rsid w:val="00FD05F3"/>
    <w:rsid w:val="00FE37D3"/>
    <w:rsid w:val="00FE69FF"/>
    <w:rsid w:val="00FF1291"/>
    <w:rsid w:val="00FF3BDF"/>
    <w:rsid w:val="00FF692F"/>
    <w:rsid w:val="00FF75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4F3"/>
    <w:pPr>
      <w:spacing w:before="240" w:after="240" w:line="360" w:lineRule="auto"/>
      <w:jc w:val="both"/>
    </w:pPr>
    <w:rPr>
      <w:rFonts w:ascii="Arial" w:hAnsi="Arial"/>
      <w:sz w:val="24"/>
    </w:rPr>
  </w:style>
  <w:style w:type="paragraph" w:styleId="Heading1">
    <w:name w:val="heading 1"/>
    <w:basedOn w:val="Normal"/>
    <w:next w:val="Normal"/>
    <w:link w:val="Heading1Char"/>
    <w:uiPriority w:val="9"/>
    <w:qFormat/>
    <w:rsid w:val="00315CC1"/>
    <w:pPr>
      <w:keepNext/>
      <w:keepLines/>
      <w:outlineLvl w:val="0"/>
    </w:pPr>
    <w:rPr>
      <w:rFonts w:eastAsiaTheme="majorEastAsia" w:cstheme="majorBidi"/>
      <w:b/>
      <w:bCs/>
      <w:color w:val="17365F"/>
      <w:sz w:val="40"/>
      <w:szCs w:val="28"/>
    </w:rPr>
  </w:style>
  <w:style w:type="paragraph" w:styleId="Heading2">
    <w:name w:val="heading 2"/>
    <w:basedOn w:val="Normal"/>
    <w:next w:val="Normal"/>
    <w:link w:val="Heading2Char"/>
    <w:uiPriority w:val="9"/>
    <w:unhideWhenUsed/>
    <w:qFormat/>
    <w:rsid w:val="00ED3B52"/>
    <w:pPr>
      <w:keepNext/>
      <w:keepLines/>
      <w:spacing w:before="0" w:after="0"/>
      <w:jc w:val="left"/>
      <w:outlineLvl w:val="1"/>
    </w:pPr>
    <w:rPr>
      <w:rFonts w:ascii="Arial Narrow" w:eastAsiaTheme="majorEastAsia" w:hAnsi="Arial Narrow" w:cstheme="majorBidi"/>
      <w:b/>
      <w:bCs/>
      <w:color w:val="184897"/>
      <w:sz w:val="36"/>
      <w:szCs w:val="26"/>
    </w:rPr>
  </w:style>
  <w:style w:type="paragraph" w:styleId="Heading3">
    <w:name w:val="heading 3"/>
    <w:basedOn w:val="Normal"/>
    <w:next w:val="Normal"/>
    <w:link w:val="Heading3Char"/>
    <w:uiPriority w:val="9"/>
    <w:unhideWhenUsed/>
    <w:qFormat/>
    <w:rsid w:val="00190190"/>
    <w:pPr>
      <w:keepNext/>
      <w:keepLines/>
      <w:spacing w:before="360" w:after="51"/>
      <w:jc w:val="left"/>
      <w:outlineLvl w:val="2"/>
    </w:pPr>
    <w:rPr>
      <w:rFonts w:asciiTheme="majorHAnsi" w:eastAsiaTheme="majorEastAsia" w:hAnsiTheme="majorHAnsi" w:cstheme="majorBidi"/>
      <w:b/>
      <w:bCs/>
      <w:color w:val="17365F"/>
      <w:sz w:val="32"/>
    </w:rPr>
  </w:style>
  <w:style w:type="paragraph" w:styleId="Heading4">
    <w:name w:val="heading 4"/>
    <w:basedOn w:val="Normal"/>
    <w:next w:val="Normal"/>
    <w:link w:val="Heading4Char"/>
    <w:uiPriority w:val="9"/>
    <w:unhideWhenUsed/>
    <w:qFormat/>
    <w:rsid w:val="00CB0F62"/>
    <w:pPr>
      <w:keepNext/>
      <w:keepLines/>
      <w:spacing w:before="360" w:after="52"/>
      <w:outlineLvl w:val="3"/>
    </w:pPr>
    <w:rPr>
      <w:rFonts w:asciiTheme="majorHAnsi" w:eastAsiaTheme="majorEastAsia" w:hAnsiTheme="majorHAnsi" w:cstheme="majorBidi"/>
      <w:b/>
      <w:bCs/>
      <w:i/>
      <w:iCs/>
      <w:color w:val="002F60"/>
      <w:sz w:val="28"/>
    </w:rPr>
  </w:style>
  <w:style w:type="paragraph" w:styleId="Heading5">
    <w:name w:val="heading 5"/>
    <w:basedOn w:val="Normal"/>
    <w:next w:val="Normal"/>
    <w:link w:val="Heading5Char"/>
    <w:uiPriority w:val="9"/>
    <w:unhideWhenUsed/>
    <w:qFormat/>
    <w:rsid w:val="003A22A1"/>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4967A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FD9"/>
    <w:rPr>
      <w:rFonts w:ascii="Tahoma" w:hAnsi="Tahoma" w:cs="Tahoma"/>
      <w:sz w:val="16"/>
      <w:szCs w:val="16"/>
    </w:rPr>
  </w:style>
  <w:style w:type="paragraph" w:styleId="Title">
    <w:name w:val="Title"/>
    <w:basedOn w:val="Normal"/>
    <w:next w:val="Normal"/>
    <w:link w:val="TitleChar"/>
    <w:uiPriority w:val="10"/>
    <w:qFormat/>
    <w:rsid w:val="001F0E1D"/>
    <w:pPr>
      <w:spacing w:before="1560" w:after="300" w:line="240" w:lineRule="auto"/>
      <w:contextualSpacing/>
      <w:jc w:val="center"/>
    </w:pPr>
    <w:rPr>
      <w:rFonts w:asciiTheme="majorHAnsi" w:eastAsiaTheme="majorEastAsia" w:hAnsiTheme="majorHAnsi" w:cstheme="majorBidi"/>
      <w:b/>
      <w:color w:val="323E4F" w:themeColor="text2" w:themeShade="BF"/>
      <w:spacing w:val="5"/>
      <w:kern w:val="28"/>
      <w:sz w:val="52"/>
      <w:szCs w:val="52"/>
    </w:rPr>
  </w:style>
  <w:style w:type="character" w:customStyle="1" w:styleId="TitleChar">
    <w:name w:val="Title Char"/>
    <w:basedOn w:val="DefaultParagraphFont"/>
    <w:link w:val="Title"/>
    <w:uiPriority w:val="10"/>
    <w:rsid w:val="001F0E1D"/>
    <w:rPr>
      <w:rFonts w:asciiTheme="majorHAnsi" w:eastAsiaTheme="majorEastAsia" w:hAnsiTheme="majorHAnsi" w:cstheme="majorBidi"/>
      <w:b/>
      <w:color w:val="323E4F" w:themeColor="text2" w:themeShade="BF"/>
      <w:spacing w:val="5"/>
      <w:kern w:val="28"/>
      <w:sz w:val="52"/>
      <w:szCs w:val="52"/>
    </w:rPr>
  </w:style>
  <w:style w:type="paragraph" w:styleId="Subtitle">
    <w:name w:val="Subtitle"/>
    <w:basedOn w:val="Normal"/>
    <w:next w:val="Normal"/>
    <w:link w:val="SubtitleChar"/>
    <w:uiPriority w:val="11"/>
    <w:qFormat/>
    <w:rsid w:val="001F0E1D"/>
    <w:pPr>
      <w:numPr>
        <w:ilvl w:val="1"/>
      </w:numPr>
      <w:spacing w:before="720"/>
      <w:jc w:val="center"/>
    </w:pPr>
    <w:rPr>
      <w:rFonts w:asciiTheme="majorHAnsi" w:eastAsiaTheme="majorEastAsia" w:hAnsiTheme="majorHAnsi" w:cstheme="majorBidi"/>
      <w:b/>
      <w:iCs/>
      <w:color w:val="323E4F" w:themeColor="text2" w:themeShade="BF"/>
      <w:spacing w:val="15"/>
      <w:sz w:val="40"/>
      <w:szCs w:val="40"/>
    </w:rPr>
  </w:style>
  <w:style w:type="character" w:customStyle="1" w:styleId="SubtitleChar">
    <w:name w:val="Subtitle Char"/>
    <w:basedOn w:val="DefaultParagraphFont"/>
    <w:link w:val="Subtitle"/>
    <w:uiPriority w:val="11"/>
    <w:rsid w:val="001F0E1D"/>
    <w:rPr>
      <w:rFonts w:asciiTheme="majorHAnsi" w:eastAsiaTheme="majorEastAsia" w:hAnsiTheme="majorHAnsi" w:cstheme="majorBidi"/>
      <w:b/>
      <w:iCs/>
      <w:color w:val="323E4F" w:themeColor="text2" w:themeShade="BF"/>
      <w:spacing w:val="15"/>
      <w:sz w:val="40"/>
      <w:szCs w:val="40"/>
    </w:rPr>
  </w:style>
  <w:style w:type="paragraph" w:customStyle="1" w:styleId="TitlePagedate">
    <w:name w:val="TitlePage date"/>
    <w:basedOn w:val="Normal"/>
    <w:link w:val="TitlePagedateChar"/>
    <w:qFormat/>
    <w:rsid w:val="00753949"/>
    <w:pPr>
      <w:numPr>
        <w:ilvl w:val="1"/>
      </w:numPr>
      <w:spacing w:before="1920"/>
      <w:jc w:val="center"/>
    </w:pPr>
    <w:rPr>
      <w:rFonts w:asciiTheme="majorHAnsi" w:eastAsiaTheme="majorEastAsia" w:hAnsiTheme="majorHAnsi" w:cstheme="majorBidi"/>
      <w:b/>
      <w:iCs/>
      <w:color w:val="323E4F" w:themeColor="text2" w:themeShade="BF"/>
      <w:spacing w:val="15"/>
      <w:sz w:val="40"/>
      <w:szCs w:val="40"/>
    </w:rPr>
  </w:style>
  <w:style w:type="paragraph" w:customStyle="1" w:styleId="TitlePageStatement">
    <w:name w:val="Title Page Statement"/>
    <w:basedOn w:val="Normal"/>
    <w:link w:val="TitlePageStatementChar"/>
    <w:rsid w:val="00EC0938"/>
    <w:pPr>
      <w:spacing w:before="1680"/>
    </w:pPr>
    <w:rPr>
      <w:color w:val="000000" w:themeColor="text1"/>
    </w:rPr>
  </w:style>
  <w:style w:type="character" w:customStyle="1" w:styleId="TitlePagedateChar">
    <w:name w:val="TitlePage date Char"/>
    <w:basedOn w:val="DefaultParagraphFont"/>
    <w:link w:val="TitlePagedate"/>
    <w:rsid w:val="00753949"/>
    <w:rPr>
      <w:rFonts w:asciiTheme="majorHAnsi" w:eastAsiaTheme="majorEastAsia" w:hAnsiTheme="majorHAnsi" w:cstheme="majorBidi"/>
      <w:b/>
      <w:iCs/>
      <w:color w:val="323E4F" w:themeColor="text2" w:themeShade="BF"/>
      <w:spacing w:val="15"/>
      <w:sz w:val="40"/>
      <w:szCs w:val="40"/>
    </w:rPr>
  </w:style>
  <w:style w:type="character" w:customStyle="1" w:styleId="TitlePageStatementChar">
    <w:name w:val="Title Page Statement Char"/>
    <w:basedOn w:val="DefaultParagraphFont"/>
    <w:link w:val="TitlePageStatement"/>
    <w:rsid w:val="00EC0938"/>
    <w:rPr>
      <w:color w:val="000000" w:themeColor="text1"/>
    </w:rPr>
  </w:style>
  <w:style w:type="character" w:customStyle="1" w:styleId="Heading1Char">
    <w:name w:val="Heading 1 Char"/>
    <w:basedOn w:val="DefaultParagraphFont"/>
    <w:link w:val="Heading1"/>
    <w:uiPriority w:val="9"/>
    <w:rsid w:val="00315CC1"/>
    <w:rPr>
      <w:rFonts w:ascii="Arial" w:eastAsiaTheme="majorEastAsia" w:hAnsi="Arial" w:cstheme="majorBidi"/>
      <w:b/>
      <w:bCs/>
      <w:color w:val="17365F"/>
      <w:sz w:val="40"/>
      <w:szCs w:val="28"/>
    </w:rPr>
  </w:style>
  <w:style w:type="character" w:customStyle="1" w:styleId="Heading2Char">
    <w:name w:val="Heading 2 Char"/>
    <w:basedOn w:val="DefaultParagraphFont"/>
    <w:link w:val="Heading2"/>
    <w:uiPriority w:val="9"/>
    <w:rsid w:val="00ED3B52"/>
    <w:rPr>
      <w:rFonts w:ascii="Arial Narrow" w:eastAsiaTheme="majorEastAsia" w:hAnsi="Arial Narrow" w:cstheme="majorBidi"/>
      <w:b/>
      <w:bCs/>
      <w:color w:val="184897"/>
      <w:sz w:val="36"/>
      <w:szCs w:val="26"/>
    </w:rPr>
  </w:style>
  <w:style w:type="character" w:customStyle="1" w:styleId="Heading3Char">
    <w:name w:val="Heading 3 Char"/>
    <w:basedOn w:val="DefaultParagraphFont"/>
    <w:link w:val="Heading3"/>
    <w:uiPriority w:val="9"/>
    <w:rsid w:val="00190190"/>
    <w:rPr>
      <w:rFonts w:asciiTheme="majorHAnsi" w:eastAsiaTheme="majorEastAsia" w:hAnsiTheme="majorHAnsi" w:cstheme="majorBidi"/>
      <w:b/>
      <w:bCs/>
      <w:color w:val="17365F"/>
      <w:sz w:val="32"/>
    </w:rPr>
  </w:style>
  <w:style w:type="character" w:customStyle="1" w:styleId="Heading4Char">
    <w:name w:val="Heading 4 Char"/>
    <w:basedOn w:val="DefaultParagraphFont"/>
    <w:link w:val="Heading4"/>
    <w:uiPriority w:val="9"/>
    <w:rsid w:val="00CB0F62"/>
    <w:rPr>
      <w:rFonts w:asciiTheme="majorHAnsi" w:eastAsiaTheme="majorEastAsia" w:hAnsiTheme="majorHAnsi" w:cstheme="majorBidi"/>
      <w:b/>
      <w:bCs/>
      <w:i/>
      <w:iCs/>
      <w:color w:val="002F60"/>
      <w:sz w:val="28"/>
    </w:rPr>
  </w:style>
  <w:style w:type="table" w:styleId="TableGrid">
    <w:name w:val="Table Grid"/>
    <w:basedOn w:val="TableNormal"/>
    <w:uiPriority w:val="39"/>
    <w:rsid w:val="00764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15B2"/>
    <w:pPr>
      <w:keepNext/>
      <w:spacing w:before="120" w:after="120" w:line="240" w:lineRule="auto"/>
      <w:jc w:val="left"/>
    </w:pPr>
    <w:rPr>
      <w:rFonts w:asciiTheme="minorHAnsi" w:hAnsiTheme="minorHAnsi" w:cstheme="minorHAnsi"/>
      <w:b/>
      <w:bCs/>
      <w:color w:val="002F60"/>
      <w:sz w:val="22"/>
    </w:rPr>
  </w:style>
  <w:style w:type="paragraph" w:styleId="Header">
    <w:name w:val="header"/>
    <w:basedOn w:val="Normal"/>
    <w:link w:val="HeaderChar"/>
    <w:uiPriority w:val="99"/>
    <w:unhideWhenUsed/>
    <w:rsid w:val="00AE1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F7F"/>
  </w:style>
  <w:style w:type="paragraph" w:styleId="Footer">
    <w:name w:val="footer"/>
    <w:basedOn w:val="Normal"/>
    <w:link w:val="FooterChar"/>
    <w:unhideWhenUsed/>
    <w:rsid w:val="00AE1F7F"/>
    <w:pPr>
      <w:tabs>
        <w:tab w:val="center" w:pos="4513"/>
        <w:tab w:val="right" w:pos="9026"/>
      </w:tabs>
      <w:spacing w:after="0" w:line="240" w:lineRule="auto"/>
    </w:pPr>
  </w:style>
  <w:style w:type="character" w:customStyle="1" w:styleId="FooterChar">
    <w:name w:val="Footer Char"/>
    <w:basedOn w:val="DefaultParagraphFont"/>
    <w:link w:val="Footer"/>
    <w:rsid w:val="00AE1F7F"/>
  </w:style>
  <w:style w:type="paragraph" w:styleId="FootnoteText">
    <w:name w:val="footnote text"/>
    <w:basedOn w:val="Normal"/>
    <w:link w:val="FootnoteTextChar"/>
    <w:uiPriority w:val="99"/>
    <w:unhideWhenUsed/>
    <w:rsid w:val="001E2107"/>
    <w:pPr>
      <w:spacing w:before="60" w:after="60" w:line="240" w:lineRule="auto"/>
      <w:jc w:val="left"/>
    </w:pPr>
    <w:rPr>
      <w:sz w:val="16"/>
      <w:szCs w:val="20"/>
    </w:rPr>
  </w:style>
  <w:style w:type="character" w:customStyle="1" w:styleId="FootnoteTextChar">
    <w:name w:val="Footnote Text Char"/>
    <w:basedOn w:val="DefaultParagraphFont"/>
    <w:link w:val="FootnoteText"/>
    <w:uiPriority w:val="99"/>
    <w:rsid w:val="001E2107"/>
    <w:rPr>
      <w:rFonts w:ascii="Arial" w:hAnsi="Arial"/>
      <w:sz w:val="16"/>
      <w:szCs w:val="20"/>
    </w:rPr>
  </w:style>
  <w:style w:type="character" w:styleId="FootnoteReference">
    <w:name w:val="footnote reference"/>
    <w:basedOn w:val="DefaultParagraphFont"/>
    <w:uiPriority w:val="99"/>
    <w:unhideWhenUsed/>
    <w:rsid w:val="00AE1F7F"/>
    <w:rPr>
      <w:vertAlign w:val="superscript"/>
    </w:rPr>
  </w:style>
  <w:style w:type="paragraph" w:customStyle="1" w:styleId="BlockQuote">
    <w:name w:val="Block Quote"/>
    <w:basedOn w:val="Normal"/>
    <w:link w:val="BlockQuoteChar"/>
    <w:qFormat/>
    <w:rsid w:val="003358E4"/>
    <w:pPr>
      <w:pBdr>
        <w:bottom w:val="single" w:sz="4" w:space="4" w:color="5B9BD5" w:themeColor="accent1"/>
      </w:pBdr>
      <w:spacing w:before="200" w:after="280"/>
      <w:ind w:left="936" w:right="936"/>
    </w:pPr>
    <w:rPr>
      <w:b/>
      <w:bCs/>
      <w:i/>
      <w:iCs/>
      <w:lang w:val="en"/>
    </w:rPr>
  </w:style>
  <w:style w:type="paragraph" w:styleId="TOCHeading">
    <w:name w:val="TOC Heading"/>
    <w:basedOn w:val="Heading1"/>
    <w:next w:val="Normal"/>
    <w:uiPriority w:val="39"/>
    <w:semiHidden/>
    <w:unhideWhenUsed/>
    <w:qFormat/>
    <w:rsid w:val="003A22A1"/>
    <w:pPr>
      <w:jc w:val="left"/>
      <w:outlineLvl w:val="9"/>
    </w:pPr>
    <w:rPr>
      <w:color w:val="2E74B5" w:themeColor="accent1" w:themeShade="BF"/>
      <w:sz w:val="28"/>
      <w:lang w:val="en-US" w:eastAsia="ja-JP"/>
    </w:rPr>
  </w:style>
  <w:style w:type="character" w:customStyle="1" w:styleId="BlockQuoteChar">
    <w:name w:val="Block Quote Char"/>
    <w:basedOn w:val="DefaultParagraphFont"/>
    <w:link w:val="BlockQuote"/>
    <w:rsid w:val="003358E4"/>
    <w:rPr>
      <w:b/>
      <w:bCs/>
      <w:i/>
      <w:iCs/>
      <w:lang w:val="en"/>
    </w:rPr>
  </w:style>
  <w:style w:type="paragraph" w:styleId="TOC1">
    <w:name w:val="toc 1"/>
    <w:basedOn w:val="Normal"/>
    <w:next w:val="Normal"/>
    <w:autoRedefine/>
    <w:uiPriority w:val="39"/>
    <w:unhideWhenUsed/>
    <w:rsid w:val="003A22A1"/>
    <w:pPr>
      <w:spacing w:after="100"/>
    </w:pPr>
  </w:style>
  <w:style w:type="paragraph" w:styleId="TOC2">
    <w:name w:val="toc 2"/>
    <w:basedOn w:val="Normal"/>
    <w:next w:val="Normal"/>
    <w:autoRedefine/>
    <w:uiPriority w:val="39"/>
    <w:unhideWhenUsed/>
    <w:rsid w:val="003A22A1"/>
    <w:pPr>
      <w:spacing w:after="100"/>
      <w:ind w:left="220"/>
    </w:pPr>
  </w:style>
  <w:style w:type="paragraph" w:styleId="TOC3">
    <w:name w:val="toc 3"/>
    <w:basedOn w:val="Normal"/>
    <w:next w:val="Normal"/>
    <w:autoRedefine/>
    <w:uiPriority w:val="39"/>
    <w:unhideWhenUsed/>
    <w:rsid w:val="003A22A1"/>
    <w:pPr>
      <w:spacing w:after="100"/>
      <w:ind w:left="440"/>
    </w:pPr>
  </w:style>
  <w:style w:type="character" w:styleId="Hyperlink">
    <w:name w:val="Hyperlink"/>
    <w:basedOn w:val="DefaultParagraphFont"/>
    <w:uiPriority w:val="99"/>
    <w:unhideWhenUsed/>
    <w:rsid w:val="003A22A1"/>
    <w:rPr>
      <w:color w:val="0563C1" w:themeColor="hyperlink"/>
      <w:u w:val="single"/>
    </w:rPr>
  </w:style>
  <w:style w:type="character" w:customStyle="1" w:styleId="Heading5Char">
    <w:name w:val="Heading 5 Char"/>
    <w:basedOn w:val="DefaultParagraphFont"/>
    <w:link w:val="Heading5"/>
    <w:uiPriority w:val="9"/>
    <w:rsid w:val="003A22A1"/>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qFormat/>
    <w:rsid w:val="003A22A1"/>
    <w:pPr>
      <w:spacing w:after="120"/>
    </w:pPr>
  </w:style>
  <w:style w:type="character" w:customStyle="1" w:styleId="BodyTextChar">
    <w:name w:val="Body Text Char"/>
    <w:basedOn w:val="DefaultParagraphFont"/>
    <w:link w:val="BodyText"/>
    <w:uiPriority w:val="99"/>
    <w:rsid w:val="003A22A1"/>
  </w:style>
  <w:style w:type="paragraph" w:styleId="BodyTextIndent">
    <w:name w:val="Body Text Indent"/>
    <w:basedOn w:val="Normal"/>
    <w:link w:val="BodyTextIndentChar"/>
    <w:uiPriority w:val="99"/>
    <w:rsid w:val="00054A01"/>
    <w:pPr>
      <w:spacing w:after="120"/>
      <w:ind w:left="283"/>
    </w:pPr>
  </w:style>
  <w:style w:type="character" w:customStyle="1" w:styleId="BodyTextIndentChar">
    <w:name w:val="Body Text Indent Char"/>
    <w:basedOn w:val="DefaultParagraphFont"/>
    <w:link w:val="BodyTextIndent"/>
    <w:uiPriority w:val="99"/>
    <w:rsid w:val="00054A01"/>
  </w:style>
  <w:style w:type="paragraph" w:styleId="BlockText">
    <w:name w:val="Block Text"/>
    <w:basedOn w:val="Normal"/>
    <w:uiPriority w:val="99"/>
    <w:rsid w:val="00CC5D6C"/>
    <w:pPr>
      <w:ind w:left="284" w:right="284"/>
    </w:pPr>
    <w:rPr>
      <w:rFonts w:eastAsiaTheme="minorEastAsia"/>
      <w:i/>
      <w:iCs/>
    </w:rPr>
  </w:style>
  <w:style w:type="character" w:styleId="Emphasis">
    <w:name w:val="Emphasis"/>
    <w:basedOn w:val="DefaultParagraphFont"/>
    <w:uiPriority w:val="20"/>
    <w:qFormat/>
    <w:rsid w:val="00E2695F"/>
    <w:rPr>
      <w:i/>
      <w:iCs/>
    </w:rPr>
  </w:style>
  <w:style w:type="character" w:styleId="Strong">
    <w:name w:val="Strong"/>
    <w:basedOn w:val="DefaultParagraphFont"/>
    <w:uiPriority w:val="22"/>
    <w:qFormat/>
    <w:rsid w:val="00E2695F"/>
    <w:rPr>
      <w:b/>
      <w:bCs/>
    </w:rPr>
  </w:style>
  <w:style w:type="paragraph" w:styleId="ListBullet">
    <w:name w:val="List Bullet"/>
    <w:basedOn w:val="Normal"/>
    <w:link w:val="ListBulletChar"/>
    <w:uiPriority w:val="99"/>
    <w:rsid w:val="00337EEB"/>
    <w:pPr>
      <w:numPr>
        <w:numId w:val="1"/>
      </w:numPr>
      <w:contextualSpacing/>
    </w:pPr>
  </w:style>
  <w:style w:type="paragraph" w:styleId="ListNumber">
    <w:name w:val="List Number"/>
    <w:basedOn w:val="Normal"/>
    <w:uiPriority w:val="99"/>
    <w:rsid w:val="00916592"/>
    <w:pPr>
      <w:numPr>
        <w:numId w:val="2"/>
      </w:numPr>
      <w:contextualSpacing/>
    </w:pPr>
  </w:style>
  <w:style w:type="paragraph" w:styleId="ListParagraph">
    <w:name w:val="List Paragraph"/>
    <w:basedOn w:val="Normal"/>
    <w:qFormat/>
    <w:rsid w:val="00DA4FEF"/>
    <w:pPr>
      <w:ind w:left="720"/>
      <w:contextualSpacing/>
    </w:pPr>
  </w:style>
  <w:style w:type="paragraph" w:customStyle="1" w:styleId="Multilevelbullet">
    <w:name w:val="Multi level bullet"/>
    <w:basedOn w:val="ListBullet"/>
    <w:link w:val="MultilevelbulletChar"/>
    <w:qFormat/>
    <w:rsid w:val="009A5804"/>
    <w:pPr>
      <w:numPr>
        <w:numId w:val="3"/>
      </w:numPr>
    </w:pPr>
  </w:style>
  <w:style w:type="numbering" w:customStyle="1" w:styleId="Multi-levelnumbered0">
    <w:name w:val="Multi-level numbered"/>
    <w:uiPriority w:val="99"/>
    <w:rsid w:val="009A5804"/>
    <w:pPr>
      <w:numPr>
        <w:numId w:val="4"/>
      </w:numPr>
    </w:pPr>
  </w:style>
  <w:style w:type="character" w:customStyle="1" w:styleId="ListBulletChar">
    <w:name w:val="List Bullet Char"/>
    <w:basedOn w:val="DefaultParagraphFont"/>
    <w:link w:val="ListBullet"/>
    <w:uiPriority w:val="99"/>
    <w:rsid w:val="009A5804"/>
    <w:rPr>
      <w:rFonts w:ascii="Arial" w:hAnsi="Arial"/>
      <w:sz w:val="24"/>
    </w:rPr>
  </w:style>
  <w:style w:type="character" w:customStyle="1" w:styleId="MultilevelbulletChar">
    <w:name w:val="Multi level bullet Char"/>
    <w:basedOn w:val="ListBulletChar"/>
    <w:link w:val="Multilevelbullet"/>
    <w:rsid w:val="009A5804"/>
    <w:rPr>
      <w:rFonts w:ascii="Arial" w:hAnsi="Arial"/>
      <w:sz w:val="24"/>
    </w:rPr>
  </w:style>
  <w:style w:type="paragraph" w:customStyle="1" w:styleId="Multi-levelNumbered">
    <w:name w:val="Multi-level Numbered"/>
    <w:basedOn w:val="ListBullet"/>
    <w:link w:val="Multi-levelNumberedChar"/>
    <w:qFormat/>
    <w:rsid w:val="009A5804"/>
    <w:pPr>
      <w:numPr>
        <w:numId w:val="5"/>
      </w:numPr>
    </w:pPr>
  </w:style>
  <w:style w:type="character" w:customStyle="1" w:styleId="Multi-levelNumberedChar">
    <w:name w:val="Multi-level Numbered Char"/>
    <w:basedOn w:val="ListBulletChar"/>
    <w:link w:val="Multi-levelNumbered"/>
    <w:rsid w:val="009A5804"/>
    <w:rPr>
      <w:rFonts w:ascii="Arial" w:hAnsi="Arial"/>
      <w:sz w:val="24"/>
    </w:rPr>
  </w:style>
  <w:style w:type="character" w:styleId="CommentReference">
    <w:name w:val="annotation reference"/>
    <w:basedOn w:val="DefaultParagraphFont"/>
    <w:uiPriority w:val="99"/>
    <w:semiHidden/>
    <w:unhideWhenUsed/>
    <w:rsid w:val="00E92075"/>
    <w:rPr>
      <w:sz w:val="16"/>
      <w:szCs w:val="16"/>
    </w:rPr>
  </w:style>
  <w:style w:type="paragraph" w:styleId="CommentText">
    <w:name w:val="annotation text"/>
    <w:basedOn w:val="Normal"/>
    <w:link w:val="CommentTextChar"/>
    <w:uiPriority w:val="99"/>
    <w:semiHidden/>
    <w:unhideWhenUsed/>
    <w:rsid w:val="00E92075"/>
    <w:pPr>
      <w:spacing w:line="240" w:lineRule="auto"/>
    </w:pPr>
    <w:rPr>
      <w:sz w:val="20"/>
      <w:szCs w:val="20"/>
    </w:rPr>
  </w:style>
  <w:style w:type="character" w:customStyle="1" w:styleId="CommentTextChar">
    <w:name w:val="Comment Text Char"/>
    <w:basedOn w:val="DefaultParagraphFont"/>
    <w:link w:val="CommentText"/>
    <w:uiPriority w:val="99"/>
    <w:semiHidden/>
    <w:rsid w:val="00E9207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2075"/>
    <w:rPr>
      <w:b/>
      <w:bCs/>
    </w:rPr>
  </w:style>
  <w:style w:type="character" w:customStyle="1" w:styleId="CommentSubjectChar">
    <w:name w:val="Comment Subject Char"/>
    <w:basedOn w:val="CommentTextChar"/>
    <w:link w:val="CommentSubject"/>
    <w:uiPriority w:val="99"/>
    <w:semiHidden/>
    <w:rsid w:val="00E92075"/>
    <w:rPr>
      <w:rFonts w:ascii="Arial" w:hAnsi="Arial"/>
      <w:b/>
      <w:bCs/>
      <w:sz w:val="20"/>
      <w:szCs w:val="20"/>
    </w:rPr>
  </w:style>
  <w:style w:type="paragraph" w:styleId="NormalWeb">
    <w:name w:val="Normal (Web)"/>
    <w:basedOn w:val="Normal"/>
    <w:uiPriority w:val="99"/>
    <w:unhideWhenUsed/>
    <w:rsid w:val="00344BBF"/>
    <w:pPr>
      <w:spacing w:after="150" w:line="240" w:lineRule="auto"/>
    </w:pPr>
    <w:rPr>
      <w:rFonts w:ascii="Times New Roman" w:eastAsia="Times New Roman" w:hAnsi="Times New Roman" w:cs="Times New Roman"/>
      <w:szCs w:val="24"/>
      <w:lang w:eastAsia="en-AU"/>
    </w:rPr>
  </w:style>
  <w:style w:type="character" w:customStyle="1" w:styleId="Heading9Char">
    <w:name w:val="Heading 9 Char"/>
    <w:basedOn w:val="DefaultParagraphFont"/>
    <w:link w:val="Heading9"/>
    <w:uiPriority w:val="9"/>
    <w:semiHidden/>
    <w:rsid w:val="004967AF"/>
    <w:rPr>
      <w:rFonts w:asciiTheme="majorHAnsi" w:eastAsiaTheme="majorEastAsia" w:hAnsiTheme="majorHAnsi" w:cstheme="majorBidi"/>
      <w:i/>
      <w:iCs/>
      <w:color w:val="272727" w:themeColor="text1" w:themeTint="D8"/>
      <w:sz w:val="21"/>
      <w:szCs w:val="21"/>
    </w:rPr>
  </w:style>
  <w:style w:type="character" w:customStyle="1" w:styleId="FootnoteTextChar1">
    <w:name w:val="Footnote Text Char1"/>
    <w:basedOn w:val="DefaultParagraphFont"/>
    <w:uiPriority w:val="99"/>
    <w:semiHidden/>
    <w:rsid w:val="00002E96"/>
    <w:rPr>
      <w:sz w:val="20"/>
      <w:szCs w:val="20"/>
    </w:rPr>
  </w:style>
  <w:style w:type="character" w:customStyle="1" w:styleId="Heading1Char1">
    <w:name w:val="Heading 1 Char1"/>
    <w:basedOn w:val="DefaultParagraphFont"/>
    <w:uiPriority w:val="9"/>
    <w:rsid w:val="00002E96"/>
    <w:rPr>
      <w:rFonts w:asciiTheme="majorHAnsi" w:eastAsiaTheme="majorEastAsia" w:hAnsiTheme="majorHAnsi" w:cstheme="majorBidi"/>
      <w:color w:val="2E74B5" w:themeColor="accent1" w:themeShade="BF"/>
      <w:sz w:val="32"/>
      <w:szCs w:val="32"/>
    </w:rPr>
  </w:style>
  <w:style w:type="paragraph" w:customStyle="1" w:styleId="Default">
    <w:name w:val="Default"/>
    <w:rsid w:val="00002E96"/>
    <w:pPr>
      <w:autoSpaceDE w:val="0"/>
      <w:autoSpaceDN w:val="0"/>
      <w:adjustRightInd w:val="0"/>
      <w:spacing w:after="0" w:line="240" w:lineRule="auto"/>
    </w:pPr>
    <w:rPr>
      <w:rFonts w:ascii="Calibri" w:hAnsi="Calibri" w:cs="Calibri"/>
      <w:color w:val="000000"/>
      <w:sz w:val="24"/>
      <w:szCs w:val="24"/>
    </w:rPr>
  </w:style>
  <w:style w:type="character" w:customStyle="1" w:styleId="Heading2Char1">
    <w:name w:val="Heading 2 Char1"/>
    <w:basedOn w:val="DefaultParagraphFont"/>
    <w:uiPriority w:val="9"/>
    <w:rsid w:val="00002E96"/>
    <w:rPr>
      <w:rFonts w:asciiTheme="majorHAnsi" w:eastAsiaTheme="majorEastAsia" w:hAnsiTheme="majorHAnsi" w:cstheme="majorBidi"/>
      <w:color w:val="2E74B5" w:themeColor="accent1" w:themeShade="BF"/>
      <w:sz w:val="26"/>
      <w:szCs w:val="26"/>
    </w:rPr>
  </w:style>
  <w:style w:type="character" w:customStyle="1" w:styleId="CommentTextChar1">
    <w:name w:val="Comment Text Char1"/>
    <w:basedOn w:val="DefaultParagraphFont"/>
    <w:uiPriority w:val="99"/>
    <w:semiHidden/>
    <w:rsid w:val="00002E96"/>
    <w:rPr>
      <w:sz w:val="20"/>
      <w:szCs w:val="20"/>
    </w:rPr>
  </w:style>
  <w:style w:type="character" w:customStyle="1" w:styleId="FootnoteTextChar2">
    <w:name w:val="Footnote Text Char2"/>
    <w:basedOn w:val="DefaultParagraphFont"/>
    <w:uiPriority w:val="99"/>
    <w:semiHidden/>
    <w:rsid w:val="00B670A4"/>
    <w:rPr>
      <w:sz w:val="20"/>
      <w:szCs w:val="20"/>
    </w:rPr>
  </w:style>
  <w:style w:type="character" w:customStyle="1" w:styleId="Heading1Char2">
    <w:name w:val="Heading 1 Char2"/>
    <w:basedOn w:val="DefaultParagraphFont"/>
    <w:uiPriority w:val="9"/>
    <w:rsid w:val="00B670A4"/>
    <w:rPr>
      <w:rFonts w:asciiTheme="majorHAnsi" w:eastAsiaTheme="majorEastAsia" w:hAnsiTheme="majorHAnsi" w:cstheme="majorBidi"/>
      <w:color w:val="2E74B5" w:themeColor="accent1" w:themeShade="BF"/>
      <w:sz w:val="32"/>
      <w:szCs w:val="32"/>
    </w:rPr>
  </w:style>
  <w:style w:type="paragraph" w:customStyle="1" w:styleId="Default1">
    <w:name w:val="Default1"/>
    <w:rsid w:val="00B670A4"/>
    <w:pPr>
      <w:autoSpaceDE w:val="0"/>
      <w:autoSpaceDN w:val="0"/>
      <w:adjustRightInd w:val="0"/>
      <w:spacing w:after="0" w:line="240" w:lineRule="auto"/>
    </w:pPr>
    <w:rPr>
      <w:rFonts w:ascii="Calibri" w:hAnsi="Calibri" w:cs="Calibri"/>
      <w:color w:val="000000"/>
      <w:sz w:val="24"/>
      <w:szCs w:val="24"/>
    </w:rPr>
  </w:style>
  <w:style w:type="character" w:customStyle="1" w:styleId="Heading2Char2">
    <w:name w:val="Heading 2 Char2"/>
    <w:basedOn w:val="DefaultParagraphFont"/>
    <w:uiPriority w:val="9"/>
    <w:rsid w:val="00B670A4"/>
    <w:rPr>
      <w:rFonts w:asciiTheme="majorHAnsi" w:eastAsiaTheme="majorEastAsia" w:hAnsiTheme="majorHAnsi" w:cstheme="majorBidi"/>
      <w:color w:val="2E74B5" w:themeColor="accent1" w:themeShade="BF"/>
      <w:sz w:val="26"/>
      <w:szCs w:val="26"/>
    </w:rPr>
  </w:style>
  <w:style w:type="character" w:customStyle="1" w:styleId="CommentTextChar2">
    <w:name w:val="Comment Text Char2"/>
    <w:basedOn w:val="DefaultParagraphFont"/>
    <w:uiPriority w:val="99"/>
    <w:semiHidden/>
    <w:rsid w:val="00B670A4"/>
    <w:rPr>
      <w:sz w:val="20"/>
      <w:szCs w:val="20"/>
    </w:rPr>
  </w:style>
  <w:style w:type="character" w:styleId="FollowedHyperlink">
    <w:name w:val="FollowedHyperlink"/>
    <w:basedOn w:val="DefaultParagraphFont"/>
    <w:uiPriority w:val="99"/>
    <w:semiHidden/>
    <w:unhideWhenUsed/>
    <w:rsid w:val="009C2E99"/>
    <w:rPr>
      <w:color w:val="954F72" w:themeColor="followedHyperlink"/>
      <w:u w:val="single"/>
    </w:rPr>
  </w:style>
  <w:style w:type="paragraph" w:styleId="Revision">
    <w:name w:val="Revision"/>
    <w:hidden/>
    <w:uiPriority w:val="99"/>
    <w:semiHidden/>
    <w:rsid w:val="00C270CD"/>
    <w:pPr>
      <w:spacing w:after="0" w:line="240" w:lineRule="auto"/>
    </w:pPr>
    <w:rPr>
      <w:rFonts w:ascii="Arial" w:hAnsi="Arial"/>
    </w:rPr>
  </w:style>
  <w:style w:type="paragraph" w:styleId="EndnoteText">
    <w:name w:val="endnote text"/>
    <w:basedOn w:val="Normal"/>
    <w:link w:val="EndnoteTextChar"/>
    <w:uiPriority w:val="99"/>
    <w:semiHidden/>
    <w:unhideWhenUsed/>
    <w:rsid w:val="00497C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7C7F"/>
    <w:rPr>
      <w:rFonts w:ascii="Arial" w:hAnsi="Arial"/>
      <w:sz w:val="20"/>
      <w:szCs w:val="20"/>
    </w:rPr>
  </w:style>
  <w:style w:type="character" w:styleId="EndnoteReference">
    <w:name w:val="endnote reference"/>
    <w:basedOn w:val="DefaultParagraphFont"/>
    <w:uiPriority w:val="99"/>
    <w:semiHidden/>
    <w:unhideWhenUsed/>
    <w:rsid w:val="00497C7F"/>
    <w:rPr>
      <w:vertAlign w:val="superscript"/>
    </w:rPr>
  </w:style>
  <w:style w:type="paragraph" w:customStyle="1" w:styleId="Heading-Legal">
    <w:name w:val="Heading-Legal"/>
    <w:basedOn w:val="Normal"/>
    <w:link w:val="Heading-LegalChar"/>
    <w:rsid w:val="00375CD3"/>
    <w:pPr>
      <w:keepLines/>
      <w:pBdr>
        <w:top w:val="single" w:sz="24" w:space="1" w:color="17365F"/>
        <w:bottom w:val="single" w:sz="24" w:space="1" w:color="17365F"/>
      </w:pBdr>
      <w:shd w:val="clear" w:color="auto" w:fill="17365F"/>
      <w:spacing w:after="120"/>
      <w:ind w:firstLine="284"/>
    </w:pPr>
    <w:rPr>
      <w:rFonts w:eastAsia="Times New Roman" w:cs="Times"/>
      <w:b/>
      <w:color w:val="FFFFFF"/>
      <w:szCs w:val="24"/>
    </w:rPr>
  </w:style>
  <w:style w:type="character" w:customStyle="1" w:styleId="Heading-LegalChar">
    <w:name w:val="Heading-Legal Char"/>
    <w:basedOn w:val="DefaultParagraphFont"/>
    <w:link w:val="Heading-Legal"/>
    <w:rsid w:val="00375CD3"/>
    <w:rPr>
      <w:rFonts w:ascii="Arial" w:eastAsia="Times New Roman" w:hAnsi="Arial" w:cs="Times"/>
      <w:b/>
      <w:color w:val="FFFFFF"/>
      <w:sz w:val="24"/>
      <w:szCs w:val="24"/>
      <w:shd w:val="clear" w:color="auto" w:fill="17365F"/>
    </w:rPr>
  </w:style>
  <w:style w:type="paragraph" w:customStyle="1" w:styleId="TableBody">
    <w:name w:val="Table Body"/>
    <w:basedOn w:val="BodyText"/>
    <w:qFormat/>
    <w:rsid w:val="00243B58"/>
    <w:pPr>
      <w:spacing w:before="60" w:after="60" w:line="240" w:lineRule="auto"/>
      <w:jc w:val="left"/>
    </w:pPr>
    <w:rPr>
      <w:rFonts w:eastAsia="Times New Roman" w:cs="Times New Roman"/>
      <w:szCs w:val="24"/>
      <w:lang w:eastAsia="en-AU"/>
    </w:rPr>
  </w:style>
  <w:style w:type="paragraph" w:customStyle="1" w:styleId="TableHeading">
    <w:name w:val="Table Heading"/>
    <w:basedOn w:val="TableBody"/>
    <w:autoRedefine/>
    <w:qFormat/>
    <w:rsid w:val="00315CC1"/>
    <w:pPr>
      <w:keepNext/>
    </w:pPr>
    <w:rPr>
      <w:b/>
      <w:color w:val="FFFFFF" w:themeColor="background1"/>
    </w:rPr>
  </w:style>
  <w:style w:type="paragraph" w:styleId="ListBullet2">
    <w:name w:val="List Bullet 2"/>
    <w:basedOn w:val="Normal"/>
    <w:uiPriority w:val="99"/>
    <w:semiHidden/>
    <w:unhideWhenUsed/>
    <w:rsid w:val="008B202B"/>
    <w:pPr>
      <w:tabs>
        <w:tab w:val="num" w:pos="643"/>
      </w:tabs>
      <w:ind w:left="643" w:hanging="360"/>
      <w:contextualSpacing/>
    </w:pPr>
  </w:style>
  <w:style w:type="paragraph" w:customStyle="1" w:styleId="ListBullet20">
    <w:name w:val="List Bullet2"/>
    <w:basedOn w:val="ListBullet2"/>
    <w:qFormat/>
    <w:rsid w:val="00CF14CC"/>
    <w:pPr>
      <w:spacing w:before="0" w:after="0"/>
      <w:ind w:left="851" w:hanging="284"/>
    </w:pPr>
  </w:style>
  <w:style w:type="character" w:customStyle="1" w:styleId="UnresolvedMention1">
    <w:name w:val="Unresolved Mention1"/>
    <w:basedOn w:val="DefaultParagraphFont"/>
    <w:uiPriority w:val="99"/>
    <w:semiHidden/>
    <w:unhideWhenUsed/>
    <w:rsid w:val="00F70C8E"/>
    <w:rPr>
      <w:color w:val="605E5C"/>
      <w:shd w:val="clear" w:color="auto" w:fill="E1DFDD"/>
    </w:rPr>
  </w:style>
  <w:style w:type="character" w:customStyle="1" w:styleId="UnresolvedMention2">
    <w:name w:val="Unresolved Mention2"/>
    <w:basedOn w:val="DefaultParagraphFont"/>
    <w:uiPriority w:val="99"/>
    <w:semiHidden/>
    <w:unhideWhenUsed/>
    <w:rsid w:val="00EF022B"/>
    <w:rPr>
      <w:color w:val="605E5C"/>
      <w:shd w:val="clear" w:color="auto" w:fill="E1DFDD"/>
    </w:rPr>
  </w:style>
  <w:style w:type="paragraph" w:customStyle="1" w:styleId="xmsonormal">
    <w:name w:val="x_msonormal"/>
    <w:basedOn w:val="Normal"/>
    <w:rsid w:val="00E609A9"/>
    <w:pPr>
      <w:spacing w:before="0" w:after="0" w:line="240" w:lineRule="auto"/>
      <w:jc w:val="left"/>
    </w:pPr>
    <w:rPr>
      <w:rFonts w:ascii="Calibri" w:hAnsi="Calibri" w:cs="Calibr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036290">
      <w:bodyDiv w:val="1"/>
      <w:marLeft w:val="0"/>
      <w:marRight w:val="0"/>
      <w:marTop w:val="0"/>
      <w:marBottom w:val="0"/>
      <w:divBdr>
        <w:top w:val="none" w:sz="0" w:space="0" w:color="auto"/>
        <w:left w:val="none" w:sz="0" w:space="0" w:color="auto"/>
        <w:bottom w:val="none" w:sz="0" w:space="0" w:color="auto"/>
        <w:right w:val="none" w:sz="0" w:space="0" w:color="auto"/>
      </w:divBdr>
    </w:div>
    <w:div w:id="408313171">
      <w:bodyDiv w:val="1"/>
      <w:marLeft w:val="0"/>
      <w:marRight w:val="0"/>
      <w:marTop w:val="0"/>
      <w:marBottom w:val="0"/>
      <w:divBdr>
        <w:top w:val="none" w:sz="0" w:space="0" w:color="auto"/>
        <w:left w:val="none" w:sz="0" w:space="0" w:color="auto"/>
        <w:bottom w:val="none" w:sz="0" w:space="0" w:color="auto"/>
        <w:right w:val="none" w:sz="0" w:space="0" w:color="auto"/>
      </w:divBdr>
    </w:div>
    <w:div w:id="409469313">
      <w:bodyDiv w:val="1"/>
      <w:marLeft w:val="0"/>
      <w:marRight w:val="0"/>
      <w:marTop w:val="0"/>
      <w:marBottom w:val="0"/>
      <w:divBdr>
        <w:top w:val="none" w:sz="0" w:space="0" w:color="auto"/>
        <w:left w:val="none" w:sz="0" w:space="0" w:color="auto"/>
        <w:bottom w:val="none" w:sz="0" w:space="0" w:color="auto"/>
        <w:right w:val="none" w:sz="0" w:space="0" w:color="auto"/>
      </w:divBdr>
    </w:div>
    <w:div w:id="662701293">
      <w:bodyDiv w:val="1"/>
      <w:marLeft w:val="0"/>
      <w:marRight w:val="0"/>
      <w:marTop w:val="0"/>
      <w:marBottom w:val="0"/>
      <w:divBdr>
        <w:top w:val="none" w:sz="0" w:space="0" w:color="auto"/>
        <w:left w:val="none" w:sz="0" w:space="0" w:color="auto"/>
        <w:bottom w:val="none" w:sz="0" w:space="0" w:color="auto"/>
        <w:right w:val="none" w:sz="0" w:space="0" w:color="auto"/>
      </w:divBdr>
    </w:div>
    <w:div w:id="692877533">
      <w:bodyDiv w:val="1"/>
      <w:marLeft w:val="0"/>
      <w:marRight w:val="0"/>
      <w:marTop w:val="0"/>
      <w:marBottom w:val="0"/>
      <w:divBdr>
        <w:top w:val="none" w:sz="0" w:space="0" w:color="auto"/>
        <w:left w:val="none" w:sz="0" w:space="0" w:color="auto"/>
        <w:bottom w:val="none" w:sz="0" w:space="0" w:color="auto"/>
        <w:right w:val="none" w:sz="0" w:space="0" w:color="auto"/>
      </w:divBdr>
    </w:div>
    <w:div w:id="848713271">
      <w:bodyDiv w:val="1"/>
      <w:marLeft w:val="0"/>
      <w:marRight w:val="0"/>
      <w:marTop w:val="0"/>
      <w:marBottom w:val="0"/>
      <w:divBdr>
        <w:top w:val="none" w:sz="0" w:space="0" w:color="auto"/>
        <w:left w:val="none" w:sz="0" w:space="0" w:color="auto"/>
        <w:bottom w:val="none" w:sz="0" w:space="0" w:color="auto"/>
        <w:right w:val="none" w:sz="0" w:space="0" w:color="auto"/>
      </w:divBdr>
    </w:div>
    <w:div w:id="979383534">
      <w:bodyDiv w:val="1"/>
      <w:marLeft w:val="0"/>
      <w:marRight w:val="0"/>
      <w:marTop w:val="0"/>
      <w:marBottom w:val="0"/>
      <w:divBdr>
        <w:top w:val="none" w:sz="0" w:space="0" w:color="auto"/>
        <w:left w:val="none" w:sz="0" w:space="0" w:color="auto"/>
        <w:bottom w:val="none" w:sz="0" w:space="0" w:color="auto"/>
        <w:right w:val="none" w:sz="0" w:space="0" w:color="auto"/>
      </w:divBdr>
    </w:div>
    <w:div w:id="994720969">
      <w:bodyDiv w:val="1"/>
      <w:marLeft w:val="0"/>
      <w:marRight w:val="0"/>
      <w:marTop w:val="0"/>
      <w:marBottom w:val="0"/>
      <w:divBdr>
        <w:top w:val="none" w:sz="0" w:space="0" w:color="auto"/>
        <w:left w:val="none" w:sz="0" w:space="0" w:color="auto"/>
        <w:bottom w:val="none" w:sz="0" w:space="0" w:color="auto"/>
        <w:right w:val="none" w:sz="0" w:space="0" w:color="auto"/>
      </w:divBdr>
    </w:div>
    <w:div w:id="1025137072">
      <w:bodyDiv w:val="1"/>
      <w:marLeft w:val="0"/>
      <w:marRight w:val="0"/>
      <w:marTop w:val="0"/>
      <w:marBottom w:val="0"/>
      <w:divBdr>
        <w:top w:val="none" w:sz="0" w:space="0" w:color="auto"/>
        <w:left w:val="none" w:sz="0" w:space="0" w:color="auto"/>
        <w:bottom w:val="none" w:sz="0" w:space="0" w:color="auto"/>
        <w:right w:val="none" w:sz="0" w:space="0" w:color="auto"/>
      </w:divBdr>
    </w:div>
    <w:div w:id="1025784951">
      <w:bodyDiv w:val="1"/>
      <w:marLeft w:val="0"/>
      <w:marRight w:val="0"/>
      <w:marTop w:val="0"/>
      <w:marBottom w:val="0"/>
      <w:divBdr>
        <w:top w:val="none" w:sz="0" w:space="0" w:color="auto"/>
        <w:left w:val="none" w:sz="0" w:space="0" w:color="auto"/>
        <w:bottom w:val="none" w:sz="0" w:space="0" w:color="auto"/>
        <w:right w:val="none" w:sz="0" w:space="0" w:color="auto"/>
      </w:divBdr>
    </w:div>
    <w:div w:id="1241132679">
      <w:bodyDiv w:val="1"/>
      <w:marLeft w:val="0"/>
      <w:marRight w:val="0"/>
      <w:marTop w:val="0"/>
      <w:marBottom w:val="0"/>
      <w:divBdr>
        <w:top w:val="none" w:sz="0" w:space="0" w:color="auto"/>
        <w:left w:val="none" w:sz="0" w:space="0" w:color="auto"/>
        <w:bottom w:val="none" w:sz="0" w:space="0" w:color="auto"/>
        <w:right w:val="none" w:sz="0" w:space="0" w:color="auto"/>
      </w:divBdr>
    </w:div>
    <w:div w:id="1271425943">
      <w:bodyDiv w:val="1"/>
      <w:marLeft w:val="0"/>
      <w:marRight w:val="0"/>
      <w:marTop w:val="0"/>
      <w:marBottom w:val="0"/>
      <w:divBdr>
        <w:top w:val="none" w:sz="0" w:space="0" w:color="auto"/>
        <w:left w:val="none" w:sz="0" w:space="0" w:color="auto"/>
        <w:bottom w:val="none" w:sz="0" w:space="0" w:color="auto"/>
        <w:right w:val="none" w:sz="0" w:space="0" w:color="auto"/>
      </w:divBdr>
    </w:div>
    <w:div w:id="1642691219">
      <w:bodyDiv w:val="1"/>
      <w:marLeft w:val="0"/>
      <w:marRight w:val="0"/>
      <w:marTop w:val="0"/>
      <w:marBottom w:val="0"/>
      <w:divBdr>
        <w:top w:val="none" w:sz="0" w:space="0" w:color="auto"/>
        <w:left w:val="none" w:sz="0" w:space="0" w:color="auto"/>
        <w:bottom w:val="none" w:sz="0" w:space="0" w:color="auto"/>
        <w:right w:val="none" w:sz="0" w:space="0" w:color="auto"/>
      </w:divBdr>
    </w:div>
    <w:div w:id="1788888170">
      <w:bodyDiv w:val="1"/>
      <w:marLeft w:val="0"/>
      <w:marRight w:val="0"/>
      <w:marTop w:val="0"/>
      <w:marBottom w:val="0"/>
      <w:divBdr>
        <w:top w:val="none" w:sz="0" w:space="0" w:color="auto"/>
        <w:left w:val="none" w:sz="0" w:space="0" w:color="auto"/>
        <w:bottom w:val="none" w:sz="0" w:space="0" w:color="auto"/>
        <w:right w:val="none" w:sz="0" w:space="0" w:color="auto"/>
      </w:divBdr>
    </w:div>
    <w:div w:id="1930188783">
      <w:bodyDiv w:val="1"/>
      <w:marLeft w:val="0"/>
      <w:marRight w:val="0"/>
      <w:marTop w:val="0"/>
      <w:marBottom w:val="0"/>
      <w:divBdr>
        <w:top w:val="none" w:sz="0" w:space="0" w:color="auto"/>
        <w:left w:val="none" w:sz="0" w:space="0" w:color="auto"/>
        <w:bottom w:val="none" w:sz="0" w:space="0" w:color="auto"/>
        <w:right w:val="none" w:sz="0" w:space="0" w:color="auto"/>
      </w:divBdr>
    </w:div>
    <w:div w:id="2102751449">
      <w:bodyDiv w:val="1"/>
      <w:marLeft w:val="0"/>
      <w:marRight w:val="0"/>
      <w:marTop w:val="0"/>
      <w:marBottom w:val="0"/>
      <w:divBdr>
        <w:top w:val="none" w:sz="0" w:space="0" w:color="auto"/>
        <w:left w:val="none" w:sz="0" w:space="0" w:color="auto"/>
        <w:bottom w:val="none" w:sz="0" w:space="0" w:color="auto"/>
        <w:right w:val="none" w:sz="0" w:space="0" w:color="auto"/>
      </w:divBdr>
    </w:div>
    <w:div w:id="2125153955">
      <w:bodyDiv w:val="1"/>
      <w:marLeft w:val="0"/>
      <w:marRight w:val="0"/>
      <w:marTop w:val="0"/>
      <w:marBottom w:val="0"/>
      <w:divBdr>
        <w:top w:val="none" w:sz="0" w:space="0" w:color="auto"/>
        <w:left w:val="none" w:sz="0" w:space="0" w:color="auto"/>
        <w:bottom w:val="none" w:sz="0" w:space="0" w:color="auto"/>
        <w:right w:val="none" w:sz="0" w:space="0" w:color="auto"/>
      </w:divBdr>
    </w:div>
    <w:div w:id="21401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reativecommons.org/licenses/by/4.0" TargetMode="External"/><Relationship Id="rId18" Type="http://schemas.openxmlformats.org/officeDocument/2006/relationships/diagramData" Target="diagrams/data1.xml"/><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yperlink" Target="https://www.abcb.gov.au/" TargetMode="External"/><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www.abcb.gov.au/" TargetMode="External"/><Relationship Id="rId23" Type="http://schemas.openxmlformats.org/officeDocument/2006/relationships/diagramData" Target="diagrams/data2.xml"/><Relationship Id="rId28" Type="http://schemas.openxmlformats.org/officeDocument/2006/relationships/fontTable" Target="fontTable.xml"/><Relationship Id="rId10" Type="http://schemas.openxmlformats.org/officeDocument/2006/relationships/hyperlink" Target="http://www.abcb.gov.au/" TargetMode="Externa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ncc@abcb.gov.au" TargetMode="External"/><Relationship Id="rId22" Type="http://schemas.microsoft.com/office/2007/relationships/diagramDrawing" Target="diagrams/drawing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commerce.wa.gov.au/sites/default/files/atoms/files/ib_89_0.pdf" TargetMode="External"/><Relationship Id="rId13" Type="http://schemas.openxmlformats.org/officeDocument/2006/relationships/hyperlink" Target="https://www.commerce.wa.gov.au/sites/default/files/atoms/files/final_report_security_of_payment_reform_in_the_wa_building_and_construction_industry.pdf" TargetMode="External"/><Relationship Id="rId3" Type="http://schemas.openxmlformats.org/officeDocument/2006/relationships/hyperlink" Target="https://www.abcb.gov.au/Resources/Publications/Education-Training/Development-of-Performance-Solutions" TargetMode="External"/><Relationship Id="rId7" Type="http://schemas.openxmlformats.org/officeDocument/2006/relationships/hyperlink" Target="https://www.planning.vic.gov.au/__data/assets/pdf_file/0019/426034/DELWP0124_Victorian_Cladding_Taskforce_Final_Report_July_2019_v9.pdf" TargetMode="External"/><Relationship Id="rId12" Type="http://schemas.openxmlformats.org/officeDocument/2006/relationships/hyperlink" Target="https://www.nfpa.org/-/media/Files/News-and-Research/Fire-statistics-and-reports/Building-and-life-safety/rffiresafetygreenbuildings-(2).ashx?la=en" TargetMode="External"/><Relationship Id="rId2" Type="http://schemas.openxmlformats.org/officeDocument/2006/relationships/hyperlink" Target="https://www.industry.gov.au/sites/default/files/2019-07/bmf-communique-18-july-2019.pdf" TargetMode="External"/><Relationship Id="rId1" Type="http://schemas.openxmlformats.org/officeDocument/2006/relationships/hyperlink" Target="https://www.abcb.gov.au/Resources/Publications/Education-Training/Development-of-Performance-Solutions" TargetMode="External"/><Relationship Id="rId6" Type="http://schemas.openxmlformats.org/officeDocument/2006/relationships/hyperlink" Target="https://www.commerce.wa.gov.au/sites/default/files/atoms/files/ib_102_performance_solutions_for_housing_projects.pdf" TargetMode="External"/><Relationship Id="rId11" Type="http://schemas.openxmlformats.org/officeDocument/2006/relationships/hyperlink" Target="http://www8.austlii.edu.au/au/act/" TargetMode="External"/><Relationship Id="rId5" Type="http://schemas.openxmlformats.org/officeDocument/2006/relationships/hyperlink" Target="http://www.legislation.vic.gov.au/domino/Web_Notes/LDMS/LTObject_Store/ltobjst10.nsf/DDE300B846EED9C7CA257616000A3571/2E7A3D35A8D6F9C6CA2582C600815A1B/$FILE/18-38sra004%20authorised.pdf" TargetMode="External"/><Relationship Id="rId15" Type="http://schemas.openxmlformats.org/officeDocument/2006/relationships/hyperlink" Target="https://www.abc.net.au/news/2020-04-16/mascot-towers-repair-bill-from-cracks-hits-53-million-dollars/12153368%20Accessed%2024%20April%202020" TargetMode="External"/><Relationship Id="rId10" Type="http://schemas.openxmlformats.org/officeDocument/2006/relationships/hyperlink" Target="https://www.buildingappeals.vic.gov.au/decisions-and-statistics" TargetMode="External"/><Relationship Id="rId4" Type="http://schemas.openxmlformats.org/officeDocument/2006/relationships/hyperlink" Target="https://www.vba.vic.gov.au/__data/assets/pdf_file/0007/45844/Industry-Guide-Performance-Solutions.pdf" TargetMode="External"/><Relationship Id="rId9" Type="http://schemas.openxmlformats.org/officeDocument/2006/relationships/hyperlink" Target="http://www.lec.justice.nsw.gov.au/" TargetMode="External"/><Relationship Id="rId14" Type="http://schemas.openxmlformats.org/officeDocument/2006/relationships/hyperlink" Target="https://www.afr.com/property/commercial/federal-government-must-lead-on-building-insurance-crisis-pca-says-20190628-p5227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rod.protected.ind\user\user02\SKeating\0.1%20Economic%20Impact%20Analysis\NCC%202019%20AMDT1\IFEG\Copy%20of%20export-2019-09-27-17-07-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rod.protected.ind\user\user02\SKeating\0.1%20Economic%20Impact%20Analysis\NCC%202019%20AMDT1\IFEG\Copy%20of%20export-2019-09-27-17-07-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rod.protected.ind\user\user02\SKeating\0.1%20Economic%20Impact%20Analysis\NCC%202019%20AMDT1\IFEG\Copy%20of%20export-2019-09-27-17-07-0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baseline="0">
                <a:effectLst/>
              </a:rPr>
              <a:t>If stakeholders were required to be consulted in the development of the performance-based design brief and acceptance criteria in all cases, how would this affect the following:</a:t>
            </a:r>
            <a:r>
              <a:rPr lang="en-AU" baseline="0"/>
              <a:t> </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'Consultation with Stakeholders'!$A$3</c:f>
              <c:strCache>
                <c:ptCount val="1"/>
                <c:pt idx="0">
                  <c:v>Increase/Improve (positive)</c:v>
                </c:pt>
              </c:strCache>
            </c:strRef>
          </c:tx>
          <c:spPr>
            <a:solidFill>
              <a:schemeClr val="accent1">
                <a:shade val="65000"/>
              </a:schemeClr>
            </a:solidFill>
            <a:ln>
              <a:noFill/>
            </a:ln>
            <a:effectLst/>
          </c:spPr>
          <c:invertIfNegative val="0"/>
          <c:cat>
            <c:strRef>
              <c:f>'Consultation with Stakeholders'!$B$2:$G$2</c:f>
              <c:strCache>
                <c:ptCount val="6"/>
                <c:pt idx="0">
                  <c:v>Cost effectiveness</c:v>
                </c:pt>
                <c:pt idx="1">
                  <c:v>Timeframes</c:v>
                </c:pt>
                <c:pt idx="2">
                  <c:v>Building Solutions</c:v>
                </c:pt>
                <c:pt idx="3">
                  <c:v>Building Outcomes</c:v>
                </c:pt>
                <c:pt idx="4">
                  <c:v>Use of Performance Based Design</c:v>
                </c:pt>
                <c:pt idx="5">
                  <c:v>Insurance Premiums</c:v>
                </c:pt>
              </c:strCache>
            </c:strRef>
          </c:cat>
          <c:val>
            <c:numRef>
              <c:f>'Consultation with Stakeholders'!$B$3:$G$3</c:f>
              <c:numCache>
                <c:formatCode>General</c:formatCode>
                <c:ptCount val="6"/>
                <c:pt idx="0">
                  <c:v>68</c:v>
                </c:pt>
                <c:pt idx="1">
                  <c:v>54</c:v>
                </c:pt>
                <c:pt idx="2">
                  <c:v>100</c:v>
                </c:pt>
                <c:pt idx="3">
                  <c:v>99</c:v>
                </c:pt>
                <c:pt idx="4">
                  <c:v>81</c:v>
                </c:pt>
                <c:pt idx="5">
                  <c:v>44</c:v>
                </c:pt>
              </c:numCache>
            </c:numRef>
          </c:val>
          <c:extLst>
            <c:ext xmlns:c16="http://schemas.microsoft.com/office/drawing/2014/chart" uri="{C3380CC4-5D6E-409C-BE32-E72D297353CC}">
              <c16:uniqueId val="{00000000-D1D4-4900-A7E2-C4117C568766}"/>
            </c:ext>
          </c:extLst>
        </c:ser>
        <c:ser>
          <c:idx val="1"/>
          <c:order val="1"/>
          <c:tx>
            <c:strRef>
              <c:f>'Consultation with Stakeholders'!$A$4</c:f>
              <c:strCache>
                <c:ptCount val="1"/>
                <c:pt idx="0">
                  <c:v>Stay the same (neutral)</c:v>
                </c:pt>
              </c:strCache>
            </c:strRef>
          </c:tx>
          <c:spPr>
            <a:solidFill>
              <a:schemeClr val="accent1"/>
            </a:solidFill>
            <a:ln>
              <a:noFill/>
            </a:ln>
            <a:effectLst/>
          </c:spPr>
          <c:invertIfNegative val="0"/>
          <c:cat>
            <c:strRef>
              <c:f>'Consultation with Stakeholders'!$B$2:$G$2</c:f>
              <c:strCache>
                <c:ptCount val="6"/>
                <c:pt idx="0">
                  <c:v>Cost effectiveness</c:v>
                </c:pt>
                <c:pt idx="1">
                  <c:v>Timeframes</c:v>
                </c:pt>
                <c:pt idx="2">
                  <c:v>Building Solutions</c:v>
                </c:pt>
                <c:pt idx="3">
                  <c:v>Building Outcomes</c:v>
                </c:pt>
                <c:pt idx="4">
                  <c:v>Use of Performance Based Design</c:v>
                </c:pt>
                <c:pt idx="5">
                  <c:v>Insurance Premiums</c:v>
                </c:pt>
              </c:strCache>
            </c:strRef>
          </c:cat>
          <c:val>
            <c:numRef>
              <c:f>'Consultation with Stakeholders'!$B$4:$G$4</c:f>
              <c:numCache>
                <c:formatCode>General</c:formatCode>
                <c:ptCount val="6"/>
                <c:pt idx="0">
                  <c:v>49</c:v>
                </c:pt>
                <c:pt idx="1">
                  <c:v>38</c:v>
                </c:pt>
                <c:pt idx="2">
                  <c:v>44</c:v>
                </c:pt>
                <c:pt idx="3">
                  <c:v>47</c:v>
                </c:pt>
                <c:pt idx="4">
                  <c:v>50</c:v>
                </c:pt>
                <c:pt idx="5">
                  <c:v>92</c:v>
                </c:pt>
              </c:numCache>
            </c:numRef>
          </c:val>
          <c:extLst>
            <c:ext xmlns:c16="http://schemas.microsoft.com/office/drawing/2014/chart" uri="{C3380CC4-5D6E-409C-BE32-E72D297353CC}">
              <c16:uniqueId val="{00000001-D1D4-4900-A7E2-C4117C568766}"/>
            </c:ext>
          </c:extLst>
        </c:ser>
        <c:ser>
          <c:idx val="2"/>
          <c:order val="2"/>
          <c:tx>
            <c:strRef>
              <c:f>'Consultation with Stakeholders'!$A$5</c:f>
              <c:strCache>
                <c:ptCount val="1"/>
                <c:pt idx="0">
                  <c:v>Decline/Decrease (negative)</c:v>
                </c:pt>
              </c:strCache>
            </c:strRef>
          </c:tx>
          <c:spPr>
            <a:solidFill>
              <a:schemeClr val="accent1">
                <a:tint val="65000"/>
              </a:schemeClr>
            </a:solidFill>
            <a:ln>
              <a:noFill/>
            </a:ln>
            <a:effectLst/>
          </c:spPr>
          <c:invertIfNegative val="0"/>
          <c:cat>
            <c:strRef>
              <c:f>'Consultation with Stakeholders'!$B$2:$G$2</c:f>
              <c:strCache>
                <c:ptCount val="6"/>
                <c:pt idx="0">
                  <c:v>Cost effectiveness</c:v>
                </c:pt>
                <c:pt idx="1">
                  <c:v>Timeframes</c:v>
                </c:pt>
                <c:pt idx="2">
                  <c:v>Building Solutions</c:v>
                </c:pt>
                <c:pt idx="3">
                  <c:v>Building Outcomes</c:v>
                </c:pt>
                <c:pt idx="4">
                  <c:v>Use of Performance Based Design</c:v>
                </c:pt>
                <c:pt idx="5">
                  <c:v>Insurance Premiums</c:v>
                </c:pt>
              </c:strCache>
            </c:strRef>
          </c:cat>
          <c:val>
            <c:numRef>
              <c:f>'Consultation with Stakeholders'!$B$5:$G$5</c:f>
              <c:numCache>
                <c:formatCode>General</c:formatCode>
                <c:ptCount val="6"/>
                <c:pt idx="0">
                  <c:v>51</c:v>
                </c:pt>
                <c:pt idx="1">
                  <c:v>76</c:v>
                </c:pt>
                <c:pt idx="2">
                  <c:v>24</c:v>
                </c:pt>
                <c:pt idx="3">
                  <c:v>22</c:v>
                </c:pt>
                <c:pt idx="4">
                  <c:v>37</c:v>
                </c:pt>
                <c:pt idx="5">
                  <c:v>32</c:v>
                </c:pt>
              </c:numCache>
            </c:numRef>
          </c:val>
          <c:extLst>
            <c:ext xmlns:c16="http://schemas.microsoft.com/office/drawing/2014/chart" uri="{C3380CC4-5D6E-409C-BE32-E72D297353CC}">
              <c16:uniqueId val="{00000002-D1D4-4900-A7E2-C4117C568766}"/>
            </c:ext>
          </c:extLst>
        </c:ser>
        <c:dLbls>
          <c:showLegendKey val="0"/>
          <c:showVal val="0"/>
          <c:showCatName val="0"/>
          <c:showSerName val="0"/>
          <c:showPercent val="0"/>
          <c:showBubbleSize val="0"/>
        </c:dLbls>
        <c:gapWidth val="150"/>
        <c:axId val="962250128"/>
        <c:axId val="962242680"/>
      </c:barChart>
      <c:catAx>
        <c:axId val="962250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242680"/>
        <c:crosses val="autoZero"/>
        <c:auto val="1"/>
        <c:lblAlgn val="ctr"/>
        <c:lblOffset val="100"/>
        <c:noMultiLvlLbl val="0"/>
      </c:catAx>
      <c:valAx>
        <c:axId val="962242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250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export-2019-09-27-17-07-03.xlsx]Adequacy and likelyhood!PivotTable1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s>
    <c:plotArea>
      <c:layout/>
      <c:barChart>
        <c:barDir val="col"/>
        <c:grouping val="stacked"/>
        <c:varyColors val="0"/>
        <c:ser>
          <c:idx val="0"/>
          <c:order val="0"/>
          <c:tx>
            <c:strRef>
              <c:f>'Adequacy and likelyhood'!$B$3:$B$4</c:f>
              <c:strCache>
                <c:ptCount val="1"/>
                <c:pt idx="0">
                  <c:v>Highly likely</c:v>
                </c:pt>
              </c:strCache>
            </c:strRef>
          </c:tx>
          <c:spPr>
            <a:solidFill>
              <a:schemeClr val="accent1">
                <a:lumMod val="40000"/>
                <a:lumOff val="60000"/>
              </a:schemeClr>
            </a:solidFill>
            <a:ln>
              <a:noFill/>
            </a:ln>
            <a:effectLst/>
          </c:spPr>
          <c:invertIfNegative val="0"/>
          <c:cat>
            <c:strRef>
              <c:f>'Adequacy and likelyhood'!$A$5:$A$8</c:f>
              <c:strCache>
                <c:ptCount val="3"/>
                <c:pt idx="0">
                  <c:v>Adequately undertaken</c:v>
                </c:pt>
                <c:pt idx="1">
                  <c:v>Inadequately undertaken</c:v>
                </c:pt>
                <c:pt idx="2">
                  <c:v>Not undertaken</c:v>
                </c:pt>
              </c:strCache>
            </c:strRef>
          </c:cat>
          <c:val>
            <c:numRef>
              <c:f>'Adequacy and likelyhood'!$B$5:$B$8</c:f>
              <c:numCache>
                <c:formatCode>0.00%</c:formatCode>
                <c:ptCount val="3"/>
                <c:pt idx="0">
                  <c:v>0.3669724770642202</c:v>
                </c:pt>
                <c:pt idx="1">
                  <c:v>0.10112359550561797</c:v>
                </c:pt>
                <c:pt idx="2">
                  <c:v>0.15625</c:v>
                </c:pt>
              </c:numCache>
            </c:numRef>
          </c:val>
          <c:extLst>
            <c:ext xmlns:c16="http://schemas.microsoft.com/office/drawing/2014/chart" uri="{C3380CC4-5D6E-409C-BE32-E72D297353CC}">
              <c16:uniqueId val="{00000000-3922-46CA-8EB4-8F559EE870E7}"/>
            </c:ext>
          </c:extLst>
        </c:ser>
        <c:ser>
          <c:idx val="1"/>
          <c:order val="1"/>
          <c:tx>
            <c:strRef>
              <c:f>'Adequacy and likelyhood'!$C$3:$C$4</c:f>
              <c:strCache>
                <c:ptCount val="1"/>
                <c:pt idx="0">
                  <c:v>Likely</c:v>
                </c:pt>
              </c:strCache>
            </c:strRef>
          </c:tx>
          <c:spPr>
            <a:solidFill>
              <a:schemeClr val="accent3"/>
            </a:solidFill>
            <a:ln>
              <a:noFill/>
            </a:ln>
            <a:effectLst/>
          </c:spPr>
          <c:invertIfNegative val="0"/>
          <c:cat>
            <c:strRef>
              <c:f>'Adequacy and likelyhood'!$A$5:$A$8</c:f>
              <c:strCache>
                <c:ptCount val="3"/>
                <c:pt idx="0">
                  <c:v>Adequately undertaken</c:v>
                </c:pt>
                <c:pt idx="1">
                  <c:v>Inadequately undertaken</c:v>
                </c:pt>
                <c:pt idx="2">
                  <c:v>Not undertaken</c:v>
                </c:pt>
              </c:strCache>
            </c:strRef>
          </c:cat>
          <c:val>
            <c:numRef>
              <c:f>'Adequacy and likelyhood'!$C$5:$C$8</c:f>
              <c:numCache>
                <c:formatCode>0.00%</c:formatCode>
                <c:ptCount val="3"/>
                <c:pt idx="0">
                  <c:v>0.58715596330275233</c:v>
                </c:pt>
                <c:pt idx="1">
                  <c:v>0.4157303370786517</c:v>
                </c:pt>
                <c:pt idx="2">
                  <c:v>0.28125</c:v>
                </c:pt>
              </c:numCache>
            </c:numRef>
          </c:val>
          <c:extLst>
            <c:ext xmlns:c16="http://schemas.microsoft.com/office/drawing/2014/chart" uri="{C3380CC4-5D6E-409C-BE32-E72D297353CC}">
              <c16:uniqueId val="{00000001-3922-46CA-8EB4-8F559EE870E7}"/>
            </c:ext>
          </c:extLst>
        </c:ser>
        <c:ser>
          <c:idx val="2"/>
          <c:order val="2"/>
          <c:tx>
            <c:strRef>
              <c:f>'Adequacy and likelyhood'!$D$3:$D$4</c:f>
              <c:strCache>
                <c:ptCount val="1"/>
                <c:pt idx="0">
                  <c:v>Unlikely</c:v>
                </c:pt>
              </c:strCache>
            </c:strRef>
          </c:tx>
          <c:spPr>
            <a:solidFill>
              <a:schemeClr val="accent5"/>
            </a:solidFill>
            <a:ln>
              <a:noFill/>
            </a:ln>
            <a:effectLst/>
          </c:spPr>
          <c:invertIfNegative val="0"/>
          <c:cat>
            <c:strRef>
              <c:f>'Adequacy and likelyhood'!$A$5:$A$8</c:f>
              <c:strCache>
                <c:ptCount val="3"/>
                <c:pt idx="0">
                  <c:v>Adequately undertaken</c:v>
                </c:pt>
                <c:pt idx="1">
                  <c:v>Inadequately undertaken</c:v>
                </c:pt>
                <c:pt idx="2">
                  <c:v>Not undertaken</c:v>
                </c:pt>
              </c:strCache>
            </c:strRef>
          </c:cat>
          <c:val>
            <c:numRef>
              <c:f>'Adequacy and likelyhood'!$D$5:$D$8</c:f>
              <c:numCache>
                <c:formatCode>0.00%</c:formatCode>
                <c:ptCount val="3"/>
                <c:pt idx="0">
                  <c:v>3.669724770642202E-2</c:v>
                </c:pt>
                <c:pt idx="1">
                  <c:v>0.38202247191011235</c:v>
                </c:pt>
                <c:pt idx="2">
                  <c:v>0.3125</c:v>
                </c:pt>
              </c:numCache>
            </c:numRef>
          </c:val>
          <c:extLst>
            <c:ext xmlns:c16="http://schemas.microsoft.com/office/drawing/2014/chart" uri="{C3380CC4-5D6E-409C-BE32-E72D297353CC}">
              <c16:uniqueId val="{00000002-3922-46CA-8EB4-8F559EE870E7}"/>
            </c:ext>
          </c:extLst>
        </c:ser>
        <c:ser>
          <c:idx val="3"/>
          <c:order val="3"/>
          <c:tx>
            <c:strRef>
              <c:f>'Adequacy and likelyhood'!$E$3:$E$4</c:f>
              <c:strCache>
                <c:ptCount val="1"/>
                <c:pt idx="0">
                  <c:v>Highly unlikely</c:v>
                </c:pt>
              </c:strCache>
            </c:strRef>
          </c:tx>
          <c:spPr>
            <a:solidFill>
              <a:schemeClr val="accent1">
                <a:lumMod val="60000"/>
              </a:schemeClr>
            </a:solidFill>
            <a:ln>
              <a:noFill/>
            </a:ln>
            <a:effectLst/>
          </c:spPr>
          <c:invertIfNegative val="0"/>
          <c:cat>
            <c:strRef>
              <c:f>'Adequacy and likelyhood'!$A$5:$A$8</c:f>
              <c:strCache>
                <c:ptCount val="3"/>
                <c:pt idx="0">
                  <c:v>Adequately undertaken</c:v>
                </c:pt>
                <c:pt idx="1">
                  <c:v>Inadequately undertaken</c:v>
                </c:pt>
                <c:pt idx="2">
                  <c:v>Not undertaken</c:v>
                </c:pt>
              </c:strCache>
            </c:strRef>
          </c:cat>
          <c:val>
            <c:numRef>
              <c:f>'Adequacy and likelyhood'!$E$5:$E$8</c:f>
              <c:numCache>
                <c:formatCode>0.00%</c:formatCode>
                <c:ptCount val="3"/>
                <c:pt idx="0">
                  <c:v>9.1743119266055051E-3</c:v>
                </c:pt>
                <c:pt idx="1">
                  <c:v>0.10112359550561797</c:v>
                </c:pt>
                <c:pt idx="2">
                  <c:v>0.25</c:v>
                </c:pt>
              </c:numCache>
            </c:numRef>
          </c:val>
          <c:extLst>
            <c:ext xmlns:c16="http://schemas.microsoft.com/office/drawing/2014/chart" uri="{C3380CC4-5D6E-409C-BE32-E72D297353CC}">
              <c16:uniqueId val="{00000003-3922-46CA-8EB4-8F559EE870E7}"/>
            </c:ext>
          </c:extLst>
        </c:ser>
        <c:dLbls>
          <c:showLegendKey val="0"/>
          <c:showVal val="0"/>
          <c:showCatName val="0"/>
          <c:showSerName val="0"/>
          <c:showPercent val="0"/>
          <c:showBubbleSize val="0"/>
        </c:dLbls>
        <c:gapWidth val="150"/>
        <c:overlap val="100"/>
        <c:axId val="962249344"/>
        <c:axId val="962249736"/>
      </c:barChart>
      <c:catAx>
        <c:axId val="96224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249736"/>
        <c:crosses val="autoZero"/>
        <c:auto val="1"/>
        <c:lblAlgn val="ctr"/>
        <c:lblOffset val="100"/>
        <c:noMultiLvlLbl val="0"/>
      </c:catAx>
      <c:valAx>
        <c:axId val="96224973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2493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export-2019-09-27-17-07-03.xlsx]Impact on Solutions!PivotTable8</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...would using the ABCB Guideline for the development of a Performance Solution have changed the building solution ultimately adopted?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pivotFmt>
      <c:pivotFmt>
        <c:idx val="1"/>
        <c:spPr>
          <a:solidFill>
            <a:schemeClr val="accent1"/>
          </a:solidFill>
          <a:ln w="19050">
            <a:solidFill>
              <a:schemeClr val="lt1"/>
            </a:solidFill>
          </a:ln>
          <a:effectLst/>
        </c:spPr>
      </c:pivotFmt>
      <c:pivotFmt>
        <c:idx val="2"/>
        <c:spPr>
          <a:solidFill>
            <a:schemeClr val="accent1"/>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spPr>
          <a:solidFill>
            <a:schemeClr val="accent1"/>
          </a:solidFill>
          <a:ln w="19050">
            <a:solidFill>
              <a:schemeClr val="lt1"/>
            </a:solidFill>
          </a:ln>
          <a:effectLst/>
        </c:spPr>
        <c:marker>
          <c:symbol val="none"/>
        </c:marker>
      </c:pivotFmt>
      <c:pivotFmt>
        <c:idx val="77"/>
        <c:spPr>
          <a:solidFill>
            <a:schemeClr val="accent1"/>
          </a:solidFill>
          <a:ln w="19050">
            <a:solidFill>
              <a:schemeClr val="lt1"/>
            </a:solidFill>
          </a:ln>
          <a:effectLst/>
        </c:spPr>
      </c:pivotFmt>
      <c:pivotFmt>
        <c:idx val="78"/>
        <c:spPr>
          <a:solidFill>
            <a:schemeClr val="accent1"/>
          </a:solidFill>
          <a:ln w="19050">
            <a:solidFill>
              <a:schemeClr val="lt1"/>
            </a:solidFill>
          </a:ln>
          <a:effectLst/>
        </c:spPr>
      </c:pivotFmt>
      <c:pivotFmt>
        <c:idx val="79"/>
        <c:spPr>
          <a:solidFill>
            <a:schemeClr val="accent1"/>
          </a:solidFill>
          <a:ln w="19050">
            <a:solidFill>
              <a:schemeClr val="lt1"/>
            </a:solidFill>
          </a:ln>
          <a:effectLst/>
        </c:spPr>
      </c:pivotFmt>
      <c:pivotFmt>
        <c:idx val="80"/>
        <c:spPr>
          <a:solidFill>
            <a:schemeClr val="accent1"/>
          </a:solidFill>
          <a:ln w="19050">
            <a:solidFill>
              <a:schemeClr val="lt1"/>
            </a:solidFill>
          </a:ln>
          <a:effectLst/>
        </c:spPr>
        <c:marker>
          <c:symbol val="none"/>
        </c:marker>
      </c:pivotFmt>
      <c:pivotFmt>
        <c:idx val="81"/>
        <c:spPr>
          <a:solidFill>
            <a:schemeClr val="accent1"/>
          </a:solidFill>
          <a:ln w="19050">
            <a:solidFill>
              <a:schemeClr val="lt1"/>
            </a:solidFill>
          </a:ln>
          <a:effectLst/>
        </c:spPr>
      </c:pivotFmt>
      <c:pivotFmt>
        <c:idx val="82"/>
        <c:spPr>
          <a:solidFill>
            <a:schemeClr val="accent1"/>
          </a:solidFill>
          <a:ln w="19050">
            <a:solidFill>
              <a:schemeClr val="lt1"/>
            </a:solidFill>
          </a:ln>
          <a:effectLst/>
        </c:spPr>
      </c:pivotFmt>
      <c:pivotFmt>
        <c:idx val="83"/>
        <c:spPr>
          <a:solidFill>
            <a:schemeClr val="accent1"/>
          </a:solidFill>
          <a:ln w="19050">
            <a:solidFill>
              <a:schemeClr val="lt1"/>
            </a:solidFill>
          </a:ln>
          <a:effectLst/>
        </c:spPr>
      </c:pivotFmt>
    </c:pivotFmts>
    <c:plotArea>
      <c:layout/>
      <c:pieChart>
        <c:varyColors val="1"/>
        <c:ser>
          <c:idx val="0"/>
          <c:order val="0"/>
          <c:tx>
            <c:strRef>
              <c:f>'Impact on Solutions'!$B$4</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26B-426B-9DB8-7296D4E44F5E}"/>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D26B-426B-9DB8-7296D4E44F5E}"/>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D26B-426B-9DB8-7296D4E44F5E}"/>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D26B-426B-9DB8-7296D4E44F5E}"/>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D26B-426B-9DB8-7296D4E44F5E}"/>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D26B-426B-9DB8-7296D4E44F5E}"/>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D26B-426B-9DB8-7296D4E44F5E}"/>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0F-D26B-426B-9DB8-7296D4E44F5E}"/>
              </c:ext>
            </c:extLst>
          </c:dPt>
          <c:dPt>
            <c:idx val="8"/>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11-D26B-426B-9DB8-7296D4E44F5E}"/>
              </c:ext>
            </c:extLst>
          </c:dPt>
          <c:dPt>
            <c:idx val="9"/>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13-D26B-426B-9DB8-7296D4E44F5E}"/>
              </c:ext>
            </c:extLst>
          </c:dPt>
          <c:dPt>
            <c:idx val="1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15-D26B-426B-9DB8-7296D4E44F5E}"/>
              </c:ext>
            </c:extLst>
          </c:dPt>
          <c:dPt>
            <c:idx val="11"/>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17-D26B-426B-9DB8-7296D4E44F5E}"/>
              </c:ext>
            </c:extLst>
          </c:dPt>
          <c:dLbls>
            <c:dLbl>
              <c:idx val="0"/>
              <c:layout>
                <c:manualLayout>
                  <c:x val="-5.1451961558829406E-3"/>
                  <c:y val="-3.992572612210879E-2"/>
                </c:manualLayout>
              </c:layout>
              <c:tx>
                <c:rich>
                  <a:bodyPr/>
                  <a:lstStyle/>
                  <a:p>
                    <a:fld id="{CA4181EB-CAB4-4EA2-887D-4BD3AA874351}" type="PERCENTAGE">
                      <a:rPr lang="en-US"/>
                      <a:pPr/>
                      <a:t>[PERCENTAGE]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26B-426B-9DB8-7296D4E44F5E}"/>
                </c:ext>
              </c:extLst>
            </c:dLbl>
            <c:dLbl>
              <c:idx val="1"/>
              <c:layout>
                <c:manualLayout>
                  <c:x val="-4.5184001944630131E-3"/>
                  <c:y val="2.4745650652533997E-2"/>
                </c:manualLayout>
              </c:layout>
              <c:tx>
                <c:rich>
                  <a:bodyPr/>
                  <a:lstStyle/>
                  <a:p>
                    <a:fld id="{B69ECFDF-7050-4EBF-B356-466D5E64AAEA}" type="PERCENTAGE">
                      <a:rPr lang="en-US"/>
                      <a:pPr/>
                      <a:t>[PERCENTAGE]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26B-426B-9DB8-7296D4E44F5E}"/>
                </c:ext>
              </c:extLst>
            </c:dLbl>
            <c:dLbl>
              <c:idx val="2"/>
              <c:layout>
                <c:manualLayout>
                  <c:x val="4.2492772747397753E-3"/>
                  <c:y val="-5.7583355899181649E-2"/>
                </c:manualLayout>
              </c:layout>
              <c:tx>
                <c:rich>
                  <a:bodyPr/>
                  <a:lstStyle/>
                  <a:p>
                    <a:fld id="{4D640E29-4014-4204-B731-CE9F86DF61E8}" type="PERCENTAGE">
                      <a:rPr lang="en-US"/>
                      <a:pPr/>
                      <a:t>[PERCENTAGE]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26B-426B-9DB8-7296D4E44F5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'Impact on Solutions'!$A$5:$A$8</c:f>
              <c:strCache>
                <c:ptCount val="3"/>
                <c:pt idx="0">
                  <c:v>No</c:v>
                </c:pt>
                <c:pt idx="1">
                  <c:v>Yes</c:v>
                </c:pt>
                <c:pt idx="2">
                  <c:v>Unsure</c:v>
                </c:pt>
              </c:strCache>
            </c:strRef>
          </c:cat>
          <c:val>
            <c:numRef>
              <c:f>'Impact on Solutions'!$B$5:$B$8</c:f>
              <c:numCache>
                <c:formatCode>General</c:formatCode>
                <c:ptCount val="3"/>
                <c:pt idx="0">
                  <c:v>107</c:v>
                </c:pt>
                <c:pt idx="1">
                  <c:v>82</c:v>
                </c:pt>
                <c:pt idx="2">
                  <c:v>108</c:v>
                </c:pt>
              </c:numCache>
            </c:numRef>
          </c:val>
          <c:extLst>
            <c:ext xmlns:c16="http://schemas.microsoft.com/office/drawing/2014/chart" uri="{C3380CC4-5D6E-409C-BE32-E72D297353CC}">
              <c16:uniqueId val="{00000018-D26B-426B-9DB8-7296D4E44F5E}"/>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6486150792622656"/>
          <c:y val="0.52910863900019611"/>
          <c:w val="8.7855612424755605E-2"/>
          <c:h val="0.243256648079132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836A42-EDD0-4505-9351-E21D3F8E5D4D}" type="doc">
      <dgm:prSet loTypeId="urn:microsoft.com/office/officeart/2005/8/layout/process1" loCatId="process" qsTypeId="urn:microsoft.com/office/officeart/2005/8/quickstyle/simple1" qsCatId="simple" csTypeId="urn:microsoft.com/office/officeart/2005/8/colors/accent1_2" csCatId="accent1" phldr="1"/>
      <dgm:spPr/>
    </dgm:pt>
    <dgm:pt modelId="{1ABA6B6A-56C3-4781-87CA-A4BFE6A253D6}">
      <dgm:prSet phldrT="[Text]"/>
      <dgm:spPr/>
      <dgm:t>
        <a:bodyPr/>
        <a:lstStyle/>
        <a:p>
          <a:pPr algn="ctr"/>
          <a:r>
            <a:rPr lang="en-AU"/>
            <a:t>1. Prepare a Performance-Based Design Brief (PBDB)</a:t>
          </a:r>
        </a:p>
      </dgm:t>
    </dgm:pt>
    <dgm:pt modelId="{B38B34F4-9A19-47F7-8C01-6E34083D8948}" type="parTrans" cxnId="{36A7F403-A49E-4D03-930F-3D7D165E3DEB}">
      <dgm:prSet/>
      <dgm:spPr/>
      <dgm:t>
        <a:bodyPr/>
        <a:lstStyle/>
        <a:p>
          <a:pPr algn="ctr"/>
          <a:endParaRPr lang="en-AU"/>
        </a:p>
      </dgm:t>
    </dgm:pt>
    <dgm:pt modelId="{78B95B11-8FB5-47B1-9933-2BF9319C8585}" type="sibTrans" cxnId="{36A7F403-A49E-4D03-930F-3D7D165E3DEB}">
      <dgm:prSet/>
      <dgm:spPr/>
      <dgm:t>
        <a:bodyPr/>
        <a:lstStyle/>
        <a:p>
          <a:pPr algn="ctr"/>
          <a:endParaRPr lang="en-AU"/>
        </a:p>
      </dgm:t>
    </dgm:pt>
    <dgm:pt modelId="{0967CA97-B302-4A49-8220-067BCF95A99A}">
      <dgm:prSet phldrT="[Text]"/>
      <dgm:spPr/>
      <dgm:t>
        <a:bodyPr/>
        <a:lstStyle/>
        <a:p>
          <a:pPr algn="ctr"/>
          <a:r>
            <a:rPr lang="en-AU"/>
            <a:t>2. Carry out analysis, modelling or testing</a:t>
          </a:r>
        </a:p>
      </dgm:t>
    </dgm:pt>
    <dgm:pt modelId="{A7481D1E-DE71-4758-95B0-5D7F12CBBAAB}" type="parTrans" cxnId="{6F817606-CE5B-4C3A-9A3B-E999417A7636}">
      <dgm:prSet/>
      <dgm:spPr/>
      <dgm:t>
        <a:bodyPr/>
        <a:lstStyle/>
        <a:p>
          <a:pPr algn="ctr"/>
          <a:endParaRPr lang="en-AU"/>
        </a:p>
      </dgm:t>
    </dgm:pt>
    <dgm:pt modelId="{3588F747-15B6-409E-AB0B-836FB0340049}" type="sibTrans" cxnId="{6F817606-CE5B-4C3A-9A3B-E999417A7636}">
      <dgm:prSet/>
      <dgm:spPr/>
      <dgm:t>
        <a:bodyPr/>
        <a:lstStyle/>
        <a:p>
          <a:pPr algn="ctr"/>
          <a:endParaRPr lang="en-AU"/>
        </a:p>
      </dgm:t>
    </dgm:pt>
    <dgm:pt modelId="{4EFA5207-036F-4C62-818C-6B2F221AB61F}">
      <dgm:prSet phldrT="[Text]"/>
      <dgm:spPr/>
      <dgm:t>
        <a:bodyPr/>
        <a:lstStyle/>
        <a:p>
          <a:pPr algn="ctr"/>
          <a:r>
            <a:rPr lang="en-AU"/>
            <a:t>3. Collate and evaluate results</a:t>
          </a:r>
        </a:p>
      </dgm:t>
    </dgm:pt>
    <dgm:pt modelId="{4D54EAA5-92D0-4E0C-8EDC-A5ECDA5F76AD}" type="parTrans" cxnId="{A6B779A4-C07A-41C7-98DD-2B2739815820}">
      <dgm:prSet/>
      <dgm:spPr/>
      <dgm:t>
        <a:bodyPr/>
        <a:lstStyle/>
        <a:p>
          <a:pPr algn="ctr"/>
          <a:endParaRPr lang="en-AU"/>
        </a:p>
      </dgm:t>
    </dgm:pt>
    <dgm:pt modelId="{0BFA4988-EECF-4FA8-B655-B842132B2ECD}" type="sibTrans" cxnId="{A6B779A4-C07A-41C7-98DD-2B2739815820}">
      <dgm:prSet/>
      <dgm:spPr/>
      <dgm:t>
        <a:bodyPr/>
        <a:lstStyle/>
        <a:p>
          <a:pPr algn="ctr"/>
          <a:endParaRPr lang="en-AU"/>
        </a:p>
      </dgm:t>
    </dgm:pt>
    <dgm:pt modelId="{B532BB8C-7616-42A5-BB8A-A16AA6BF7FCA}">
      <dgm:prSet phldrT="[Text]"/>
      <dgm:spPr/>
      <dgm:t>
        <a:bodyPr/>
        <a:lstStyle/>
        <a:p>
          <a:pPr algn="ctr"/>
          <a:r>
            <a:rPr lang="en-AU"/>
            <a:t>4. Prepare a final report</a:t>
          </a:r>
        </a:p>
      </dgm:t>
    </dgm:pt>
    <dgm:pt modelId="{4DF80F34-BA2F-4C23-AAF2-1DF65DFD1D70}" type="parTrans" cxnId="{77BE0772-831D-4458-99E4-752B73A254DB}">
      <dgm:prSet/>
      <dgm:spPr/>
      <dgm:t>
        <a:bodyPr/>
        <a:lstStyle/>
        <a:p>
          <a:pPr algn="ctr"/>
          <a:endParaRPr lang="en-AU"/>
        </a:p>
      </dgm:t>
    </dgm:pt>
    <dgm:pt modelId="{F7F3CD16-42BD-4B53-AD1D-FF624A748636}" type="sibTrans" cxnId="{77BE0772-831D-4458-99E4-752B73A254DB}">
      <dgm:prSet/>
      <dgm:spPr/>
      <dgm:t>
        <a:bodyPr/>
        <a:lstStyle/>
        <a:p>
          <a:pPr algn="ctr"/>
          <a:endParaRPr lang="en-AU"/>
        </a:p>
      </dgm:t>
    </dgm:pt>
    <dgm:pt modelId="{45DC891E-C391-4B63-8CFF-BA9D961E8606}" type="pres">
      <dgm:prSet presAssocID="{C8836A42-EDD0-4505-9351-E21D3F8E5D4D}" presName="Name0" presStyleCnt="0">
        <dgm:presLayoutVars>
          <dgm:dir/>
          <dgm:resizeHandles val="exact"/>
        </dgm:presLayoutVars>
      </dgm:prSet>
      <dgm:spPr/>
    </dgm:pt>
    <dgm:pt modelId="{1E74D246-3C60-42CC-8D3D-678B2792452A}" type="pres">
      <dgm:prSet presAssocID="{1ABA6B6A-56C3-4781-87CA-A4BFE6A253D6}" presName="node" presStyleLbl="node1" presStyleIdx="0" presStyleCnt="4" custLinFactNeighborX="9936" custLinFactNeighborY="3484">
        <dgm:presLayoutVars>
          <dgm:bulletEnabled val="1"/>
        </dgm:presLayoutVars>
      </dgm:prSet>
      <dgm:spPr/>
    </dgm:pt>
    <dgm:pt modelId="{D19E8F75-703C-4771-94FE-A63013A366C6}" type="pres">
      <dgm:prSet presAssocID="{78B95B11-8FB5-47B1-9933-2BF9319C8585}" presName="sibTrans" presStyleLbl="sibTrans2D1" presStyleIdx="0" presStyleCnt="3"/>
      <dgm:spPr/>
    </dgm:pt>
    <dgm:pt modelId="{A196E599-B940-4B0A-8EBE-B83E61F697E0}" type="pres">
      <dgm:prSet presAssocID="{78B95B11-8FB5-47B1-9933-2BF9319C8585}" presName="connectorText" presStyleLbl="sibTrans2D1" presStyleIdx="0" presStyleCnt="3"/>
      <dgm:spPr/>
    </dgm:pt>
    <dgm:pt modelId="{87BC52A3-CEB9-4546-BB08-26C5E7F1DFEC}" type="pres">
      <dgm:prSet presAssocID="{0967CA97-B302-4A49-8220-067BCF95A99A}" presName="node" presStyleLbl="node1" presStyleIdx="1" presStyleCnt="4">
        <dgm:presLayoutVars>
          <dgm:bulletEnabled val="1"/>
        </dgm:presLayoutVars>
      </dgm:prSet>
      <dgm:spPr/>
    </dgm:pt>
    <dgm:pt modelId="{947561BF-A34C-4705-BF36-D2A4B04DB264}" type="pres">
      <dgm:prSet presAssocID="{3588F747-15B6-409E-AB0B-836FB0340049}" presName="sibTrans" presStyleLbl="sibTrans2D1" presStyleIdx="1" presStyleCnt="3"/>
      <dgm:spPr/>
    </dgm:pt>
    <dgm:pt modelId="{B5F36151-2E2A-4966-8E52-57AEF2C93810}" type="pres">
      <dgm:prSet presAssocID="{3588F747-15B6-409E-AB0B-836FB0340049}" presName="connectorText" presStyleLbl="sibTrans2D1" presStyleIdx="1" presStyleCnt="3"/>
      <dgm:spPr/>
    </dgm:pt>
    <dgm:pt modelId="{626BE1A9-BFC1-415D-96FB-2E9254E30C3F}" type="pres">
      <dgm:prSet presAssocID="{4EFA5207-036F-4C62-818C-6B2F221AB61F}" presName="node" presStyleLbl="node1" presStyleIdx="2" presStyleCnt="4" custLinFactNeighborX="5873" custLinFactNeighborY="-755">
        <dgm:presLayoutVars>
          <dgm:bulletEnabled val="1"/>
        </dgm:presLayoutVars>
      </dgm:prSet>
      <dgm:spPr/>
    </dgm:pt>
    <dgm:pt modelId="{935BCA11-BC9A-4C4F-AC04-2F1A405C5462}" type="pres">
      <dgm:prSet presAssocID="{0BFA4988-EECF-4FA8-B655-B842132B2ECD}" presName="sibTrans" presStyleLbl="sibTrans2D1" presStyleIdx="2" presStyleCnt="3"/>
      <dgm:spPr/>
    </dgm:pt>
    <dgm:pt modelId="{6DA27E40-742B-4AF1-BFD6-0FFDA6C16AC8}" type="pres">
      <dgm:prSet presAssocID="{0BFA4988-EECF-4FA8-B655-B842132B2ECD}" presName="connectorText" presStyleLbl="sibTrans2D1" presStyleIdx="2" presStyleCnt="3"/>
      <dgm:spPr/>
    </dgm:pt>
    <dgm:pt modelId="{34C60509-3612-4CCC-8A99-CC0E3C4983C3}" type="pres">
      <dgm:prSet presAssocID="{B532BB8C-7616-42A5-BB8A-A16AA6BF7FCA}" presName="node" presStyleLbl="node1" presStyleIdx="3" presStyleCnt="4">
        <dgm:presLayoutVars>
          <dgm:bulletEnabled val="1"/>
        </dgm:presLayoutVars>
      </dgm:prSet>
      <dgm:spPr/>
    </dgm:pt>
  </dgm:ptLst>
  <dgm:cxnLst>
    <dgm:cxn modelId="{36A7F403-A49E-4D03-930F-3D7D165E3DEB}" srcId="{C8836A42-EDD0-4505-9351-E21D3F8E5D4D}" destId="{1ABA6B6A-56C3-4781-87CA-A4BFE6A253D6}" srcOrd="0" destOrd="0" parTransId="{B38B34F4-9A19-47F7-8C01-6E34083D8948}" sibTransId="{78B95B11-8FB5-47B1-9933-2BF9319C8585}"/>
    <dgm:cxn modelId="{6F817606-CE5B-4C3A-9A3B-E999417A7636}" srcId="{C8836A42-EDD0-4505-9351-E21D3F8E5D4D}" destId="{0967CA97-B302-4A49-8220-067BCF95A99A}" srcOrd="1" destOrd="0" parTransId="{A7481D1E-DE71-4758-95B0-5D7F12CBBAAB}" sibTransId="{3588F747-15B6-409E-AB0B-836FB0340049}"/>
    <dgm:cxn modelId="{1C34191A-377E-45F1-AF0F-995960913D52}" type="presOf" srcId="{3588F747-15B6-409E-AB0B-836FB0340049}" destId="{B5F36151-2E2A-4966-8E52-57AEF2C93810}" srcOrd="1" destOrd="0" presId="urn:microsoft.com/office/officeart/2005/8/layout/process1"/>
    <dgm:cxn modelId="{BFBB9B48-DF16-4AC0-98AD-B2A3DCA21B52}" type="presOf" srcId="{0967CA97-B302-4A49-8220-067BCF95A99A}" destId="{87BC52A3-CEB9-4546-BB08-26C5E7F1DFEC}" srcOrd="0" destOrd="0" presId="urn:microsoft.com/office/officeart/2005/8/layout/process1"/>
    <dgm:cxn modelId="{77BE0772-831D-4458-99E4-752B73A254DB}" srcId="{C8836A42-EDD0-4505-9351-E21D3F8E5D4D}" destId="{B532BB8C-7616-42A5-BB8A-A16AA6BF7FCA}" srcOrd="3" destOrd="0" parTransId="{4DF80F34-BA2F-4C23-AAF2-1DF65DFD1D70}" sibTransId="{F7F3CD16-42BD-4B53-AD1D-FF624A748636}"/>
    <dgm:cxn modelId="{CF6A9081-3F4B-4C22-A889-FD8C4709ADE1}" type="presOf" srcId="{C8836A42-EDD0-4505-9351-E21D3F8E5D4D}" destId="{45DC891E-C391-4B63-8CFF-BA9D961E8606}" srcOrd="0" destOrd="0" presId="urn:microsoft.com/office/officeart/2005/8/layout/process1"/>
    <dgm:cxn modelId="{AE0A3B96-E7BF-4D56-8508-181C71F389C9}" type="presOf" srcId="{4EFA5207-036F-4C62-818C-6B2F221AB61F}" destId="{626BE1A9-BFC1-415D-96FB-2E9254E30C3F}" srcOrd="0" destOrd="0" presId="urn:microsoft.com/office/officeart/2005/8/layout/process1"/>
    <dgm:cxn modelId="{A6B779A4-C07A-41C7-98DD-2B2739815820}" srcId="{C8836A42-EDD0-4505-9351-E21D3F8E5D4D}" destId="{4EFA5207-036F-4C62-818C-6B2F221AB61F}" srcOrd="2" destOrd="0" parTransId="{4D54EAA5-92D0-4E0C-8EDC-A5ECDA5F76AD}" sibTransId="{0BFA4988-EECF-4FA8-B655-B842132B2ECD}"/>
    <dgm:cxn modelId="{1627CBCB-AA01-43DB-B3C1-F39E1B1F241E}" type="presOf" srcId="{0BFA4988-EECF-4FA8-B655-B842132B2ECD}" destId="{935BCA11-BC9A-4C4F-AC04-2F1A405C5462}" srcOrd="0" destOrd="0" presId="urn:microsoft.com/office/officeart/2005/8/layout/process1"/>
    <dgm:cxn modelId="{D25836CC-19F7-4795-8773-EF77A59012E4}" type="presOf" srcId="{0BFA4988-EECF-4FA8-B655-B842132B2ECD}" destId="{6DA27E40-742B-4AF1-BFD6-0FFDA6C16AC8}" srcOrd="1" destOrd="0" presId="urn:microsoft.com/office/officeart/2005/8/layout/process1"/>
    <dgm:cxn modelId="{2E1420D5-F640-4C16-831B-3326F4D83C3B}" type="presOf" srcId="{B532BB8C-7616-42A5-BB8A-A16AA6BF7FCA}" destId="{34C60509-3612-4CCC-8A99-CC0E3C4983C3}" srcOrd="0" destOrd="0" presId="urn:microsoft.com/office/officeart/2005/8/layout/process1"/>
    <dgm:cxn modelId="{D3BC1DD6-A1E8-488B-A7C1-A256582C0BF1}" type="presOf" srcId="{3588F747-15B6-409E-AB0B-836FB0340049}" destId="{947561BF-A34C-4705-BF36-D2A4B04DB264}" srcOrd="0" destOrd="0" presId="urn:microsoft.com/office/officeart/2005/8/layout/process1"/>
    <dgm:cxn modelId="{2BD82FE2-04E0-42C9-A08D-1F19F0AB1761}" type="presOf" srcId="{1ABA6B6A-56C3-4781-87CA-A4BFE6A253D6}" destId="{1E74D246-3C60-42CC-8D3D-678B2792452A}" srcOrd="0" destOrd="0" presId="urn:microsoft.com/office/officeart/2005/8/layout/process1"/>
    <dgm:cxn modelId="{4E10F7EA-9AAD-481A-B769-C7C17526D6B5}" type="presOf" srcId="{78B95B11-8FB5-47B1-9933-2BF9319C8585}" destId="{A196E599-B940-4B0A-8EBE-B83E61F697E0}" srcOrd="1" destOrd="0" presId="urn:microsoft.com/office/officeart/2005/8/layout/process1"/>
    <dgm:cxn modelId="{E39545EE-AFE5-43E7-BD2C-F5DC0A47E5CB}" type="presOf" srcId="{78B95B11-8FB5-47B1-9933-2BF9319C8585}" destId="{D19E8F75-703C-4771-94FE-A63013A366C6}" srcOrd="0" destOrd="0" presId="urn:microsoft.com/office/officeart/2005/8/layout/process1"/>
    <dgm:cxn modelId="{CC7FD78A-CF83-49DB-A056-04C639018E85}" type="presParOf" srcId="{45DC891E-C391-4B63-8CFF-BA9D961E8606}" destId="{1E74D246-3C60-42CC-8D3D-678B2792452A}" srcOrd="0" destOrd="0" presId="urn:microsoft.com/office/officeart/2005/8/layout/process1"/>
    <dgm:cxn modelId="{6C538932-D600-4620-908D-128106FD23CA}" type="presParOf" srcId="{45DC891E-C391-4B63-8CFF-BA9D961E8606}" destId="{D19E8F75-703C-4771-94FE-A63013A366C6}" srcOrd="1" destOrd="0" presId="urn:microsoft.com/office/officeart/2005/8/layout/process1"/>
    <dgm:cxn modelId="{AE6294EA-EAC3-47F6-B77C-1AA5E8BF684E}" type="presParOf" srcId="{D19E8F75-703C-4771-94FE-A63013A366C6}" destId="{A196E599-B940-4B0A-8EBE-B83E61F697E0}" srcOrd="0" destOrd="0" presId="urn:microsoft.com/office/officeart/2005/8/layout/process1"/>
    <dgm:cxn modelId="{ECE5E05A-AE4D-4220-9666-3109343FE863}" type="presParOf" srcId="{45DC891E-C391-4B63-8CFF-BA9D961E8606}" destId="{87BC52A3-CEB9-4546-BB08-26C5E7F1DFEC}" srcOrd="2" destOrd="0" presId="urn:microsoft.com/office/officeart/2005/8/layout/process1"/>
    <dgm:cxn modelId="{A6C818B4-9B41-4B1C-AC81-BA84695C4E07}" type="presParOf" srcId="{45DC891E-C391-4B63-8CFF-BA9D961E8606}" destId="{947561BF-A34C-4705-BF36-D2A4B04DB264}" srcOrd="3" destOrd="0" presId="urn:microsoft.com/office/officeart/2005/8/layout/process1"/>
    <dgm:cxn modelId="{35A9D9B6-5BD3-422E-8A7D-CF5A5F2C486B}" type="presParOf" srcId="{947561BF-A34C-4705-BF36-D2A4B04DB264}" destId="{B5F36151-2E2A-4966-8E52-57AEF2C93810}" srcOrd="0" destOrd="0" presId="urn:microsoft.com/office/officeart/2005/8/layout/process1"/>
    <dgm:cxn modelId="{F18F8D1A-A642-4BA3-8701-698ECA127599}" type="presParOf" srcId="{45DC891E-C391-4B63-8CFF-BA9D961E8606}" destId="{626BE1A9-BFC1-415D-96FB-2E9254E30C3F}" srcOrd="4" destOrd="0" presId="urn:microsoft.com/office/officeart/2005/8/layout/process1"/>
    <dgm:cxn modelId="{CE2D247A-B0E9-4F49-A01A-2BC56FB518F3}" type="presParOf" srcId="{45DC891E-C391-4B63-8CFF-BA9D961E8606}" destId="{935BCA11-BC9A-4C4F-AC04-2F1A405C5462}" srcOrd="5" destOrd="0" presId="urn:microsoft.com/office/officeart/2005/8/layout/process1"/>
    <dgm:cxn modelId="{8668F96D-EBA4-4EAE-BCFF-0417AB71491A}" type="presParOf" srcId="{935BCA11-BC9A-4C4F-AC04-2F1A405C5462}" destId="{6DA27E40-742B-4AF1-BFD6-0FFDA6C16AC8}" srcOrd="0" destOrd="0" presId="urn:microsoft.com/office/officeart/2005/8/layout/process1"/>
    <dgm:cxn modelId="{68628F5C-3D90-43F7-82A2-AD5CF2D2F63B}" type="presParOf" srcId="{45DC891E-C391-4B63-8CFF-BA9D961E8606}" destId="{34C60509-3612-4CCC-8A99-CC0E3C4983C3}" srcOrd="6"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8836A42-EDD0-4505-9351-E21D3F8E5D4D}" type="doc">
      <dgm:prSet loTypeId="urn:microsoft.com/office/officeart/2005/8/layout/process1" loCatId="process" qsTypeId="urn:microsoft.com/office/officeart/2005/8/quickstyle/simple1" qsCatId="simple" csTypeId="urn:microsoft.com/office/officeart/2005/8/colors/accent1_2" csCatId="accent1" phldr="1"/>
      <dgm:spPr/>
    </dgm:pt>
    <dgm:pt modelId="{1ABA6B6A-56C3-4781-87CA-A4BFE6A253D6}">
      <dgm:prSet phldrT="[Text]"/>
      <dgm:spPr/>
      <dgm:t>
        <a:bodyPr/>
        <a:lstStyle/>
        <a:p>
          <a:pPr algn="ctr"/>
          <a:r>
            <a:rPr lang="en-AU"/>
            <a:t>1. Prepare a Performance-Based Design Brief (PBDB)</a:t>
          </a:r>
        </a:p>
      </dgm:t>
    </dgm:pt>
    <dgm:pt modelId="{B38B34F4-9A19-47F7-8C01-6E34083D8948}" type="parTrans" cxnId="{36A7F403-A49E-4D03-930F-3D7D165E3DEB}">
      <dgm:prSet/>
      <dgm:spPr/>
      <dgm:t>
        <a:bodyPr/>
        <a:lstStyle/>
        <a:p>
          <a:pPr algn="ctr"/>
          <a:endParaRPr lang="en-AU"/>
        </a:p>
      </dgm:t>
    </dgm:pt>
    <dgm:pt modelId="{78B95B11-8FB5-47B1-9933-2BF9319C8585}" type="sibTrans" cxnId="{36A7F403-A49E-4D03-930F-3D7D165E3DEB}">
      <dgm:prSet/>
      <dgm:spPr/>
      <dgm:t>
        <a:bodyPr/>
        <a:lstStyle/>
        <a:p>
          <a:pPr algn="ctr"/>
          <a:endParaRPr lang="en-AU"/>
        </a:p>
      </dgm:t>
    </dgm:pt>
    <dgm:pt modelId="{0967CA97-B302-4A49-8220-067BCF95A99A}">
      <dgm:prSet phldrT="[Text]"/>
      <dgm:spPr/>
      <dgm:t>
        <a:bodyPr/>
        <a:lstStyle/>
        <a:p>
          <a:pPr algn="ctr"/>
          <a:r>
            <a:rPr lang="en-AU"/>
            <a:t>2. Carry out analysis, modelling or testing</a:t>
          </a:r>
        </a:p>
      </dgm:t>
    </dgm:pt>
    <dgm:pt modelId="{A7481D1E-DE71-4758-95B0-5D7F12CBBAAB}" type="parTrans" cxnId="{6F817606-CE5B-4C3A-9A3B-E999417A7636}">
      <dgm:prSet/>
      <dgm:spPr/>
      <dgm:t>
        <a:bodyPr/>
        <a:lstStyle/>
        <a:p>
          <a:pPr algn="ctr"/>
          <a:endParaRPr lang="en-AU"/>
        </a:p>
      </dgm:t>
    </dgm:pt>
    <dgm:pt modelId="{3588F747-15B6-409E-AB0B-836FB0340049}" type="sibTrans" cxnId="{6F817606-CE5B-4C3A-9A3B-E999417A7636}">
      <dgm:prSet/>
      <dgm:spPr/>
      <dgm:t>
        <a:bodyPr/>
        <a:lstStyle/>
        <a:p>
          <a:pPr algn="ctr"/>
          <a:endParaRPr lang="en-AU"/>
        </a:p>
      </dgm:t>
    </dgm:pt>
    <dgm:pt modelId="{4EFA5207-036F-4C62-818C-6B2F221AB61F}">
      <dgm:prSet phldrT="[Text]"/>
      <dgm:spPr/>
      <dgm:t>
        <a:bodyPr/>
        <a:lstStyle/>
        <a:p>
          <a:pPr algn="ctr"/>
          <a:r>
            <a:rPr lang="en-AU"/>
            <a:t>3. Collate and evaluate results</a:t>
          </a:r>
        </a:p>
      </dgm:t>
    </dgm:pt>
    <dgm:pt modelId="{4D54EAA5-92D0-4E0C-8EDC-A5ECDA5F76AD}" type="parTrans" cxnId="{A6B779A4-C07A-41C7-98DD-2B2739815820}">
      <dgm:prSet/>
      <dgm:spPr/>
      <dgm:t>
        <a:bodyPr/>
        <a:lstStyle/>
        <a:p>
          <a:pPr algn="ctr"/>
          <a:endParaRPr lang="en-AU"/>
        </a:p>
      </dgm:t>
    </dgm:pt>
    <dgm:pt modelId="{0BFA4988-EECF-4FA8-B655-B842132B2ECD}" type="sibTrans" cxnId="{A6B779A4-C07A-41C7-98DD-2B2739815820}">
      <dgm:prSet/>
      <dgm:spPr/>
      <dgm:t>
        <a:bodyPr/>
        <a:lstStyle/>
        <a:p>
          <a:pPr algn="ctr"/>
          <a:endParaRPr lang="en-AU"/>
        </a:p>
      </dgm:t>
    </dgm:pt>
    <dgm:pt modelId="{B532BB8C-7616-42A5-BB8A-A16AA6BF7FCA}">
      <dgm:prSet phldrT="[Text]"/>
      <dgm:spPr/>
      <dgm:t>
        <a:bodyPr/>
        <a:lstStyle/>
        <a:p>
          <a:pPr algn="ctr"/>
          <a:r>
            <a:rPr lang="en-AU"/>
            <a:t>4. Prepare a final report</a:t>
          </a:r>
        </a:p>
      </dgm:t>
    </dgm:pt>
    <dgm:pt modelId="{4DF80F34-BA2F-4C23-AAF2-1DF65DFD1D70}" type="parTrans" cxnId="{77BE0772-831D-4458-99E4-752B73A254DB}">
      <dgm:prSet/>
      <dgm:spPr/>
      <dgm:t>
        <a:bodyPr/>
        <a:lstStyle/>
        <a:p>
          <a:pPr algn="ctr"/>
          <a:endParaRPr lang="en-AU"/>
        </a:p>
      </dgm:t>
    </dgm:pt>
    <dgm:pt modelId="{F7F3CD16-42BD-4B53-AD1D-FF624A748636}" type="sibTrans" cxnId="{77BE0772-831D-4458-99E4-752B73A254DB}">
      <dgm:prSet/>
      <dgm:spPr/>
      <dgm:t>
        <a:bodyPr/>
        <a:lstStyle/>
        <a:p>
          <a:pPr algn="ctr"/>
          <a:endParaRPr lang="en-AU"/>
        </a:p>
      </dgm:t>
    </dgm:pt>
    <dgm:pt modelId="{45DC891E-C391-4B63-8CFF-BA9D961E8606}" type="pres">
      <dgm:prSet presAssocID="{C8836A42-EDD0-4505-9351-E21D3F8E5D4D}" presName="Name0" presStyleCnt="0">
        <dgm:presLayoutVars>
          <dgm:dir/>
          <dgm:resizeHandles val="exact"/>
        </dgm:presLayoutVars>
      </dgm:prSet>
      <dgm:spPr/>
    </dgm:pt>
    <dgm:pt modelId="{1E74D246-3C60-42CC-8D3D-678B2792452A}" type="pres">
      <dgm:prSet presAssocID="{1ABA6B6A-56C3-4781-87CA-A4BFE6A253D6}" presName="node" presStyleLbl="node1" presStyleIdx="0" presStyleCnt="4" custLinFactNeighborX="9936" custLinFactNeighborY="3484">
        <dgm:presLayoutVars>
          <dgm:bulletEnabled val="1"/>
        </dgm:presLayoutVars>
      </dgm:prSet>
      <dgm:spPr/>
    </dgm:pt>
    <dgm:pt modelId="{D19E8F75-703C-4771-94FE-A63013A366C6}" type="pres">
      <dgm:prSet presAssocID="{78B95B11-8FB5-47B1-9933-2BF9319C8585}" presName="sibTrans" presStyleLbl="sibTrans2D1" presStyleIdx="0" presStyleCnt="3"/>
      <dgm:spPr/>
    </dgm:pt>
    <dgm:pt modelId="{A196E599-B940-4B0A-8EBE-B83E61F697E0}" type="pres">
      <dgm:prSet presAssocID="{78B95B11-8FB5-47B1-9933-2BF9319C8585}" presName="connectorText" presStyleLbl="sibTrans2D1" presStyleIdx="0" presStyleCnt="3"/>
      <dgm:spPr/>
    </dgm:pt>
    <dgm:pt modelId="{87BC52A3-CEB9-4546-BB08-26C5E7F1DFEC}" type="pres">
      <dgm:prSet presAssocID="{0967CA97-B302-4A49-8220-067BCF95A99A}" presName="node" presStyleLbl="node1" presStyleIdx="1" presStyleCnt="4">
        <dgm:presLayoutVars>
          <dgm:bulletEnabled val="1"/>
        </dgm:presLayoutVars>
      </dgm:prSet>
      <dgm:spPr/>
    </dgm:pt>
    <dgm:pt modelId="{947561BF-A34C-4705-BF36-D2A4B04DB264}" type="pres">
      <dgm:prSet presAssocID="{3588F747-15B6-409E-AB0B-836FB0340049}" presName="sibTrans" presStyleLbl="sibTrans2D1" presStyleIdx="1" presStyleCnt="3"/>
      <dgm:spPr/>
    </dgm:pt>
    <dgm:pt modelId="{B5F36151-2E2A-4966-8E52-57AEF2C93810}" type="pres">
      <dgm:prSet presAssocID="{3588F747-15B6-409E-AB0B-836FB0340049}" presName="connectorText" presStyleLbl="sibTrans2D1" presStyleIdx="1" presStyleCnt="3"/>
      <dgm:spPr/>
    </dgm:pt>
    <dgm:pt modelId="{626BE1A9-BFC1-415D-96FB-2E9254E30C3F}" type="pres">
      <dgm:prSet presAssocID="{4EFA5207-036F-4C62-818C-6B2F221AB61F}" presName="node" presStyleLbl="node1" presStyleIdx="2" presStyleCnt="4" custLinFactNeighborX="5873" custLinFactNeighborY="-755">
        <dgm:presLayoutVars>
          <dgm:bulletEnabled val="1"/>
        </dgm:presLayoutVars>
      </dgm:prSet>
      <dgm:spPr/>
    </dgm:pt>
    <dgm:pt modelId="{935BCA11-BC9A-4C4F-AC04-2F1A405C5462}" type="pres">
      <dgm:prSet presAssocID="{0BFA4988-EECF-4FA8-B655-B842132B2ECD}" presName="sibTrans" presStyleLbl="sibTrans2D1" presStyleIdx="2" presStyleCnt="3"/>
      <dgm:spPr/>
    </dgm:pt>
    <dgm:pt modelId="{6DA27E40-742B-4AF1-BFD6-0FFDA6C16AC8}" type="pres">
      <dgm:prSet presAssocID="{0BFA4988-EECF-4FA8-B655-B842132B2ECD}" presName="connectorText" presStyleLbl="sibTrans2D1" presStyleIdx="2" presStyleCnt="3"/>
      <dgm:spPr/>
    </dgm:pt>
    <dgm:pt modelId="{34C60509-3612-4CCC-8A99-CC0E3C4983C3}" type="pres">
      <dgm:prSet presAssocID="{B532BB8C-7616-42A5-BB8A-A16AA6BF7FCA}" presName="node" presStyleLbl="node1" presStyleIdx="3" presStyleCnt="4">
        <dgm:presLayoutVars>
          <dgm:bulletEnabled val="1"/>
        </dgm:presLayoutVars>
      </dgm:prSet>
      <dgm:spPr/>
    </dgm:pt>
  </dgm:ptLst>
  <dgm:cxnLst>
    <dgm:cxn modelId="{36A7F403-A49E-4D03-930F-3D7D165E3DEB}" srcId="{C8836A42-EDD0-4505-9351-E21D3F8E5D4D}" destId="{1ABA6B6A-56C3-4781-87CA-A4BFE6A253D6}" srcOrd="0" destOrd="0" parTransId="{B38B34F4-9A19-47F7-8C01-6E34083D8948}" sibTransId="{78B95B11-8FB5-47B1-9933-2BF9319C8585}"/>
    <dgm:cxn modelId="{6F817606-CE5B-4C3A-9A3B-E999417A7636}" srcId="{C8836A42-EDD0-4505-9351-E21D3F8E5D4D}" destId="{0967CA97-B302-4A49-8220-067BCF95A99A}" srcOrd="1" destOrd="0" parTransId="{A7481D1E-DE71-4758-95B0-5D7F12CBBAAB}" sibTransId="{3588F747-15B6-409E-AB0B-836FB0340049}"/>
    <dgm:cxn modelId="{1C34191A-377E-45F1-AF0F-995960913D52}" type="presOf" srcId="{3588F747-15B6-409E-AB0B-836FB0340049}" destId="{B5F36151-2E2A-4966-8E52-57AEF2C93810}" srcOrd="1" destOrd="0" presId="urn:microsoft.com/office/officeart/2005/8/layout/process1"/>
    <dgm:cxn modelId="{BFBB9B48-DF16-4AC0-98AD-B2A3DCA21B52}" type="presOf" srcId="{0967CA97-B302-4A49-8220-067BCF95A99A}" destId="{87BC52A3-CEB9-4546-BB08-26C5E7F1DFEC}" srcOrd="0" destOrd="0" presId="urn:microsoft.com/office/officeart/2005/8/layout/process1"/>
    <dgm:cxn modelId="{77BE0772-831D-4458-99E4-752B73A254DB}" srcId="{C8836A42-EDD0-4505-9351-E21D3F8E5D4D}" destId="{B532BB8C-7616-42A5-BB8A-A16AA6BF7FCA}" srcOrd="3" destOrd="0" parTransId="{4DF80F34-BA2F-4C23-AAF2-1DF65DFD1D70}" sibTransId="{F7F3CD16-42BD-4B53-AD1D-FF624A748636}"/>
    <dgm:cxn modelId="{CF6A9081-3F4B-4C22-A889-FD8C4709ADE1}" type="presOf" srcId="{C8836A42-EDD0-4505-9351-E21D3F8E5D4D}" destId="{45DC891E-C391-4B63-8CFF-BA9D961E8606}" srcOrd="0" destOrd="0" presId="urn:microsoft.com/office/officeart/2005/8/layout/process1"/>
    <dgm:cxn modelId="{AE0A3B96-E7BF-4D56-8508-181C71F389C9}" type="presOf" srcId="{4EFA5207-036F-4C62-818C-6B2F221AB61F}" destId="{626BE1A9-BFC1-415D-96FB-2E9254E30C3F}" srcOrd="0" destOrd="0" presId="urn:microsoft.com/office/officeart/2005/8/layout/process1"/>
    <dgm:cxn modelId="{A6B779A4-C07A-41C7-98DD-2B2739815820}" srcId="{C8836A42-EDD0-4505-9351-E21D3F8E5D4D}" destId="{4EFA5207-036F-4C62-818C-6B2F221AB61F}" srcOrd="2" destOrd="0" parTransId="{4D54EAA5-92D0-4E0C-8EDC-A5ECDA5F76AD}" sibTransId="{0BFA4988-EECF-4FA8-B655-B842132B2ECD}"/>
    <dgm:cxn modelId="{1627CBCB-AA01-43DB-B3C1-F39E1B1F241E}" type="presOf" srcId="{0BFA4988-EECF-4FA8-B655-B842132B2ECD}" destId="{935BCA11-BC9A-4C4F-AC04-2F1A405C5462}" srcOrd="0" destOrd="0" presId="urn:microsoft.com/office/officeart/2005/8/layout/process1"/>
    <dgm:cxn modelId="{D25836CC-19F7-4795-8773-EF77A59012E4}" type="presOf" srcId="{0BFA4988-EECF-4FA8-B655-B842132B2ECD}" destId="{6DA27E40-742B-4AF1-BFD6-0FFDA6C16AC8}" srcOrd="1" destOrd="0" presId="urn:microsoft.com/office/officeart/2005/8/layout/process1"/>
    <dgm:cxn modelId="{2E1420D5-F640-4C16-831B-3326F4D83C3B}" type="presOf" srcId="{B532BB8C-7616-42A5-BB8A-A16AA6BF7FCA}" destId="{34C60509-3612-4CCC-8A99-CC0E3C4983C3}" srcOrd="0" destOrd="0" presId="urn:microsoft.com/office/officeart/2005/8/layout/process1"/>
    <dgm:cxn modelId="{D3BC1DD6-A1E8-488B-A7C1-A256582C0BF1}" type="presOf" srcId="{3588F747-15B6-409E-AB0B-836FB0340049}" destId="{947561BF-A34C-4705-BF36-D2A4B04DB264}" srcOrd="0" destOrd="0" presId="urn:microsoft.com/office/officeart/2005/8/layout/process1"/>
    <dgm:cxn modelId="{2BD82FE2-04E0-42C9-A08D-1F19F0AB1761}" type="presOf" srcId="{1ABA6B6A-56C3-4781-87CA-A4BFE6A253D6}" destId="{1E74D246-3C60-42CC-8D3D-678B2792452A}" srcOrd="0" destOrd="0" presId="urn:microsoft.com/office/officeart/2005/8/layout/process1"/>
    <dgm:cxn modelId="{4E10F7EA-9AAD-481A-B769-C7C17526D6B5}" type="presOf" srcId="{78B95B11-8FB5-47B1-9933-2BF9319C8585}" destId="{A196E599-B940-4B0A-8EBE-B83E61F697E0}" srcOrd="1" destOrd="0" presId="urn:microsoft.com/office/officeart/2005/8/layout/process1"/>
    <dgm:cxn modelId="{E39545EE-AFE5-43E7-BD2C-F5DC0A47E5CB}" type="presOf" srcId="{78B95B11-8FB5-47B1-9933-2BF9319C8585}" destId="{D19E8F75-703C-4771-94FE-A63013A366C6}" srcOrd="0" destOrd="0" presId="urn:microsoft.com/office/officeart/2005/8/layout/process1"/>
    <dgm:cxn modelId="{CC7FD78A-CF83-49DB-A056-04C639018E85}" type="presParOf" srcId="{45DC891E-C391-4B63-8CFF-BA9D961E8606}" destId="{1E74D246-3C60-42CC-8D3D-678B2792452A}" srcOrd="0" destOrd="0" presId="urn:microsoft.com/office/officeart/2005/8/layout/process1"/>
    <dgm:cxn modelId="{6C538932-D600-4620-908D-128106FD23CA}" type="presParOf" srcId="{45DC891E-C391-4B63-8CFF-BA9D961E8606}" destId="{D19E8F75-703C-4771-94FE-A63013A366C6}" srcOrd="1" destOrd="0" presId="urn:microsoft.com/office/officeart/2005/8/layout/process1"/>
    <dgm:cxn modelId="{AE6294EA-EAC3-47F6-B77C-1AA5E8BF684E}" type="presParOf" srcId="{D19E8F75-703C-4771-94FE-A63013A366C6}" destId="{A196E599-B940-4B0A-8EBE-B83E61F697E0}" srcOrd="0" destOrd="0" presId="urn:microsoft.com/office/officeart/2005/8/layout/process1"/>
    <dgm:cxn modelId="{ECE5E05A-AE4D-4220-9666-3109343FE863}" type="presParOf" srcId="{45DC891E-C391-4B63-8CFF-BA9D961E8606}" destId="{87BC52A3-CEB9-4546-BB08-26C5E7F1DFEC}" srcOrd="2" destOrd="0" presId="urn:microsoft.com/office/officeart/2005/8/layout/process1"/>
    <dgm:cxn modelId="{A6C818B4-9B41-4B1C-AC81-BA84695C4E07}" type="presParOf" srcId="{45DC891E-C391-4B63-8CFF-BA9D961E8606}" destId="{947561BF-A34C-4705-BF36-D2A4B04DB264}" srcOrd="3" destOrd="0" presId="urn:microsoft.com/office/officeart/2005/8/layout/process1"/>
    <dgm:cxn modelId="{35A9D9B6-5BD3-422E-8A7D-CF5A5F2C486B}" type="presParOf" srcId="{947561BF-A34C-4705-BF36-D2A4B04DB264}" destId="{B5F36151-2E2A-4966-8E52-57AEF2C93810}" srcOrd="0" destOrd="0" presId="urn:microsoft.com/office/officeart/2005/8/layout/process1"/>
    <dgm:cxn modelId="{F18F8D1A-A642-4BA3-8701-698ECA127599}" type="presParOf" srcId="{45DC891E-C391-4B63-8CFF-BA9D961E8606}" destId="{626BE1A9-BFC1-415D-96FB-2E9254E30C3F}" srcOrd="4" destOrd="0" presId="urn:microsoft.com/office/officeart/2005/8/layout/process1"/>
    <dgm:cxn modelId="{CE2D247A-B0E9-4F49-A01A-2BC56FB518F3}" type="presParOf" srcId="{45DC891E-C391-4B63-8CFF-BA9D961E8606}" destId="{935BCA11-BC9A-4C4F-AC04-2F1A405C5462}" srcOrd="5" destOrd="0" presId="urn:microsoft.com/office/officeart/2005/8/layout/process1"/>
    <dgm:cxn modelId="{8668F96D-EBA4-4EAE-BCFF-0417AB71491A}" type="presParOf" srcId="{935BCA11-BC9A-4C4F-AC04-2F1A405C5462}" destId="{6DA27E40-742B-4AF1-BFD6-0FFDA6C16AC8}" srcOrd="0" destOrd="0" presId="urn:microsoft.com/office/officeart/2005/8/layout/process1"/>
    <dgm:cxn modelId="{68628F5C-3D90-43F7-82A2-AD5CF2D2F63B}" type="presParOf" srcId="{45DC891E-C391-4B63-8CFF-BA9D961E8606}" destId="{34C60509-3612-4CCC-8A99-CC0E3C4983C3}" srcOrd="6"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74D246-3C60-42CC-8D3D-678B2792452A}">
      <dsp:nvSpPr>
        <dsp:cNvPr id="0" name=""/>
        <dsp:cNvSpPr/>
      </dsp:nvSpPr>
      <dsp:spPr>
        <a:xfrm>
          <a:off x="44768" y="43846"/>
          <a:ext cx="1065130" cy="728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t>1. Prepare a Performance-Based Design Brief (PBDB)</a:t>
          </a:r>
        </a:p>
      </dsp:txBody>
      <dsp:txXfrm>
        <a:off x="66118" y="65196"/>
        <a:ext cx="1022430" cy="686248"/>
      </dsp:txXfrm>
    </dsp:sp>
    <dsp:sp modelId="{D19E8F75-703C-4771-94FE-A63013A366C6}">
      <dsp:nvSpPr>
        <dsp:cNvPr id="0" name=""/>
        <dsp:cNvSpPr/>
      </dsp:nvSpPr>
      <dsp:spPr>
        <a:xfrm rot="21547986">
          <a:off x="1205817" y="265195"/>
          <a:ext cx="203394" cy="2641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1205820" y="318487"/>
        <a:ext cx="142376" cy="158492"/>
      </dsp:txXfrm>
    </dsp:sp>
    <dsp:sp modelId="{87BC52A3-CEB9-4546-BB08-26C5E7F1DFEC}">
      <dsp:nvSpPr>
        <dsp:cNvPr id="0" name=""/>
        <dsp:cNvSpPr/>
      </dsp:nvSpPr>
      <dsp:spPr>
        <a:xfrm>
          <a:off x="1493618" y="21923"/>
          <a:ext cx="1065130" cy="728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t>2. Carry out analysis, modelling or testing</a:t>
          </a:r>
        </a:p>
      </dsp:txBody>
      <dsp:txXfrm>
        <a:off x="1514968" y="43273"/>
        <a:ext cx="1022430" cy="686248"/>
      </dsp:txXfrm>
    </dsp:sp>
    <dsp:sp modelId="{947561BF-A34C-4705-BF36-D2A4B04DB264}">
      <dsp:nvSpPr>
        <dsp:cNvPr id="0" name=""/>
        <dsp:cNvSpPr/>
      </dsp:nvSpPr>
      <dsp:spPr>
        <a:xfrm rot="21587522">
          <a:off x="2671516" y="251544"/>
          <a:ext cx="239070" cy="2641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2671516" y="304504"/>
        <a:ext cx="167349" cy="158492"/>
      </dsp:txXfrm>
    </dsp:sp>
    <dsp:sp modelId="{626BE1A9-BFC1-415D-96FB-2E9254E30C3F}">
      <dsp:nvSpPr>
        <dsp:cNvPr id="0" name=""/>
        <dsp:cNvSpPr/>
      </dsp:nvSpPr>
      <dsp:spPr>
        <a:xfrm>
          <a:off x="3009823" y="16419"/>
          <a:ext cx="1065130" cy="728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t>3. Collate and evaluate results</a:t>
          </a:r>
        </a:p>
      </dsp:txBody>
      <dsp:txXfrm>
        <a:off x="3031173" y="37769"/>
        <a:ext cx="1022430" cy="686248"/>
      </dsp:txXfrm>
    </dsp:sp>
    <dsp:sp modelId="{935BCA11-BC9A-4C4F-AC04-2F1A405C5462}">
      <dsp:nvSpPr>
        <dsp:cNvPr id="0" name=""/>
        <dsp:cNvSpPr/>
      </dsp:nvSpPr>
      <dsp:spPr>
        <a:xfrm rot="12904">
          <a:off x="4175210" y="251592"/>
          <a:ext cx="212547" cy="2641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4175210" y="304302"/>
        <a:ext cx="148783" cy="158492"/>
      </dsp:txXfrm>
    </dsp:sp>
    <dsp:sp modelId="{34C60509-3612-4CCC-8A99-CC0E3C4983C3}">
      <dsp:nvSpPr>
        <dsp:cNvPr id="0" name=""/>
        <dsp:cNvSpPr/>
      </dsp:nvSpPr>
      <dsp:spPr>
        <a:xfrm>
          <a:off x="4475983" y="21923"/>
          <a:ext cx="1065130" cy="728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t>4. Prepare a final report</a:t>
          </a:r>
        </a:p>
      </dsp:txBody>
      <dsp:txXfrm>
        <a:off x="4497333" y="43273"/>
        <a:ext cx="1022430" cy="68624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6A896-CAD3-4B4A-A2C6-20BF3E13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18329</Words>
  <Characters>104479</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2020-05-22T05:24:00Z</dcterms:created>
  <dcterms:modified xsi:type="dcterms:W3CDTF">2020-05-22T05:24:00Z</dcterms:modified>
</cp:coreProperties>
</file>